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BA16F" w14:textId="77777777" w:rsidR="009556AB" w:rsidRDefault="009556AB">
      <w:pPr>
        <w:spacing w:after="120"/>
        <w:rPr>
          <w:i/>
          <w:color w:val="404040"/>
        </w:rPr>
      </w:pPr>
      <w:bookmarkStart w:id="0" w:name="_gjdgxs" w:colFirst="0" w:colLast="0"/>
      <w:bookmarkEnd w:id="0"/>
    </w:p>
    <w:p w14:paraId="4369CDF0" w14:textId="5D512581" w:rsidR="009556AB" w:rsidRDefault="00310938">
      <w:pPr>
        <w:spacing w:after="120"/>
        <w:jc w:val="center"/>
        <w:rPr>
          <w:color w:val="A6A6A6"/>
          <w:sz w:val="28"/>
          <w:szCs w:val="28"/>
        </w:rPr>
      </w:pPr>
      <w:r w:rsidRPr="00310938">
        <w:rPr>
          <w:b/>
          <w:sz w:val="28"/>
          <w:szCs w:val="28"/>
        </w:rPr>
        <w:t>Desig</w:t>
      </w:r>
      <w:r>
        <w:rPr>
          <w:b/>
          <w:sz w:val="28"/>
          <w:szCs w:val="28"/>
        </w:rPr>
        <w:t>n</w:t>
      </w:r>
      <w:r w:rsidRPr="00310938">
        <w:rPr>
          <w:b/>
          <w:sz w:val="28"/>
          <w:szCs w:val="28"/>
        </w:rPr>
        <w:t xml:space="preserve"> para sustentabilidade: análise do impacto do visual das embalagens para o mercado de medicamentos isentos de prescrição.</w:t>
      </w:r>
    </w:p>
    <w:p w14:paraId="4D0E5A96" w14:textId="77777777" w:rsidR="009556AB" w:rsidRDefault="009556AB">
      <w:pPr>
        <w:spacing w:after="120"/>
        <w:jc w:val="center"/>
        <w:rPr>
          <w:b/>
          <w:sz w:val="28"/>
          <w:szCs w:val="28"/>
        </w:rPr>
      </w:pPr>
    </w:p>
    <w:p w14:paraId="3AB603A2" w14:textId="28E077F0" w:rsidR="009556AB" w:rsidRPr="003E6222" w:rsidRDefault="003E6222">
      <w:pPr>
        <w:spacing w:after="120"/>
        <w:jc w:val="center"/>
        <w:rPr>
          <w:b/>
          <w:i/>
          <w:sz w:val="28"/>
          <w:szCs w:val="28"/>
          <w:lang w:val="en-US"/>
        </w:rPr>
      </w:pPr>
      <w:r w:rsidRPr="003E6222">
        <w:rPr>
          <w:b/>
          <w:i/>
          <w:sz w:val="28"/>
          <w:szCs w:val="28"/>
          <w:lang w:val="en-US"/>
        </w:rPr>
        <w:t>Design for sustainability: analysis of the impact of the visual of packaging for the over-the-counter drug market.</w:t>
      </w:r>
    </w:p>
    <w:p w14:paraId="73B64134" w14:textId="77777777" w:rsidR="009556AB" w:rsidRPr="003E6222" w:rsidRDefault="009556AB">
      <w:pPr>
        <w:spacing w:after="120"/>
        <w:rPr>
          <w:b/>
          <w:sz w:val="28"/>
          <w:szCs w:val="28"/>
          <w:lang w:val="en-US"/>
        </w:rPr>
      </w:pPr>
    </w:p>
    <w:p w14:paraId="31F0628D" w14:textId="77777777" w:rsidR="009556AB" w:rsidRPr="003E6222" w:rsidRDefault="009556AB">
      <w:pPr>
        <w:spacing w:after="120"/>
        <w:rPr>
          <w:color w:val="A6A6A6"/>
          <w:sz w:val="28"/>
          <w:szCs w:val="28"/>
          <w:lang w:val="en-US"/>
        </w:rPr>
      </w:pPr>
    </w:p>
    <w:p w14:paraId="6E017C08" w14:textId="3C0C7290" w:rsidR="009556AB" w:rsidRDefault="0058285A">
      <w:pPr>
        <w:spacing w:after="120"/>
        <w:jc w:val="left"/>
      </w:pPr>
      <w:r>
        <w:rPr>
          <w:b/>
        </w:rPr>
        <w:t>Camila Assis Peres Silva</w:t>
      </w:r>
    </w:p>
    <w:p w14:paraId="49BF6A11" w14:textId="05671DC9" w:rsidR="009556AB" w:rsidRDefault="0058285A" w:rsidP="00CC29F0">
      <w:pPr>
        <w:spacing w:after="120"/>
        <w:jc w:val="left"/>
        <w:rPr>
          <w:sz w:val="20"/>
          <w:szCs w:val="20"/>
        </w:rPr>
      </w:pPr>
      <w:r>
        <w:t>camila.assis@eba.ufrj.br</w:t>
      </w:r>
      <w:r w:rsidR="00000000">
        <w:t xml:space="preserve"> </w:t>
      </w:r>
    </w:p>
    <w:p w14:paraId="4F54E338" w14:textId="77777777" w:rsidR="009556AB" w:rsidRDefault="009556AB">
      <w:pPr>
        <w:spacing w:after="120"/>
        <w:jc w:val="left"/>
        <w:rPr>
          <w:sz w:val="20"/>
          <w:szCs w:val="20"/>
        </w:rPr>
      </w:pPr>
    </w:p>
    <w:p w14:paraId="069DBB68" w14:textId="11B721B6" w:rsidR="009556AB" w:rsidRDefault="00000000">
      <w:pPr>
        <w:spacing w:after="120"/>
        <w:rPr>
          <w:color w:val="A6A6A6"/>
        </w:rPr>
      </w:pPr>
      <w:r>
        <w:rPr>
          <w:color w:val="A6A6A6"/>
        </w:rPr>
        <w:t>Número da sessão temática da submissão – [</w:t>
      </w:r>
      <w:r w:rsidR="007D590B">
        <w:rPr>
          <w:color w:val="A6A6A6"/>
        </w:rPr>
        <w:t>2</w:t>
      </w:r>
      <w:r>
        <w:rPr>
          <w:color w:val="A6A6A6"/>
        </w:rPr>
        <w:t>]</w:t>
      </w:r>
    </w:p>
    <w:p w14:paraId="6C2B3302" w14:textId="77777777" w:rsidR="009556AB" w:rsidRDefault="009556AB">
      <w:pPr>
        <w:spacing w:after="120"/>
        <w:rPr>
          <w:b/>
        </w:rPr>
      </w:pPr>
    </w:p>
    <w:p w14:paraId="5050D6B3" w14:textId="130BFE67" w:rsidR="009556AB" w:rsidRDefault="00000000">
      <w:pPr>
        <w:spacing w:after="120"/>
        <w:rPr>
          <w:sz w:val="22"/>
          <w:szCs w:val="22"/>
        </w:rPr>
      </w:pPr>
      <w:r>
        <w:rPr>
          <w:b/>
        </w:rPr>
        <w:t>Resumo</w:t>
      </w:r>
      <w:r w:rsidR="00232EE0">
        <w:rPr>
          <w:b/>
        </w:rPr>
        <w:t xml:space="preserve"> </w:t>
      </w:r>
    </w:p>
    <w:p w14:paraId="4680F6B2" w14:textId="13274447" w:rsidR="009556AB" w:rsidRPr="007339D0" w:rsidRDefault="00D531BD">
      <w:pPr>
        <w:spacing w:after="120"/>
        <w:rPr>
          <w:sz w:val="22"/>
          <w:szCs w:val="22"/>
        </w:rPr>
      </w:pPr>
      <w:r w:rsidRPr="007339D0">
        <w:rPr>
          <w:sz w:val="22"/>
          <w:szCs w:val="22"/>
        </w:rPr>
        <w:t xml:space="preserve">O trabalho apresenta resultados parciais de projeto de pesquisa </w:t>
      </w:r>
      <w:r w:rsidR="004D3234" w:rsidRPr="007339D0">
        <w:rPr>
          <w:sz w:val="22"/>
          <w:szCs w:val="22"/>
        </w:rPr>
        <w:t>com</w:t>
      </w:r>
      <w:r w:rsidRPr="007339D0">
        <w:rPr>
          <w:sz w:val="22"/>
          <w:szCs w:val="22"/>
        </w:rPr>
        <w:t xml:space="preserve"> objetiv</w:t>
      </w:r>
      <w:r w:rsidR="004D3234" w:rsidRPr="007339D0">
        <w:rPr>
          <w:sz w:val="22"/>
          <w:szCs w:val="22"/>
        </w:rPr>
        <w:t>o</w:t>
      </w:r>
      <w:r w:rsidRPr="007339D0">
        <w:rPr>
          <w:sz w:val="22"/>
          <w:szCs w:val="22"/>
        </w:rPr>
        <w:t xml:space="preserve"> </w:t>
      </w:r>
      <w:r w:rsidR="004D3234" w:rsidRPr="007339D0">
        <w:rPr>
          <w:sz w:val="22"/>
          <w:szCs w:val="22"/>
        </w:rPr>
        <w:t xml:space="preserve">de </w:t>
      </w:r>
      <w:r w:rsidRPr="007339D0">
        <w:rPr>
          <w:sz w:val="22"/>
          <w:szCs w:val="22"/>
        </w:rPr>
        <w:t>investigar em que medida as embalagens secundárias de medicamentos isentos de prescrição para dor e febre auxiliam os consumidores idosos e portadores de deficiência visual no processo de decisão de compra e usabilidade.</w:t>
      </w:r>
      <w:r w:rsidR="00724AEC" w:rsidRPr="007339D0">
        <w:rPr>
          <w:sz w:val="22"/>
          <w:szCs w:val="22"/>
        </w:rPr>
        <w:t xml:space="preserve"> </w:t>
      </w:r>
      <w:r w:rsidR="004D3234" w:rsidRPr="007339D0">
        <w:rPr>
          <w:sz w:val="22"/>
          <w:szCs w:val="22"/>
        </w:rPr>
        <w:t xml:space="preserve">Trata-se de pesquisa relacionada ao objetivo de desenvolvimento sustentável para redução das desigualdades (ODS 10), uma vez que aborda questões de acessibilidade à informação e autonomia para decisão de compra. </w:t>
      </w:r>
      <w:r w:rsidR="00FE3BF9" w:rsidRPr="007339D0">
        <w:rPr>
          <w:sz w:val="22"/>
          <w:szCs w:val="22"/>
        </w:rPr>
        <w:t>Para tanto, discorre-se sobre o p</w:t>
      </w:r>
      <w:r w:rsidR="00B44FE2" w:rsidRPr="007339D0">
        <w:rPr>
          <w:sz w:val="22"/>
          <w:szCs w:val="22"/>
        </w:rPr>
        <w:t xml:space="preserve">apel das embalagens </w:t>
      </w:r>
      <w:r w:rsidR="00FE3BF9" w:rsidRPr="007339D0">
        <w:rPr>
          <w:sz w:val="22"/>
          <w:szCs w:val="22"/>
        </w:rPr>
        <w:t xml:space="preserve">com foco naqueles </w:t>
      </w:r>
      <w:r w:rsidR="007339D0" w:rsidRPr="007339D0">
        <w:rPr>
          <w:sz w:val="22"/>
          <w:szCs w:val="22"/>
        </w:rPr>
        <w:t xml:space="preserve">medicamentos </w:t>
      </w:r>
      <w:r w:rsidR="00FE3BF9" w:rsidRPr="007339D0">
        <w:rPr>
          <w:sz w:val="22"/>
          <w:szCs w:val="22"/>
        </w:rPr>
        <w:t>que dispensam prescrição médica</w:t>
      </w:r>
      <w:r w:rsidR="00655B42" w:rsidRPr="007339D0">
        <w:rPr>
          <w:sz w:val="22"/>
          <w:szCs w:val="22"/>
        </w:rPr>
        <w:t xml:space="preserve">, destacando </w:t>
      </w:r>
      <w:r w:rsidR="00052853" w:rsidRPr="007339D0">
        <w:rPr>
          <w:sz w:val="22"/>
          <w:szCs w:val="22"/>
        </w:rPr>
        <w:t>o papel d</w:t>
      </w:r>
      <w:r w:rsidR="00655B42" w:rsidRPr="007339D0">
        <w:rPr>
          <w:sz w:val="22"/>
          <w:szCs w:val="22"/>
        </w:rPr>
        <w:t xml:space="preserve">elas </w:t>
      </w:r>
      <w:r w:rsidR="00B44FE2" w:rsidRPr="007339D0">
        <w:rPr>
          <w:sz w:val="22"/>
          <w:szCs w:val="22"/>
        </w:rPr>
        <w:t>como suportes midiáticos.</w:t>
      </w:r>
      <w:r w:rsidR="00052853" w:rsidRPr="007339D0">
        <w:rPr>
          <w:sz w:val="22"/>
          <w:szCs w:val="22"/>
        </w:rPr>
        <w:t xml:space="preserve"> </w:t>
      </w:r>
      <w:r w:rsidR="00B44FE2" w:rsidRPr="007339D0">
        <w:rPr>
          <w:sz w:val="22"/>
          <w:szCs w:val="22"/>
        </w:rPr>
        <w:t xml:space="preserve"> </w:t>
      </w:r>
      <w:r w:rsidR="00E02499" w:rsidRPr="007339D0">
        <w:rPr>
          <w:sz w:val="22"/>
          <w:szCs w:val="22"/>
        </w:rPr>
        <w:t xml:space="preserve">Apresenta-se o perfil </w:t>
      </w:r>
      <w:r w:rsidR="00B44FE2" w:rsidRPr="007339D0">
        <w:rPr>
          <w:sz w:val="22"/>
          <w:szCs w:val="22"/>
        </w:rPr>
        <w:t xml:space="preserve">dos consumidores </w:t>
      </w:r>
      <w:r w:rsidR="00E02499" w:rsidRPr="007339D0">
        <w:rPr>
          <w:sz w:val="22"/>
          <w:szCs w:val="22"/>
        </w:rPr>
        <w:t xml:space="preserve">e </w:t>
      </w:r>
      <w:r w:rsidR="007A3BE2">
        <w:rPr>
          <w:sz w:val="22"/>
          <w:szCs w:val="22"/>
        </w:rPr>
        <w:t>as diretrizes técnicas para</w:t>
      </w:r>
      <w:r w:rsidR="00CB42F9" w:rsidRPr="007339D0">
        <w:rPr>
          <w:sz w:val="22"/>
          <w:szCs w:val="22"/>
        </w:rPr>
        <w:t xml:space="preserve"> u</w:t>
      </w:r>
      <w:r w:rsidR="00B44FE2" w:rsidRPr="007339D0">
        <w:rPr>
          <w:sz w:val="22"/>
          <w:szCs w:val="22"/>
        </w:rPr>
        <w:t>sabilidade com embalagens de medicamentos</w:t>
      </w:r>
      <w:r w:rsidR="00CB42F9" w:rsidRPr="007339D0">
        <w:rPr>
          <w:sz w:val="22"/>
          <w:szCs w:val="22"/>
        </w:rPr>
        <w:t>. Por fim, apresenta</w:t>
      </w:r>
      <w:r w:rsidR="00134B28" w:rsidRPr="007339D0">
        <w:rPr>
          <w:sz w:val="22"/>
          <w:szCs w:val="22"/>
        </w:rPr>
        <w:t xml:space="preserve">-se estudo com embalagens de </w:t>
      </w:r>
      <w:r w:rsidR="00B44FE2" w:rsidRPr="007339D0">
        <w:rPr>
          <w:sz w:val="22"/>
          <w:szCs w:val="22"/>
        </w:rPr>
        <w:t>medicamentos para alívio de dores e febre</w:t>
      </w:r>
      <w:r w:rsidR="00134B28" w:rsidRPr="007339D0">
        <w:rPr>
          <w:sz w:val="22"/>
          <w:szCs w:val="22"/>
        </w:rPr>
        <w:t>. Os resultados demonstram que a composição visual pode auxiliar no processo de decisão de compra e usabilidade, mas também podem dificultar esse processo</w:t>
      </w:r>
      <w:r w:rsidR="004D3234" w:rsidRPr="007339D0">
        <w:rPr>
          <w:sz w:val="22"/>
          <w:szCs w:val="22"/>
        </w:rPr>
        <w:t>.</w:t>
      </w:r>
    </w:p>
    <w:p w14:paraId="0D20D187" w14:textId="77777777" w:rsidR="004D3234" w:rsidRDefault="004D3234">
      <w:pPr>
        <w:spacing w:after="120"/>
        <w:rPr>
          <w:color w:val="A6A6A6"/>
          <w:sz w:val="22"/>
          <w:szCs w:val="22"/>
        </w:rPr>
      </w:pPr>
    </w:p>
    <w:p w14:paraId="5C84E6C0" w14:textId="2D49072C" w:rsidR="009556AB" w:rsidRDefault="00000000">
      <w:pPr>
        <w:spacing w:after="120"/>
        <w:jc w:val="left"/>
        <w:rPr>
          <w:sz w:val="22"/>
          <w:szCs w:val="22"/>
        </w:rPr>
      </w:pPr>
      <w:r>
        <w:rPr>
          <w:b/>
        </w:rPr>
        <w:t>Palavras-chave</w:t>
      </w:r>
      <w:r w:rsidRPr="00232EE0">
        <w:rPr>
          <w:bCs/>
          <w:sz w:val="22"/>
          <w:szCs w:val="22"/>
        </w:rPr>
        <w:t xml:space="preserve">: </w:t>
      </w:r>
      <w:r w:rsidR="006538B3" w:rsidRPr="00232EE0">
        <w:rPr>
          <w:bCs/>
          <w:sz w:val="22"/>
          <w:szCs w:val="22"/>
        </w:rPr>
        <w:t>embalage</w:t>
      </w:r>
      <w:r w:rsidR="00232EE0" w:rsidRPr="00232EE0">
        <w:rPr>
          <w:bCs/>
          <w:sz w:val="22"/>
          <w:szCs w:val="22"/>
        </w:rPr>
        <w:t>m</w:t>
      </w:r>
      <w:r w:rsidRPr="00232EE0">
        <w:rPr>
          <w:bCs/>
          <w:sz w:val="22"/>
          <w:szCs w:val="22"/>
        </w:rPr>
        <w:t>;</w:t>
      </w:r>
      <w:r>
        <w:rPr>
          <w:sz w:val="22"/>
          <w:szCs w:val="22"/>
        </w:rPr>
        <w:t xml:space="preserve"> </w:t>
      </w:r>
      <w:r w:rsidR="00232EE0">
        <w:rPr>
          <w:sz w:val="22"/>
          <w:szCs w:val="22"/>
        </w:rPr>
        <w:t>medicamento isento de prescrição</w:t>
      </w:r>
      <w:r>
        <w:rPr>
          <w:sz w:val="22"/>
          <w:szCs w:val="22"/>
        </w:rPr>
        <w:t>;</w:t>
      </w:r>
      <w:r w:rsidR="00A2224E">
        <w:rPr>
          <w:sz w:val="22"/>
          <w:szCs w:val="22"/>
        </w:rPr>
        <w:t xml:space="preserve"> deficiência visual; </w:t>
      </w:r>
      <w:r w:rsidR="00232EE0">
        <w:rPr>
          <w:sz w:val="22"/>
          <w:szCs w:val="22"/>
        </w:rPr>
        <w:t>inclusão.</w:t>
      </w:r>
    </w:p>
    <w:p w14:paraId="719536A7" w14:textId="77777777" w:rsidR="009556AB" w:rsidRDefault="009556AB">
      <w:pPr>
        <w:spacing w:after="120"/>
        <w:rPr>
          <w:color w:val="A6A6A6"/>
          <w:sz w:val="22"/>
          <w:szCs w:val="22"/>
        </w:rPr>
      </w:pPr>
    </w:p>
    <w:p w14:paraId="045E9BE2" w14:textId="77777777" w:rsidR="009556AB" w:rsidRDefault="00000000">
      <w:pPr>
        <w:spacing w:after="120"/>
        <w:rPr>
          <w:b/>
          <w:i/>
          <w:color w:val="A6A6A6"/>
          <w:sz w:val="22"/>
          <w:szCs w:val="22"/>
        </w:rPr>
      </w:pPr>
      <w:r>
        <w:rPr>
          <w:b/>
          <w:i/>
        </w:rPr>
        <w:t>Abstrac</w:t>
      </w:r>
      <w:r>
        <w:rPr>
          <w:b/>
          <w:i/>
          <w:sz w:val="22"/>
          <w:szCs w:val="22"/>
        </w:rPr>
        <w:t>t</w:t>
      </w:r>
    </w:p>
    <w:p w14:paraId="1E85C636" w14:textId="77777777" w:rsidR="00A20574" w:rsidRDefault="00671FFD" w:rsidP="00A20574">
      <w:pPr>
        <w:spacing w:after="120"/>
        <w:rPr>
          <w:i/>
          <w:sz w:val="22"/>
          <w:szCs w:val="22"/>
          <w:lang w:val="en-US"/>
        </w:rPr>
      </w:pPr>
      <w:r w:rsidRPr="00671FFD">
        <w:rPr>
          <w:i/>
          <w:sz w:val="22"/>
          <w:szCs w:val="22"/>
          <w:lang w:val="en-US"/>
        </w:rPr>
        <w:t xml:space="preserve">The work presents partial results of a research project with the objective of investigating to what extent the secondary packaging of over-the-counter medicines for pain and fever helps elderly consumers and visually impaired people in the </w:t>
      </w:r>
      <w:proofErr w:type="gramStart"/>
      <w:r w:rsidRPr="00671FFD">
        <w:rPr>
          <w:i/>
          <w:sz w:val="22"/>
          <w:szCs w:val="22"/>
          <w:lang w:val="en-US"/>
        </w:rPr>
        <w:t>purchase decision</w:t>
      </w:r>
      <w:proofErr w:type="gramEnd"/>
      <w:r w:rsidRPr="00671FFD">
        <w:rPr>
          <w:i/>
          <w:sz w:val="22"/>
          <w:szCs w:val="22"/>
          <w:lang w:val="en-US"/>
        </w:rPr>
        <w:t xml:space="preserve"> process and usability. This is research related to the sustainable development goal for the reduction of inequalities (SDG 10), since it addresses issues of accessibility to information and autonomy for purchasing decisions. To this end, the role of packaging is discussed with a focus on those drugs that do not require a medical prescription, highlighting their role as media supports. The profile of consumers and the technical guidelines for usability with medicine packaging are presented. Finally, a study with medication packaging for pain and fever relief is presented. </w:t>
      </w:r>
      <w:r w:rsidR="00A20574" w:rsidRPr="00A20574">
        <w:rPr>
          <w:i/>
          <w:sz w:val="22"/>
          <w:szCs w:val="22"/>
          <w:lang w:val="en-US"/>
        </w:rPr>
        <w:t>The results demonstrate that visual composition can help in the purchase decision process and usability, but it can also hinder this process.</w:t>
      </w:r>
    </w:p>
    <w:p w14:paraId="7E0A6776" w14:textId="77777777" w:rsidR="00A20574" w:rsidRDefault="00A20574" w:rsidP="00A20574">
      <w:pPr>
        <w:spacing w:after="120"/>
        <w:rPr>
          <w:i/>
          <w:sz w:val="22"/>
          <w:szCs w:val="22"/>
          <w:lang w:val="en-US"/>
        </w:rPr>
      </w:pPr>
    </w:p>
    <w:p w14:paraId="2135FDAF" w14:textId="2CA516D2" w:rsidR="009556AB" w:rsidRDefault="00000000" w:rsidP="0083537D">
      <w:pPr>
        <w:spacing w:after="120"/>
        <w:rPr>
          <w:i/>
          <w:sz w:val="22"/>
          <w:szCs w:val="22"/>
          <w:lang w:val="en-US"/>
        </w:rPr>
      </w:pPr>
      <w:r w:rsidRPr="00A20574">
        <w:rPr>
          <w:b/>
          <w:i/>
          <w:lang w:val="en-US"/>
        </w:rPr>
        <w:t xml:space="preserve">Keywords: </w:t>
      </w:r>
      <w:r w:rsidR="0083537D" w:rsidRPr="0083537D">
        <w:rPr>
          <w:i/>
          <w:sz w:val="22"/>
          <w:szCs w:val="22"/>
          <w:lang w:val="en-US"/>
        </w:rPr>
        <w:t>packing; over-the-counter medicine; visual impairment; inclusion.</w:t>
      </w:r>
    </w:p>
    <w:p w14:paraId="3CFB9756" w14:textId="77777777" w:rsidR="0083537D" w:rsidRPr="00A20574" w:rsidRDefault="0083537D" w:rsidP="0083537D">
      <w:pPr>
        <w:spacing w:after="120"/>
        <w:rPr>
          <w:b/>
          <w:i/>
          <w:lang w:val="en-US"/>
        </w:rPr>
      </w:pPr>
    </w:p>
    <w:p w14:paraId="2F51D60D" w14:textId="77777777" w:rsidR="009556AB" w:rsidRDefault="00000000">
      <w:pPr>
        <w:numPr>
          <w:ilvl w:val="0"/>
          <w:numId w:val="2"/>
        </w:numPr>
        <w:pBdr>
          <w:top w:val="nil"/>
          <w:left w:val="nil"/>
          <w:bottom w:val="nil"/>
          <w:right w:val="nil"/>
          <w:between w:val="nil"/>
        </w:pBdr>
        <w:spacing w:after="120"/>
        <w:rPr>
          <w:b/>
          <w:color w:val="000000"/>
        </w:rPr>
      </w:pPr>
      <w:r>
        <w:rPr>
          <w:b/>
          <w:color w:val="000000"/>
        </w:rPr>
        <w:lastRenderedPageBreak/>
        <w:t>Introdução</w:t>
      </w:r>
    </w:p>
    <w:p w14:paraId="1729A54A" w14:textId="1558443C" w:rsidR="00D101F6" w:rsidRDefault="00081359" w:rsidP="00D101F6">
      <w:pPr>
        <w:spacing w:after="120"/>
        <w:ind w:firstLine="360"/>
        <w:rPr>
          <w:color w:val="000000" w:themeColor="text1"/>
        </w:rPr>
      </w:pPr>
      <w:r w:rsidRPr="002A6242">
        <w:rPr>
          <w:color w:val="000000" w:themeColor="text1"/>
        </w:rPr>
        <w:t xml:space="preserve">A temática de embalagens </w:t>
      </w:r>
      <w:r w:rsidR="00D234CE" w:rsidRPr="002A6242">
        <w:rPr>
          <w:color w:val="000000" w:themeColor="text1"/>
        </w:rPr>
        <w:t xml:space="preserve">é indissociável da temática de sustentabilidade </w:t>
      </w:r>
      <w:r w:rsidR="00525D2D">
        <w:rPr>
          <w:color w:val="000000" w:themeColor="text1"/>
        </w:rPr>
        <w:t>uma vez que vivemos em</w:t>
      </w:r>
      <w:r w:rsidR="00D234CE" w:rsidRPr="002A6242">
        <w:rPr>
          <w:color w:val="000000" w:themeColor="text1"/>
        </w:rPr>
        <w:t xml:space="preserve"> uma sociedade majoritariamente urbana</w:t>
      </w:r>
      <w:r w:rsidR="00F36F11">
        <w:rPr>
          <w:color w:val="000000" w:themeColor="text1"/>
        </w:rPr>
        <w:t>,</w:t>
      </w:r>
      <w:r w:rsidR="00D234CE" w:rsidRPr="002A6242">
        <w:rPr>
          <w:color w:val="000000" w:themeColor="text1"/>
        </w:rPr>
        <w:t xml:space="preserve"> </w:t>
      </w:r>
      <w:r w:rsidR="005B6F18" w:rsidRPr="002A6242">
        <w:rPr>
          <w:color w:val="000000" w:themeColor="text1"/>
        </w:rPr>
        <w:t xml:space="preserve">com </w:t>
      </w:r>
      <w:r w:rsidR="00273F65" w:rsidRPr="002A6242">
        <w:rPr>
          <w:color w:val="000000" w:themeColor="text1"/>
        </w:rPr>
        <w:t>constantes trocas comerciais</w:t>
      </w:r>
      <w:r w:rsidR="00525D2D">
        <w:rPr>
          <w:color w:val="000000" w:themeColor="text1"/>
        </w:rPr>
        <w:t xml:space="preserve">. </w:t>
      </w:r>
      <w:r w:rsidR="007650EF">
        <w:rPr>
          <w:color w:val="000000" w:themeColor="text1"/>
        </w:rPr>
        <w:t>O uso de embalagens remonta a milhares de anos</w:t>
      </w:r>
      <w:r w:rsidR="00255DDF">
        <w:rPr>
          <w:color w:val="000000" w:themeColor="text1"/>
        </w:rPr>
        <w:t xml:space="preserve">, tão logo a humanidade percebeu a necessidade de </w:t>
      </w:r>
      <w:r w:rsidR="005253DE">
        <w:rPr>
          <w:color w:val="000000" w:themeColor="text1"/>
        </w:rPr>
        <w:t xml:space="preserve">armazenar, </w:t>
      </w:r>
      <w:r w:rsidR="00255DDF">
        <w:rPr>
          <w:color w:val="000000" w:themeColor="text1"/>
        </w:rPr>
        <w:t>proteger</w:t>
      </w:r>
      <w:r w:rsidR="005253DE">
        <w:rPr>
          <w:color w:val="000000" w:themeColor="text1"/>
        </w:rPr>
        <w:t xml:space="preserve"> e transportar seus bens (Cavalcanti, 2006)</w:t>
      </w:r>
      <w:r w:rsidR="0008390E">
        <w:rPr>
          <w:color w:val="000000" w:themeColor="text1"/>
        </w:rPr>
        <w:t xml:space="preserve">. </w:t>
      </w:r>
      <w:r w:rsidR="00A66A70">
        <w:rPr>
          <w:color w:val="000000" w:themeColor="text1"/>
        </w:rPr>
        <w:t xml:space="preserve">Elementos da natureza como </w:t>
      </w:r>
      <w:r w:rsidR="00340F09" w:rsidRPr="00340F09">
        <w:rPr>
          <w:color w:val="000000" w:themeColor="text1"/>
        </w:rPr>
        <w:t xml:space="preserve">folhas de plantas, do couro </w:t>
      </w:r>
      <w:r w:rsidR="00A66A70">
        <w:rPr>
          <w:color w:val="000000" w:themeColor="text1"/>
        </w:rPr>
        <w:t>de animais, barro</w:t>
      </w:r>
      <w:r w:rsidR="006F7BE0">
        <w:rPr>
          <w:color w:val="000000" w:themeColor="text1"/>
        </w:rPr>
        <w:t xml:space="preserve">, compuseram as primeiras embalagens. Com o avanço </w:t>
      </w:r>
      <w:r w:rsidR="00416956">
        <w:rPr>
          <w:color w:val="000000" w:themeColor="text1"/>
        </w:rPr>
        <w:t xml:space="preserve">das formas de produzir, distribuir e consumir novas </w:t>
      </w:r>
      <w:r w:rsidR="00340F09" w:rsidRPr="00340F09">
        <w:rPr>
          <w:color w:val="000000" w:themeColor="text1"/>
        </w:rPr>
        <w:t>tecnologias</w:t>
      </w:r>
      <w:r w:rsidR="00416956">
        <w:rPr>
          <w:color w:val="000000" w:themeColor="text1"/>
        </w:rPr>
        <w:t xml:space="preserve"> foram adotadas</w:t>
      </w:r>
      <w:r w:rsidR="00340F09" w:rsidRPr="00340F09">
        <w:rPr>
          <w:color w:val="000000" w:themeColor="text1"/>
        </w:rPr>
        <w:t xml:space="preserve">, como </w:t>
      </w:r>
      <w:r w:rsidR="007A3AAE">
        <w:rPr>
          <w:color w:val="000000" w:themeColor="text1"/>
        </w:rPr>
        <w:t xml:space="preserve">o </w:t>
      </w:r>
      <w:r w:rsidR="00340F09" w:rsidRPr="00340F09">
        <w:rPr>
          <w:color w:val="000000" w:themeColor="text1"/>
        </w:rPr>
        <w:t xml:space="preserve">vidro, </w:t>
      </w:r>
      <w:r w:rsidR="007F7C8E">
        <w:rPr>
          <w:color w:val="000000" w:themeColor="text1"/>
        </w:rPr>
        <w:t>o papel, o</w:t>
      </w:r>
      <w:r w:rsidR="00340F09" w:rsidRPr="00340F09">
        <w:rPr>
          <w:color w:val="000000" w:themeColor="text1"/>
        </w:rPr>
        <w:t xml:space="preserve"> aço</w:t>
      </w:r>
      <w:r w:rsidR="007F7C8E">
        <w:rPr>
          <w:color w:val="000000" w:themeColor="text1"/>
        </w:rPr>
        <w:t>,</w:t>
      </w:r>
      <w:r w:rsidR="00340F09" w:rsidRPr="00340F09">
        <w:rPr>
          <w:color w:val="000000" w:themeColor="text1"/>
        </w:rPr>
        <w:t xml:space="preserve"> e </w:t>
      </w:r>
      <w:r w:rsidR="007F7C8E">
        <w:rPr>
          <w:color w:val="000000" w:themeColor="text1"/>
        </w:rPr>
        <w:t xml:space="preserve">polímeros diversos. </w:t>
      </w:r>
      <w:r w:rsidR="00153BEF">
        <w:rPr>
          <w:color w:val="000000" w:themeColor="text1"/>
        </w:rPr>
        <w:t>As e</w:t>
      </w:r>
      <w:r w:rsidR="00153BEF" w:rsidRPr="002A6242">
        <w:rPr>
          <w:color w:val="000000" w:themeColor="text1"/>
        </w:rPr>
        <w:t xml:space="preserve">mbalagens permitem que os bens de consumo sejam conservados, protegidos e transportados para locais nos quais não poderiam ser produzidos. Permite que consumidores possam ter em suas mãos informações antes passadas apenas por vendedores de balcões. Existem embalagens dos mais variados tipos, formatos, matérias; com funções mais ou menos duradouras. De grandes containers a embalagens que estão em contato direto com o produto. </w:t>
      </w:r>
      <w:r w:rsidR="00D101F6" w:rsidRPr="002A6242">
        <w:rPr>
          <w:color w:val="000000" w:themeColor="text1"/>
        </w:rPr>
        <w:t xml:space="preserve">Indubitavelmente, é um elemento importante com estreita relação com o progresso da vida moderna. Ao mesmo tempo, poderíamos dizer que é responsável por grande parte do lixo que produzimos e consequentemente também corrobora para uma vida menos sustentável.  </w:t>
      </w:r>
    </w:p>
    <w:p w14:paraId="45EBEE29" w14:textId="0226E13F" w:rsidR="00817B88" w:rsidRDefault="006550C0" w:rsidP="001500C6">
      <w:pPr>
        <w:spacing w:after="120"/>
        <w:ind w:firstLine="360"/>
        <w:rPr>
          <w:b/>
          <w:bCs/>
          <w:color w:val="000000" w:themeColor="text1"/>
        </w:rPr>
      </w:pPr>
      <w:r w:rsidRPr="002A6242">
        <w:rPr>
          <w:color w:val="000000" w:themeColor="text1"/>
        </w:rPr>
        <w:t xml:space="preserve">A existência das embalagens é por si só um paradoxo. Uma grande cadeia de produção com alto custo </w:t>
      </w:r>
      <w:r w:rsidR="00C73847">
        <w:rPr>
          <w:color w:val="000000" w:themeColor="text1"/>
        </w:rPr>
        <w:t xml:space="preserve">de </w:t>
      </w:r>
      <w:r w:rsidRPr="002A6242">
        <w:rPr>
          <w:color w:val="000000" w:themeColor="text1"/>
        </w:rPr>
        <w:t xml:space="preserve">capital para que </w:t>
      </w:r>
      <w:r w:rsidR="006F6781">
        <w:rPr>
          <w:color w:val="000000" w:themeColor="text1"/>
        </w:rPr>
        <w:t xml:space="preserve">embalagens </w:t>
      </w:r>
      <w:r w:rsidRPr="002A6242">
        <w:rPr>
          <w:color w:val="000000" w:themeColor="text1"/>
        </w:rPr>
        <w:t>seja</w:t>
      </w:r>
      <w:r w:rsidR="006F6781">
        <w:rPr>
          <w:color w:val="000000" w:themeColor="text1"/>
        </w:rPr>
        <w:t>m</w:t>
      </w:r>
      <w:r w:rsidRPr="002A6242">
        <w:rPr>
          <w:color w:val="000000" w:themeColor="text1"/>
        </w:rPr>
        <w:t xml:space="preserve"> descartada</w:t>
      </w:r>
      <w:r w:rsidR="006F6781">
        <w:rPr>
          <w:color w:val="000000" w:themeColor="text1"/>
        </w:rPr>
        <w:t>s</w:t>
      </w:r>
      <w:r w:rsidRPr="002A6242">
        <w:rPr>
          <w:color w:val="000000" w:themeColor="text1"/>
        </w:rPr>
        <w:t xml:space="preserve"> em questão de poucos minutos ou segundos após um produto ser </w:t>
      </w:r>
      <w:r w:rsidRPr="0028150E">
        <w:t>comprado</w:t>
      </w:r>
      <w:r w:rsidR="00601ACD" w:rsidRPr="0028150E">
        <w:t xml:space="preserve"> (</w:t>
      </w:r>
      <w:r w:rsidR="008E4C5F">
        <w:t>A HISTÓRIA</w:t>
      </w:r>
      <w:r w:rsidR="0028150E" w:rsidRPr="0028150E">
        <w:t>, 2015)</w:t>
      </w:r>
      <w:r w:rsidRPr="0028150E">
        <w:t>.</w:t>
      </w:r>
      <w:r w:rsidR="005C5462" w:rsidRPr="0028150E">
        <w:t xml:space="preserve"> </w:t>
      </w:r>
      <w:r w:rsidR="0058775A" w:rsidRPr="0028150E">
        <w:t xml:space="preserve">Mas </w:t>
      </w:r>
      <w:r w:rsidR="0058775A">
        <w:rPr>
          <w:color w:val="000000" w:themeColor="text1"/>
        </w:rPr>
        <w:t xml:space="preserve">ao mesmo tempo uma </w:t>
      </w:r>
      <w:r w:rsidR="0058775A" w:rsidRPr="002A6242">
        <w:rPr>
          <w:color w:val="000000" w:themeColor="text1"/>
        </w:rPr>
        <w:t xml:space="preserve">cadeia </w:t>
      </w:r>
      <w:r w:rsidR="0058775A">
        <w:rPr>
          <w:color w:val="000000" w:themeColor="text1"/>
        </w:rPr>
        <w:t>produtiva que</w:t>
      </w:r>
      <w:r w:rsidR="0058775A" w:rsidRPr="002A6242">
        <w:rPr>
          <w:color w:val="000000" w:themeColor="text1"/>
        </w:rPr>
        <w:t xml:space="preserve"> envolve diferentes profissionais</w:t>
      </w:r>
      <w:r w:rsidR="001D7E21">
        <w:rPr>
          <w:color w:val="000000" w:themeColor="text1"/>
        </w:rPr>
        <w:t>, gerando renda para muitas famílias</w:t>
      </w:r>
      <w:r w:rsidR="00E36D53">
        <w:rPr>
          <w:color w:val="000000" w:themeColor="text1"/>
        </w:rPr>
        <w:t xml:space="preserve">, assim como proporcionando </w:t>
      </w:r>
      <w:r w:rsidR="00744EFA">
        <w:rPr>
          <w:color w:val="000000" w:themeColor="text1"/>
        </w:rPr>
        <w:t xml:space="preserve">os benefícios de ter produtos </w:t>
      </w:r>
      <w:r w:rsidR="006B6214">
        <w:rPr>
          <w:color w:val="000000" w:themeColor="text1"/>
        </w:rPr>
        <w:t xml:space="preserve">para pronto consumo ao alcance de poucos </w:t>
      </w:r>
      <w:r w:rsidR="00142695">
        <w:rPr>
          <w:color w:val="000000" w:themeColor="text1"/>
        </w:rPr>
        <w:t>quilômetros. Em suma, h</w:t>
      </w:r>
      <w:r w:rsidR="0058775A" w:rsidRPr="002A6242">
        <w:rPr>
          <w:color w:val="000000" w:themeColor="text1"/>
        </w:rPr>
        <w:t>á aqueles que vivem do mercado de embalagens e aqueles cuja vida depende que elas existam.</w:t>
      </w:r>
      <w:r w:rsidR="0058775A">
        <w:rPr>
          <w:color w:val="000000" w:themeColor="text1"/>
        </w:rPr>
        <w:t xml:space="preserve"> </w:t>
      </w:r>
      <w:r w:rsidR="0070477E">
        <w:rPr>
          <w:color w:val="000000" w:themeColor="text1"/>
        </w:rPr>
        <w:t xml:space="preserve">Não fosse o impacto ambiental que tais embalagens </w:t>
      </w:r>
      <w:r w:rsidR="009838AA">
        <w:rPr>
          <w:color w:val="000000" w:themeColor="text1"/>
        </w:rPr>
        <w:t>tem produzido</w:t>
      </w:r>
      <w:r w:rsidR="0070477E">
        <w:rPr>
          <w:color w:val="000000" w:themeColor="text1"/>
        </w:rPr>
        <w:t xml:space="preserve">, </w:t>
      </w:r>
      <w:r w:rsidR="0095246B">
        <w:rPr>
          <w:color w:val="000000" w:themeColor="text1"/>
        </w:rPr>
        <w:t>seria possível</w:t>
      </w:r>
      <w:r w:rsidR="0070477E">
        <w:rPr>
          <w:color w:val="000000" w:themeColor="text1"/>
        </w:rPr>
        <w:t xml:space="preserve"> afirmar que </w:t>
      </w:r>
      <w:r w:rsidR="000A4C0C">
        <w:rPr>
          <w:color w:val="000000" w:themeColor="text1"/>
        </w:rPr>
        <w:t xml:space="preserve">elas tornaram o mundo um lugar mais fácil de se viver. </w:t>
      </w:r>
      <w:r w:rsidR="00722C96">
        <w:rPr>
          <w:color w:val="000000" w:themeColor="text1"/>
        </w:rPr>
        <w:t xml:space="preserve">Há duas décadas, </w:t>
      </w:r>
      <w:r w:rsidR="00B84007">
        <w:rPr>
          <w:color w:val="000000" w:themeColor="text1"/>
        </w:rPr>
        <w:t xml:space="preserve">porém, </w:t>
      </w:r>
      <w:r w:rsidR="00DB589F" w:rsidRPr="001500C6">
        <w:rPr>
          <w:color w:val="000000" w:themeColor="text1"/>
        </w:rPr>
        <w:t>um terço do lixo doméstico já era composto por embalagens.</w:t>
      </w:r>
      <w:r w:rsidR="001500C6" w:rsidRPr="001500C6">
        <w:rPr>
          <w:color w:val="000000" w:themeColor="text1"/>
        </w:rPr>
        <w:t xml:space="preserve"> Não obstante a isso, aproximadamente </w:t>
      </w:r>
      <w:r w:rsidR="00DB589F" w:rsidRPr="001500C6">
        <w:rPr>
          <w:rFonts w:hint="cs"/>
          <w:color w:val="000000" w:themeColor="text1"/>
        </w:rPr>
        <w:t xml:space="preserve">80% das embalagens descartadas </w:t>
      </w:r>
      <w:r w:rsidR="001500C6" w:rsidRPr="001500C6">
        <w:rPr>
          <w:color w:val="000000" w:themeColor="text1"/>
        </w:rPr>
        <w:t>eram usadas apenas uma vez (</w:t>
      </w:r>
      <w:r w:rsidR="00B33F62">
        <w:rPr>
          <w:color w:val="000000" w:themeColor="text1"/>
        </w:rPr>
        <w:t>CONSUMO SUSTENTÁVEL</w:t>
      </w:r>
      <w:r w:rsidR="001500C6" w:rsidRPr="001500C6">
        <w:rPr>
          <w:color w:val="000000" w:themeColor="text1"/>
        </w:rPr>
        <w:t>, 2005).</w:t>
      </w:r>
      <w:r w:rsidR="00DB589F" w:rsidRPr="000476A8">
        <w:rPr>
          <w:rFonts w:hint="cs"/>
          <w:b/>
          <w:bCs/>
          <w:color w:val="000000" w:themeColor="text1"/>
        </w:rPr>
        <w:t xml:space="preserve"> </w:t>
      </w:r>
      <w:r w:rsidR="00FB12F9" w:rsidRPr="00FD40B8">
        <w:rPr>
          <w:color w:val="000000" w:themeColor="text1"/>
        </w:rPr>
        <w:t>De certo</w:t>
      </w:r>
      <w:r w:rsidR="00E836A0" w:rsidRPr="00FD40B8">
        <w:rPr>
          <w:color w:val="000000" w:themeColor="text1"/>
        </w:rPr>
        <w:t xml:space="preserve">, nesses últimos </w:t>
      </w:r>
      <w:r w:rsidR="00FD40B8" w:rsidRPr="00FD40B8">
        <w:rPr>
          <w:color w:val="000000" w:themeColor="text1"/>
        </w:rPr>
        <w:t>muitas ações em prol da sustentabilidade vêm</w:t>
      </w:r>
      <w:r w:rsidR="00295699" w:rsidRPr="00FD40B8">
        <w:rPr>
          <w:color w:val="000000" w:themeColor="text1"/>
        </w:rPr>
        <w:t xml:space="preserve"> sendo realizadas. Especialmente após a Conferência Rio+20</w:t>
      </w:r>
      <w:r w:rsidR="007A00C5" w:rsidRPr="00FD40B8">
        <w:rPr>
          <w:color w:val="000000" w:themeColor="text1"/>
        </w:rPr>
        <w:t>, em 2013</w:t>
      </w:r>
      <w:r w:rsidR="00295699" w:rsidRPr="00FD40B8">
        <w:rPr>
          <w:color w:val="000000" w:themeColor="text1"/>
        </w:rPr>
        <w:t xml:space="preserve">, </w:t>
      </w:r>
      <w:r w:rsidR="007A00C5" w:rsidRPr="00FD40B8">
        <w:rPr>
          <w:color w:val="000000" w:themeColor="text1"/>
        </w:rPr>
        <w:t xml:space="preserve">quando </w:t>
      </w:r>
      <w:r w:rsidR="003C4CBE" w:rsidRPr="00FD40B8">
        <w:rPr>
          <w:color w:val="000000" w:themeColor="text1"/>
        </w:rPr>
        <w:t xml:space="preserve">o governo </w:t>
      </w:r>
      <w:r w:rsidR="007A00C5" w:rsidRPr="00FD40B8">
        <w:rPr>
          <w:color w:val="000000" w:themeColor="text1"/>
        </w:rPr>
        <w:t xml:space="preserve">estabeleceu o compromisso com </w:t>
      </w:r>
      <w:r w:rsidR="00295699" w:rsidRPr="00FD40B8">
        <w:rPr>
          <w:color w:val="000000" w:themeColor="text1"/>
        </w:rPr>
        <w:t xml:space="preserve">os </w:t>
      </w:r>
      <w:r w:rsidR="00A273AC" w:rsidRPr="00FD40B8">
        <w:rPr>
          <w:color w:val="000000" w:themeColor="text1"/>
        </w:rPr>
        <w:t>Objetivos de Desenvolvimento Sustentável</w:t>
      </w:r>
      <w:r w:rsidR="00FD40B8">
        <w:rPr>
          <w:color w:val="000000" w:themeColor="text1"/>
        </w:rPr>
        <w:t xml:space="preserve">, </w:t>
      </w:r>
      <w:r w:rsidR="00295699" w:rsidRPr="009F2E93">
        <w:t>ODS</w:t>
      </w:r>
      <w:r w:rsidR="00FD40B8" w:rsidRPr="009F2E93">
        <w:t xml:space="preserve"> (</w:t>
      </w:r>
      <w:r w:rsidR="009F2E93" w:rsidRPr="009F2E93">
        <w:t xml:space="preserve">NAÇÕES, </w:t>
      </w:r>
      <w:r w:rsidR="00FD40B8" w:rsidRPr="009F2E93">
        <w:t>2025)</w:t>
      </w:r>
      <w:r w:rsidR="003C4CBE" w:rsidRPr="009F2E93">
        <w:t>.</w:t>
      </w:r>
      <w:r w:rsidR="00295699" w:rsidRPr="009F2E93">
        <w:rPr>
          <w:b/>
          <w:bCs/>
        </w:rPr>
        <w:t xml:space="preserve"> </w:t>
      </w:r>
    </w:p>
    <w:p w14:paraId="70F6370F" w14:textId="29894A80" w:rsidR="00FD40B8" w:rsidRDefault="00E1224E" w:rsidP="002915B1">
      <w:pPr>
        <w:spacing w:after="120"/>
        <w:ind w:firstLine="360"/>
      </w:pPr>
      <w:r>
        <w:rPr>
          <w:color w:val="000000" w:themeColor="text1"/>
        </w:rPr>
        <w:t xml:space="preserve">Um </w:t>
      </w:r>
      <w:r w:rsidR="005D5B3F">
        <w:rPr>
          <w:color w:val="000000" w:themeColor="text1"/>
        </w:rPr>
        <w:t>design de embalagens para a sustentabilidade deve ser a meta daqueles que atuam no setor</w:t>
      </w:r>
      <w:r w:rsidR="005D478F">
        <w:rPr>
          <w:color w:val="000000" w:themeColor="text1"/>
        </w:rPr>
        <w:t xml:space="preserve">: </w:t>
      </w:r>
      <w:r w:rsidR="005D5B3F" w:rsidRPr="002A6242">
        <w:rPr>
          <w:color w:val="000000" w:themeColor="text1"/>
        </w:rPr>
        <w:t xml:space="preserve">produzir embalagens com </w:t>
      </w:r>
      <w:r w:rsidR="002E79A2">
        <w:rPr>
          <w:color w:val="000000" w:themeColor="text1"/>
        </w:rPr>
        <w:t xml:space="preserve">menos danos ao ambiente </w:t>
      </w:r>
      <w:r w:rsidR="005D478F">
        <w:rPr>
          <w:color w:val="000000" w:themeColor="text1"/>
        </w:rPr>
        <w:t xml:space="preserve">e </w:t>
      </w:r>
      <w:r w:rsidR="002E79A2">
        <w:rPr>
          <w:color w:val="000000" w:themeColor="text1"/>
        </w:rPr>
        <w:t xml:space="preserve">mais benefícios às pessoas. </w:t>
      </w:r>
      <w:r w:rsidR="0001348C">
        <w:rPr>
          <w:color w:val="000000" w:themeColor="text1"/>
        </w:rPr>
        <w:t>Afinal, a e</w:t>
      </w:r>
      <w:r w:rsidR="00FD40B8" w:rsidRPr="002A6242">
        <w:rPr>
          <w:color w:val="000000" w:themeColor="text1"/>
        </w:rPr>
        <w:t>mbalagem está quase sempre presente nos mais diversos atos de consumo diário. Elas armazenam, conservam e intermediam nossas relações com alimentos, roupas, produtos de higiene, produtos de limpeza. Usamos embalagem para enviar correspondências, enviar presentes, realizar compras em shoppings e supermercados. Dado sua relação com a vida diária há de se presumir que em menor ou maior medida estará relacionada aos 17 objetivos para o desenvolvimento sustentável. Apenas para citar algumas correlações: o ODS2 (</w:t>
      </w:r>
      <w:r w:rsidR="00FD40B8" w:rsidRPr="00697075">
        <w:rPr>
          <w:color w:val="000000" w:themeColor="text1"/>
        </w:rPr>
        <w:t>Fome zero e agricultura sustentável</w:t>
      </w:r>
      <w:r w:rsidR="00FD40B8" w:rsidRPr="002A6242">
        <w:rPr>
          <w:color w:val="000000" w:themeColor="text1"/>
        </w:rPr>
        <w:t xml:space="preserve">) </w:t>
      </w:r>
      <w:r w:rsidR="00FD40B8">
        <w:rPr>
          <w:color w:val="000000" w:themeColor="text1"/>
        </w:rPr>
        <w:t>é impactado pelas</w:t>
      </w:r>
      <w:r w:rsidR="00FD40B8" w:rsidRPr="002A6242">
        <w:rPr>
          <w:color w:val="000000" w:themeColor="text1"/>
        </w:rPr>
        <w:t xml:space="preserve"> embalagens que </w:t>
      </w:r>
      <w:r w:rsidR="00FD40B8">
        <w:rPr>
          <w:color w:val="000000" w:themeColor="text1"/>
        </w:rPr>
        <w:t xml:space="preserve">devem </w:t>
      </w:r>
      <w:r w:rsidR="00FD40B8" w:rsidRPr="002A6242">
        <w:rPr>
          <w:color w:val="000000" w:themeColor="text1"/>
        </w:rPr>
        <w:t>cumpr</w:t>
      </w:r>
      <w:r w:rsidR="00FD40B8">
        <w:rPr>
          <w:color w:val="000000" w:themeColor="text1"/>
        </w:rPr>
        <w:t>ir</w:t>
      </w:r>
      <w:r w:rsidR="00FD40B8" w:rsidRPr="002A6242">
        <w:rPr>
          <w:color w:val="000000" w:themeColor="text1"/>
        </w:rPr>
        <w:t xml:space="preserve"> seu papel de estocagem e transporte; o ODS 3 (</w:t>
      </w:r>
      <w:r w:rsidR="00FD40B8" w:rsidRPr="00697075">
        <w:rPr>
          <w:color w:val="000000" w:themeColor="text1"/>
        </w:rPr>
        <w:t>Saúde e Bem-Estar</w:t>
      </w:r>
      <w:r w:rsidR="00FD40B8" w:rsidRPr="002A6242">
        <w:rPr>
          <w:color w:val="000000" w:themeColor="text1"/>
        </w:rPr>
        <w:t xml:space="preserve">) </w:t>
      </w:r>
      <w:r w:rsidR="00FD40B8">
        <w:rPr>
          <w:color w:val="000000" w:themeColor="text1"/>
        </w:rPr>
        <w:t>pode sofrer impacto da</w:t>
      </w:r>
      <w:r w:rsidR="00FD40B8" w:rsidRPr="002A6242">
        <w:rPr>
          <w:color w:val="000000" w:themeColor="text1"/>
        </w:rPr>
        <w:t xml:space="preserve"> qualidade dos materiais (que </w:t>
      </w:r>
      <w:r w:rsidR="00FD40B8">
        <w:t>não devem apresentar toxicidade) ou mesmo que projetos de embalagem que devem priorizar a usabilidade e manuseio sem riscos; o ODS 10 (</w:t>
      </w:r>
      <w:r w:rsidR="00FD40B8" w:rsidRPr="00697075">
        <w:t>Redução das desigualdades</w:t>
      </w:r>
      <w:r w:rsidR="00FD40B8">
        <w:t>) pode ser impactado positivamente por projetos de embalagens mais inclusivas e acessíveis;  o ODS 1</w:t>
      </w:r>
      <w:r w:rsidR="00FD40B8" w:rsidRPr="00697075">
        <w:t>2</w:t>
      </w:r>
      <w:r w:rsidR="00FD40B8">
        <w:t xml:space="preserve"> (</w:t>
      </w:r>
      <w:r w:rsidR="00FD40B8" w:rsidRPr="00697075">
        <w:t>Consumo e produção responsáveis</w:t>
      </w:r>
      <w:r w:rsidR="00FD40B8">
        <w:t xml:space="preserve">) é talvez o que mais possui relação uma vez que as embalagens, conforme supracitado, mediam as relação atuais de consumo; por fim, os ODS </w:t>
      </w:r>
      <w:r w:rsidR="00FD40B8" w:rsidRPr="00697075">
        <w:t>14</w:t>
      </w:r>
      <w:r w:rsidR="00FD40B8">
        <w:t xml:space="preserve"> (</w:t>
      </w:r>
      <w:r w:rsidR="00FD40B8" w:rsidRPr="00697075">
        <w:t>Vida na água</w:t>
      </w:r>
      <w:r w:rsidR="00FD40B8">
        <w:t xml:space="preserve">) e ODS </w:t>
      </w:r>
      <w:r w:rsidR="00FD40B8" w:rsidRPr="00697075">
        <w:t>15</w:t>
      </w:r>
      <w:r w:rsidR="00FD40B8">
        <w:t xml:space="preserve"> (</w:t>
      </w:r>
      <w:r w:rsidR="00FD40B8" w:rsidRPr="00697075">
        <w:t>Vida terrestre</w:t>
      </w:r>
      <w:r w:rsidR="00FD40B8">
        <w:t xml:space="preserve">) são impactados pelo exploração dos recursos utilizados na produção de embalagens, seja pelo descarte incorreto das mesmas. Estes exemplos ilustram o quão o design estrutural de uma embalagem pode impactar de forma positiva ou negativa nas ações orientadas a sustentabilidade. Se considerarmos o design visual delas, e </w:t>
      </w:r>
      <w:r w:rsidR="00FD40B8">
        <w:lastRenderedPageBreak/>
        <w:t>consequentemente o papel midiático que a embalagem pode desempenhar poderíamos expandir seus impactos para os demais objetivos.</w:t>
      </w:r>
    </w:p>
    <w:p w14:paraId="30AB297F" w14:textId="77777777" w:rsidR="00FD40B8" w:rsidRPr="00842BB2" w:rsidRDefault="00FD40B8" w:rsidP="00C56D30">
      <w:pPr>
        <w:spacing w:after="120"/>
        <w:ind w:firstLine="360"/>
      </w:pPr>
      <w:r>
        <w:t xml:space="preserve">Para a presente pesquisa, foram selecionados os </w:t>
      </w:r>
      <w:r w:rsidRPr="002A6242">
        <w:rPr>
          <w:color w:val="000000" w:themeColor="text1"/>
        </w:rPr>
        <w:t>ODS 3 (</w:t>
      </w:r>
      <w:r w:rsidRPr="00697075">
        <w:rPr>
          <w:color w:val="000000" w:themeColor="text1"/>
        </w:rPr>
        <w:t>Saúde e Bem-Estar</w:t>
      </w:r>
      <w:r w:rsidRPr="002A6242">
        <w:rPr>
          <w:color w:val="000000" w:themeColor="text1"/>
        </w:rPr>
        <w:t>)</w:t>
      </w:r>
      <w:r>
        <w:rPr>
          <w:color w:val="000000" w:themeColor="text1"/>
        </w:rPr>
        <w:t xml:space="preserve"> e</w:t>
      </w:r>
      <w:r>
        <w:t xml:space="preserve"> ODS 10 (</w:t>
      </w:r>
      <w:r w:rsidRPr="00697075">
        <w:t>Redução das desigualdades</w:t>
      </w:r>
      <w:r>
        <w:t xml:space="preserve">) para investigar possíveis contribuições de um projeto de embalagens. Tendo observado o franco crescimento da indústria farmacêutica, somado ao aumento dos hábitos de automedicação, delimitamos a pesquisa ao segmento de medicamentos isentos de prescrição (MIP) destinados ao alívio de dores e febres. No que diz respeito à questão de desigualdades, o objetivo posto foi o de identificar o quão inclusivas e acessíveis são as embalagens de tais medicamentos. De que maneira, o design visual delas pode </w:t>
      </w:r>
      <w:r w:rsidRPr="00842BB2">
        <w:t xml:space="preserve">auxiliar consumidores em maior condição de vulnerabilidade como idosos e portadores de deficiência visual no processo de decisão de compra e usabilidade. </w:t>
      </w:r>
    </w:p>
    <w:p w14:paraId="47568E85" w14:textId="77777777" w:rsidR="005E3781" w:rsidRDefault="005E3781" w:rsidP="00D818EC">
      <w:pPr>
        <w:spacing w:after="120"/>
        <w:rPr>
          <w:color w:val="000000" w:themeColor="text1"/>
        </w:rPr>
      </w:pPr>
    </w:p>
    <w:p w14:paraId="5CC8CFB7" w14:textId="5EF95F61" w:rsidR="009556AB" w:rsidRDefault="006D52FF">
      <w:pPr>
        <w:numPr>
          <w:ilvl w:val="0"/>
          <w:numId w:val="2"/>
        </w:numPr>
        <w:pBdr>
          <w:top w:val="nil"/>
          <w:left w:val="nil"/>
          <w:bottom w:val="nil"/>
          <w:right w:val="nil"/>
          <w:between w:val="nil"/>
        </w:pBdr>
        <w:spacing w:after="120"/>
        <w:rPr>
          <w:b/>
          <w:color w:val="000000"/>
        </w:rPr>
      </w:pPr>
      <w:r w:rsidRPr="006D52FF">
        <w:rPr>
          <w:b/>
          <w:color w:val="000000"/>
        </w:rPr>
        <w:t>Papel das embalagens no mercado de medicamentos</w:t>
      </w:r>
    </w:p>
    <w:p w14:paraId="55FE99BC" w14:textId="77777777" w:rsidR="006D52FF" w:rsidRDefault="006D52FF" w:rsidP="006D52FF">
      <w:pPr>
        <w:spacing w:after="120"/>
        <w:ind w:firstLine="360"/>
      </w:pPr>
      <w:r>
        <w:t xml:space="preserve">A indústria farmacêutica movimentou no ano de 2022 “mais de R$131,2 bilhões com a venda de mais de 5,7 bilhões de embalagens de medicamentos” (SCMED, 2022, p.9). Trata-se de um setor que traz para o país inúmeros benefícios, desde a geração de empregos até o fornecimento de medicamentos para a população em geral. Para tanto, envolve a participação de profissionais das mais diversas áreas, tais como químicos, engenheiros, administradores, vendedores, técnicos de qualidade, e designers. Assim como a maioria dos produtos hoje comercializados, medicamentos necessitam de embalagens tanto para funções básicas de acondicionamento, proteção e transporte, quanto para funções de natureza mercadológica, como atrair, informar e convencer o consumidor de que este está fazendo a escolha certa.  Segundo o especialista em embalagens Fábio Mestriner, esta é um meio e não um fim (2002). Nesse sentido, poderíamos inferir que uma embalagem de medicamentos cumpre seu papel quando chega no lar do consumidor e possibilita plena experiência no uso do produto. E, portanto, fazendo valer todos os investimentos da cadeia de produção e suprimento. </w:t>
      </w:r>
    </w:p>
    <w:p w14:paraId="1CB00572" w14:textId="457B518C" w:rsidR="00A83BFA" w:rsidRDefault="006D52FF" w:rsidP="00A83BFA">
      <w:pPr>
        <w:spacing w:after="120"/>
        <w:ind w:firstLine="360"/>
      </w:pPr>
      <w:r>
        <w:t>O percurso de uma embalagem é longo, considerando sua saída da indústria até a casa do consumidor final. Porém, argumenta-se que uma etapa de extrema importância é quando ela está no ponto de venda (PDV) aguardando a decisão do comprador. No caso dos Medicamentos Isentos de Prescrição (MIP), comercializados em grande parte sem a mediação de um balconista especializado, a embalagem atuará como um “vendedor silencioso” (</w:t>
      </w:r>
      <w:proofErr w:type="spellStart"/>
      <w:r>
        <w:t>Pilditch</w:t>
      </w:r>
      <w:proofErr w:type="spellEnd"/>
      <w:r>
        <w:t>, 19</w:t>
      </w:r>
      <w:r w:rsidR="00A050B3">
        <w:t>61</w:t>
      </w:r>
      <w:r>
        <w:t xml:space="preserve">) e deverá sempre que possível auxiliar o consumidor na identificação, manuseio e ingestão/administração deles. </w:t>
      </w:r>
      <w:r w:rsidR="00153A95">
        <w:t xml:space="preserve">Mesmo porque, neste cenário de compra e venda coexistem </w:t>
      </w:r>
      <w:proofErr w:type="spellStart"/>
      <w:r w:rsidR="00153A95">
        <w:t>MIPs</w:t>
      </w:r>
      <w:proofErr w:type="spellEnd"/>
      <w:r w:rsidR="00153A95">
        <w:t xml:space="preserve"> </w:t>
      </w:r>
      <w:r w:rsidR="00685C4C">
        <w:t xml:space="preserve">de características diferentes e consequentemente preços diferentes. </w:t>
      </w:r>
      <w:r w:rsidR="0027634E">
        <w:t>As três principais características consideradas no presente estudo são: medicamentos de referência; medicamentos genéricos</w:t>
      </w:r>
      <w:r w:rsidR="009133D6">
        <w:t xml:space="preserve">; e medicamentos bioequivalentes. De acordo com a Anvisa </w:t>
      </w:r>
      <w:r w:rsidR="00EA191C">
        <w:t>(2025a</w:t>
      </w:r>
      <w:r w:rsidR="009133D6">
        <w:t>)</w:t>
      </w:r>
      <w:r w:rsidR="009A13C5">
        <w:t>:</w:t>
      </w:r>
      <w:r w:rsidR="00CD251D">
        <w:t xml:space="preserve"> </w:t>
      </w:r>
      <w:r w:rsidR="00CD4B81">
        <w:t>m</w:t>
      </w:r>
      <w:r w:rsidR="00CD251D" w:rsidRPr="00CD4B81">
        <w:t>edicamento</w:t>
      </w:r>
      <w:r w:rsidR="00CD4B81">
        <w:t>s</w:t>
      </w:r>
      <w:r w:rsidR="00CD251D" w:rsidRPr="00CD4B81">
        <w:t xml:space="preserve"> de referência</w:t>
      </w:r>
      <w:r w:rsidR="00CD4B81">
        <w:t xml:space="preserve"> são aqueles de fórmula inovadora </w:t>
      </w:r>
      <w:r w:rsidR="000009DE">
        <w:t>“</w:t>
      </w:r>
      <w:r w:rsidR="00CD251D" w:rsidRPr="00816AA1">
        <w:t xml:space="preserve">cuja eficácia, segurança e qualidade foram comprovadas cientificamente junto </w:t>
      </w:r>
      <w:r w:rsidR="00BF1681">
        <w:t>ao órgão</w:t>
      </w:r>
      <w:r w:rsidR="00CD251D" w:rsidRPr="00816AA1">
        <w:t>, por ocasião do registro</w:t>
      </w:r>
      <w:r w:rsidR="000009DE">
        <w:t>”</w:t>
      </w:r>
      <w:r w:rsidR="009A13C5">
        <w:t>; o</w:t>
      </w:r>
      <w:r w:rsidR="00BF1681">
        <w:t xml:space="preserve">s </w:t>
      </w:r>
      <w:r w:rsidR="00A83BFA">
        <w:t xml:space="preserve">medicamentos </w:t>
      </w:r>
      <w:r w:rsidR="00BF1681">
        <w:t xml:space="preserve">genéricos </w:t>
      </w:r>
      <w:r w:rsidR="00BE53B8">
        <w:t>“</w:t>
      </w:r>
      <w:r w:rsidR="00BF1681">
        <w:t xml:space="preserve">são aqueles </w:t>
      </w:r>
      <w:r w:rsidR="00CD251D" w:rsidRPr="000C5F0C">
        <w:t>que contém o mesmo princípio ativo, na mesma dose e forma farmacêutica</w:t>
      </w:r>
      <w:r w:rsidR="00BE53B8">
        <w:t xml:space="preserve"> (...)</w:t>
      </w:r>
      <w:r w:rsidR="00CD251D" w:rsidRPr="000C5F0C">
        <w:t>, apresentando eficácia e segurança equivalentes à do medicamento de referência podendo, com este, ser intercambiável</w:t>
      </w:r>
      <w:r w:rsidR="00BE53B8">
        <w:t>”</w:t>
      </w:r>
      <w:r w:rsidR="00902AAD">
        <w:t>; por fim,</w:t>
      </w:r>
      <w:r w:rsidR="009A13C5">
        <w:t xml:space="preserve"> </w:t>
      </w:r>
      <w:r w:rsidR="00A83BFA">
        <w:t>medicamentos bioequivalentes</w:t>
      </w:r>
      <w:r w:rsidR="00EA1877">
        <w:t xml:space="preserve"> são aqueles que apresentam </w:t>
      </w:r>
      <w:r w:rsidR="00EA1877" w:rsidRPr="000C5F0C">
        <w:t>equivalência farmacêutica</w:t>
      </w:r>
      <w:r w:rsidR="00B2483A">
        <w:t xml:space="preserve"> com um medicamento de referência</w:t>
      </w:r>
      <w:r w:rsidR="00FE0959">
        <w:t xml:space="preserve"> e cuja veracidade </w:t>
      </w:r>
      <w:r w:rsidR="000F3BC2" w:rsidRPr="000F3BC2">
        <w:t xml:space="preserve">técnica e </w:t>
      </w:r>
      <w:r w:rsidR="00E22B6F">
        <w:t xml:space="preserve">jurídica recai sobre centros/institutos de bioequivalência autorizados. </w:t>
      </w:r>
      <w:r w:rsidR="00CA1D6A">
        <w:t>Os medicamentos de referência e bioequivalentes podem utilizar marca comercial com logotipos específicos</w:t>
      </w:r>
      <w:r w:rsidR="0054124F">
        <w:t xml:space="preserve">. Quanto </w:t>
      </w:r>
      <w:r w:rsidR="00CA1D6A">
        <w:t>aos genéricos</w:t>
      </w:r>
      <w:r w:rsidR="0054124F">
        <w:t>,</w:t>
      </w:r>
      <w:r w:rsidR="00CA1D6A">
        <w:t xml:space="preserve"> não é permitido uso de marca</w:t>
      </w:r>
      <w:r w:rsidR="005B6E66">
        <w:t>, devendo conter informações específicas ta</w:t>
      </w:r>
      <w:r w:rsidR="0054124F">
        <w:t>is</w:t>
      </w:r>
      <w:r w:rsidR="005B6E66">
        <w:t xml:space="preserve"> qua</w:t>
      </w:r>
      <w:r w:rsidR="0054124F">
        <w:t>is</w:t>
      </w:r>
      <w:r w:rsidR="005B6E66">
        <w:t xml:space="preserve"> regulada</w:t>
      </w:r>
      <w:r w:rsidR="0054124F">
        <w:t xml:space="preserve">s pela Anvisa. </w:t>
      </w:r>
      <w:r w:rsidR="00CA1D6A">
        <w:t xml:space="preserve"> </w:t>
      </w:r>
    </w:p>
    <w:p w14:paraId="591C24F5" w14:textId="020D3309" w:rsidR="009556AB" w:rsidRDefault="00D70CCD" w:rsidP="006D52FF">
      <w:pPr>
        <w:spacing w:after="120"/>
        <w:ind w:firstLine="360"/>
      </w:pPr>
      <w:r>
        <w:t>Isto posto, n</w:t>
      </w:r>
      <w:r w:rsidR="006D52FF">
        <w:t xml:space="preserve">o momento de decisão de compra é possível que haja confusão na escolha do produto correto. Afinal, esse processo de decisão sofre a influência de fatores culturais, sociais, </w:t>
      </w:r>
      <w:r w:rsidR="006D52FF">
        <w:lastRenderedPageBreak/>
        <w:t>pessoais e psicológicos (Kotler, Keller; 2018). No que diz respeito aos fatores psicológicos, a percepção é um dos pontos importantes a se destacar. A forma como o consumidor decide é consequência da forma como ele percebe a informação posta nas embalagens, i. e., a forma como ele interpreta as informações recebidas e as correlaciona a suas experiências passadas. Considerando que as embalagens possuem uma linguagem mista (ao mesmo tempo verbal e visual), há de se ressaltar a importância das cores e imagens em tal momento de decisão. E, consequentemente, torna-se importante um estudo do design visual destas embalagens a fim de averiguar, em que medida, determinado grupo de consumidores é capaz de distinguir e identificar com clareza as marcas dos produtos que deseja comprar.</w:t>
      </w:r>
    </w:p>
    <w:p w14:paraId="62C92EE6" w14:textId="2E6EA22E" w:rsidR="001A101F" w:rsidRDefault="001A101F" w:rsidP="001A101F">
      <w:pPr>
        <w:pStyle w:val="Subttulo"/>
        <w:ind w:left="360" w:firstLine="0"/>
      </w:pPr>
      <w:r w:rsidRPr="001A101F">
        <w:rPr>
          <w:rFonts w:ascii="Times New Roman" w:eastAsia="Times New Roman" w:hAnsi="Times New Roman" w:cs="Times New Roman"/>
          <w:b w:val="0"/>
          <w:bCs/>
        </w:rPr>
        <w:t>2.1.</w:t>
      </w:r>
      <w:r>
        <w:rPr>
          <w:rFonts w:ascii="Times New Roman" w:eastAsia="Times New Roman" w:hAnsi="Times New Roman" w:cs="Times New Roman"/>
        </w:rPr>
        <w:t xml:space="preserve"> Embalagens como suportes midiáticos. </w:t>
      </w:r>
    </w:p>
    <w:p w14:paraId="22BCC89A" w14:textId="704924EA" w:rsidR="005E1E84" w:rsidRPr="00D90B9C" w:rsidRDefault="0020681D" w:rsidP="004311E8">
      <w:pPr>
        <w:spacing w:after="120"/>
        <w:ind w:firstLine="360"/>
      </w:pPr>
      <w:r w:rsidRPr="00D90B9C">
        <w:t xml:space="preserve">É possível definirmos a embalagem moderna </w:t>
      </w:r>
      <w:r w:rsidR="0016262E" w:rsidRPr="00D90B9C">
        <w:t xml:space="preserve">como um </w:t>
      </w:r>
      <w:r w:rsidR="00527884" w:rsidRPr="00D90B9C">
        <w:t>sistema cuja função é técnica e comercial</w:t>
      </w:r>
      <w:r w:rsidR="003A0128" w:rsidRPr="00D90B9C">
        <w:t xml:space="preserve">. Não apenas deve </w:t>
      </w:r>
      <w:r w:rsidR="00527884" w:rsidRPr="00D90B9C">
        <w:t>acondicionar, proteger</w:t>
      </w:r>
      <w:r w:rsidR="003A0128" w:rsidRPr="00D90B9C">
        <w:t xml:space="preserve"> e transportar um produto, mas também informar,</w:t>
      </w:r>
      <w:r w:rsidR="00527884" w:rsidRPr="00D90B9C">
        <w:t xml:space="preserve"> identificar, promover e </w:t>
      </w:r>
      <w:r w:rsidR="003A0128" w:rsidRPr="00D90B9C">
        <w:t>vende-lo (</w:t>
      </w:r>
      <w:r w:rsidR="005E1E84" w:rsidRPr="00D90B9C">
        <w:t>Negrão</w:t>
      </w:r>
      <w:r w:rsidR="00C410AD">
        <w:t xml:space="preserve">; </w:t>
      </w:r>
      <w:r w:rsidR="00C410AD" w:rsidRPr="00D90B9C">
        <w:t>Camargo</w:t>
      </w:r>
      <w:r w:rsidR="00527884" w:rsidRPr="00D90B9C">
        <w:t>, 2008</w:t>
      </w:r>
      <w:r w:rsidR="005E1E84" w:rsidRPr="00D90B9C">
        <w:t xml:space="preserve">). Como afirma </w:t>
      </w:r>
      <w:r w:rsidR="001925FF">
        <w:t xml:space="preserve">Fábio </w:t>
      </w:r>
      <w:r w:rsidR="005E1E84" w:rsidRPr="00D90B9C">
        <w:t>Mestriner</w:t>
      </w:r>
      <w:r w:rsidR="001925FF">
        <w:t xml:space="preserve"> (2024)</w:t>
      </w:r>
      <w:r w:rsidR="00307B41" w:rsidRPr="00D90B9C">
        <w:t>, ela é um</w:t>
      </w:r>
      <w:r w:rsidR="005E1E84" w:rsidRPr="00D90B9C">
        <w:t xml:space="preserve">: </w:t>
      </w:r>
    </w:p>
    <w:p w14:paraId="3A7554F9" w14:textId="4D5457CA" w:rsidR="00527884" w:rsidRPr="00C410AD" w:rsidRDefault="005E1E84" w:rsidP="00C410AD">
      <w:pPr>
        <w:spacing w:after="120"/>
        <w:ind w:left="1134"/>
        <w:rPr>
          <w:color w:val="A6A6A6"/>
          <w:sz w:val="20"/>
          <w:szCs w:val="20"/>
        </w:rPr>
      </w:pPr>
      <w:r w:rsidRPr="00C410AD">
        <w:rPr>
          <w:color w:val="000000" w:themeColor="text1"/>
          <w:sz w:val="20"/>
          <w:szCs w:val="20"/>
        </w:rPr>
        <w:t xml:space="preserve">sistema que envolve materiais, tecnologia, processos, equipamentos, design, marketing, logística e comunicação. Ela é um meio, não um fim. Seu objetivo é embalar o produto protegendo-o para que ele possa durar, ser transportado, exposto e comercializado, chegando até o consumidor em perfeitas condições de consumo. </w:t>
      </w:r>
      <w:r w:rsidR="00527884" w:rsidRPr="00C410AD">
        <w:rPr>
          <w:color w:val="A6A6A6"/>
          <w:sz w:val="20"/>
          <w:szCs w:val="20"/>
        </w:rPr>
        <w:t xml:space="preserve">  </w:t>
      </w:r>
    </w:p>
    <w:p w14:paraId="3E66E4E3" w14:textId="1C592977" w:rsidR="00C85DE3" w:rsidRDefault="00B71222" w:rsidP="00070297">
      <w:pPr>
        <w:spacing w:after="120"/>
        <w:ind w:firstLine="284"/>
        <w:rPr>
          <w:color w:val="A6A6A6"/>
        </w:rPr>
      </w:pPr>
      <w:r w:rsidRPr="00413FDD">
        <w:t xml:space="preserve"> </w:t>
      </w:r>
      <w:r w:rsidR="00512B0F" w:rsidRPr="00413FDD">
        <w:t xml:space="preserve">Posto que </w:t>
      </w:r>
      <w:r w:rsidR="00334F77" w:rsidRPr="00413FDD">
        <w:t>as embalagens estão presentes no processo de comunicação</w:t>
      </w:r>
      <w:r w:rsidR="00C52301" w:rsidRPr="00413FDD">
        <w:t>, argumenta</w:t>
      </w:r>
      <w:r w:rsidR="00AA063E">
        <w:t>-se</w:t>
      </w:r>
      <w:r w:rsidR="00C52301" w:rsidRPr="00413FDD">
        <w:t xml:space="preserve"> que </w:t>
      </w:r>
      <w:r w:rsidR="007D61BA" w:rsidRPr="00413FDD">
        <w:t>ela</w:t>
      </w:r>
      <w:r w:rsidR="00E5555A" w:rsidRPr="00413FDD">
        <w:t>s</w:t>
      </w:r>
      <w:r w:rsidR="007D61BA" w:rsidRPr="00413FDD">
        <w:t xml:space="preserve"> se constitu</w:t>
      </w:r>
      <w:r w:rsidR="00E5555A" w:rsidRPr="00413FDD">
        <w:t>em</w:t>
      </w:r>
      <w:r w:rsidR="007D61BA" w:rsidRPr="00413FDD">
        <w:t xml:space="preserve"> como um suporte de “linguagem híbrida visual verbal” (Santaella, 2001)</w:t>
      </w:r>
      <w:r w:rsidR="005D5F47" w:rsidRPr="00413FDD">
        <w:t>. Isto é, um</w:t>
      </w:r>
      <w:r w:rsidR="007342A2" w:rsidRPr="00413FDD">
        <w:t xml:space="preserve"> suporte midiático</w:t>
      </w:r>
      <w:r w:rsidR="005D5F47" w:rsidRPr="00413FDD">
        <w:t xml:space="preserve"> cujo</w:t>
      </w:r>
      <w:r w:rsidR="008352A1" w:rsidRPr="00413FDD">
        <w:t xml:space="preserve"> design visual </w:t>
      </w:r>
      <w:r w:rsidR="001A12D6" w:rsidRPr="00413FDD">
        <w:t>terá efeitos retóricos sob o consumidor</w:t>
      </w:r>
      <w:r w:rsidR="00325956" w:rsidRPr="00413FDD">
        <w:t xml:space="preserve">, </w:t>
      </w:r>
      <w:r w:rsidR="00A622B2" w:rsidRPr="00413FDD">
        <w:t>a partir da combinação de palavras de caráter persuasivo e elementos visuais (dentre os quais, as cores</w:t>
      </w:r>
      <w:r w:rsidR="000F4CD7" w:rsidRPr="00413FDD">
        <w:t xml:space="preserve"> e elementos gráficos</w:t>
      </w:r>
      <w:r w:rsidR="00A622B2" w:rsidRPr="00413FDD">
        <w:t>) com intuito final de transmitir certos valores ao consumidor.</w:t>
      </w:r>
      <w:r w:rsidR="000F4CD7" w:rsidRPr="00413FDD">
        <w:t xml:space="preserve"> </w:t>
      </w:r>
      <w:r w:rsidR="00012D7F" w:rsidRPr="00413FDD">
        <w:t>A</w:t>
      </w:r>
      <w:r w:rsidR="00AA063E">
        <w:t>o a</w:t>
      </w:r>
      <w:r w:rsidR="00012D7F" w:rsidRPr="00413FDD">
        <w:t xml:space="preserve">dmitir o papel retórico das embalagens, </w:t>
      </w:r>
      <w:r w:rsidR="00DC2F0A" w:rsidRPr="00413FDD">
        <w:t>uma marca explorar a publicidade de seus produtos.</w:t>
      </w:r>
      <w:r w:rsidR="00EE680D">
        <w:t xml:space="preserve"> </w:t>
      </w:r>
      <w:r w:rsidR="00E05C2C" w:rsidRPr="002E5C2F">
        <w:t xml:space="preserve">De certo, nem </w:t>
      </w:r>
      <w:r w:rsidR="00C85DE3" w:rsidRPr="002E5C2F">
        <w:t xml:space="preserve">tudo é retórica quando se trata de informação. </w:t>
      </w:r>
      <w:r w:rsidR="00A87142" w:rsidRPr="002E5C2F">
        <w:t xml:space="preserve">Há dados </w:t>
      </w:r>
      <w:r w:rsidR="004A65F3" w:rsidRPr="002E5C2F">
        <w:t xml:space="preserve">obrigatórios </w:t>
      </w:r>
      <w:r w:rsidR="00D728D2" w:rsidRPr="002E5C2F">
        <w:t xml:space="preserve">que devem ser incluídos nas embalagens a fim de </w:t>
      </w:r>
      <w:r w:rsidR="006118D4" w:rsidRPr="002E5C2F">
        <w:t xml:space="preserve">garantir a segurança e a conformidade com </w:t>
      </w:r>
      <w:r w:rsidR="00370619" w:rsidRPr="002E5C2F">
        <w:t>a legislação. Bem como, atender aos direito</w:t>
      </w:r>
      <w:r w:rsidR="006118D4" w:rsidRPr="002E5C2F">
        <w:t>s básicos do consumidor</w:t>
      </w:r>
      <w:r w:rsidR="00370619" w:rsidRPr="002E5C2F">
        <w:t>.</w:t>
      </w:r>
      <w:r w:rsidR="006A2566" w:rsidRPr="002E5C2F">
        <w:t xml:space="preserve"> Tais informações (</w:t>
      </w:r>
      <w:r w:rsidR="00C85DE3" w:rsidRPr="002E5C2F">
        <w:t>técnicas</w:t>
      </w:r>
      <w:r w:rsidR="006A2566" w:rsidRPr="002E5C2F">
        <w:t>)</w:t>
      </w:r>
      <w:r w:rsidR="00086561">
        <w:t xml:space="preserve">, de fato, </w:t>
      </w:r>
      <w:r w:rsidR="00C85DE3" w:rsidRPr="002E5C2F">
        <w:t xml:space="preserve">não </w:t>
      </w:r>
      <w:r w:rsidR="006A2566" w:rsidRPr="002E5C2F">
        <w:t xml:space="preserve">devem </w:t>
      </w:r>
      <w:r w:rsidR="00C85DE3" w:rsidRPr="002E5C2F">
        <w:t>possu</w:t>
      </w:r>
      <w:r w:rsidR="006A2566" w:rsidRPr="002E5C2F">
        <w:t>ir</w:t>
      </w:r>
      <w:r w:rsidR="00C85DE3" w:rsidRPr="002E5C2F">
        <w:t xml:space="preserve"> intenção de persuadir</w:t>
      </w:r>
      <w:r w:rsidR="00E07A23" w:rsidRPr="002E5C2F">
        <w:t>.</w:t>
      </w:r>
      <w:r w:rsidR="00C85DE3" w:rsidRPr="002E5C2F">
        <w:t xml:space="preserve"> No entanto, mensagens que discursam sobre vantagens do produto</w:t>
      </w:r>
      <w:r w:rsidR="005C7D77" w:rsidRPr="002E5C2F">
        <w:t xml:space="preserve"> atrelado ao uso de</w:t>
      </w:r>
      <w:r w:rsidR="00C85DE3" w:rsidRPr="002E5C2F">
        <w:t xml:space="preserve"> cores</w:t>
      </w:r>
      <w:r w:rsidR="005C7D77" w:rsidRPr="002E5C2F">
        <w:t xml:space="preserve"> e </w:t>
      </w:r>
      <w:r w:rsidR="00C85DE3" w:rsidRPr="002E5C2F">
        <w:t xml:space="preserve">imagens </w:t>
      </w:r>
      <w:r w:rsidR="005C7D77" w:rsidRPr="002E5C2F">
        <w:t>específicas</w:t>
      </w:r>
      <w:r w:rsidR="00C85DE3" w:rsidRPr="002E5C2F">
        <w:t>, podem ser consideradas um “exercício retórico na medida em que procura persuadir (fazer crer) os espectadores a modificar um comportamento” (M</w:t>
      </w:r>
      <w:r w:rsidR="005C7D77" w:rsidRPr="002E5C2F">
        <w:t>ateus</w:t>
      </w:r>
      <w:r w:rsidR="00C85DE3" w:rsidRPr="002E5C2F">
        <w:t>, 2018, p. 21).</w:t>
      </w:r>
      <w:r w:rsidR="00764D17" w:rsidRPr="002E5C2F">
        <w:t xml:space="preserve"> Nem todos as marcas possuem, porém,</w:t>
      </w:r>
      <w:r w:rsidR="00070297" w:rsidRPr="002E5C2F">
        <w:t xml:space="preserve"> </w:t>
      </w:r>
      <w:r w:rsidR="005B0BF3" w:rsidRPr="00EE680D">
        <w:t xml:space="preserve">liberdade para explorar tal suporte midiático. Os medicamentos, </w:t>
      </w:r>
      <w:r w:rsidR="009C7F6C" w:rsidRPr="00EE680D">
        <w:t>objeto do presente estudo, são</w:t>
      </w:r>
      <w:r w:rsidR="00086561">
        <w:t xml:space="preserve"> produtos</w:t>
      </w:r>
      <w:r w:rsidR="009C7F6C" w:rsidRPr="00EE680D">
        <w:t xml:space="preserve"> rigorosamente legislados. </w:t>
      </w:r>
    </w:p>
    <w:p w14:paraId="76396949" w14:textId="149F798E" w:rsidR="00D72B05" w:rsidRDefault="000C3686" w:rsidP="00192A66">
      <w:pPr>
        <w:spacing w:after="120"/>
        <w:ind w:firstLine="284"/>
      </w:pPr>
      <w:r w:rsidRPr="00BB2D6A">
        <w:t>Por alguns anos</w:t>
      </w:r>
      <w:r w:rsidR="00154098">
        <w:t>,</w:t>
      </w:r>
      <w:r w:rsidRPr="00BB2D6A">
        <w:t xml:space="preserve"> a indústria farmacêutica pode explorar </w:t>
      </w:r>
      <w:r w:rsidR="00AB32AA" w:rsidRPr="00BB2D6A">
        <w:t>o comércio de medicamentos na forma de tônicos e elixires</w:t>
      </w:r>
      <w:r w:rsidR="00E81119" w:rsidRPr="00BB2D6A">
        <w:t>; n</w:t>
      </w:r>
      <w:r w:rsidR="00EE680D" w:rsidRPr="00BB2D6A">
        <w:t xml:space="preserve">o entanto, </w:t>
      </w:r>
      <w:r w:rsidR="003012C6" w:rsidRPr="00BB2D6A">
        <w:t xml:space="preserve">em 23 de setembro de 1976, </w:t>
      </w:r>
      <w:r w:rsidR="00EE680D" w:rsidRPr="00BB2D6A">
        <w:t>com a assinatura da</w:t>
      </w:r>
      <w:r w:rsidR="003012C6" w:rsidRPr="00BB2D6A">
        <w:t xml:space="preserve"> Lei de Vigilância Sanitária</w:t>
      </w:r>
      <w:r w:rsidR="00E81119" w:rsidRPr="00BB2D6A">
        <w:t xml:space="preserve">, </w:t>
      </w:r>
      <w:r w:rsidR="001D5F3C" w:rsidRPr="00BB2D6A">
        <w:t>a</w:t>
      </w:r>
      <w:r w:rsidR="003012C6" w:rsidRPr="00BB2D6A">
        <w:t xml:space="preserve"> publicidade de medicamentos</w:t>
      </w:r>
      <w:r w:rsidR="001D5F3C" w:rsidRPr="00BB2D6A">
        <w:t xml:space="preserve"> passou a </w:t>
      </w:r>
      <w:r w:rsidR="007821A1" w:rsidRPr="00BB2D6A">
        <w:t>ser controlada (</w:t>
      </w:r>
      <w:r w:rsidR="007821A1" w:rsidRPr="00A520F6">
        <w:t>Bueno</w:t>
      </w:r>
      <w:r w:rsidR="00E27691">
        <w:t xml:space="preserve">; </w:t>
      </w:r>
      <w:proofErr w:type="spellStart"/>
      <w:r w:rsidR="007821A1" w:rsidRPr="00A520F6">
        <w:t>Taitelbaum</w:t>
      </w:r>
      <w:proofErr w:type="spellEnd"/>
      <w:r w:rsidR="007821A1" w:rsidRPr="00BB2D6A">
        <w:t>,</w:t>
      </w:r>
      <w:r w:rsidR="003012C6" w:rsidRPr="00BB2D6A">
        <w:t xml:space="preserve"> 2008). </w:t>
      </w:r>
      <w:r w:rsidR="007D573C" w:rsidRPr="00BB2D6A">
        <w:t xml:space="preserve">A partir de então, </w:t>
      </w:r>
      <w:r w:rsidR="003012C6" w:rsidRPr="00BB2D6A">
        <w:t>começamos a observar anúncios e embalagens "mais limpos". Limpo no sentido de que passa</w:t>
      </w:r>
      <w:r w:rsidR="000F73ED">
        <w:t>ra</w:t>
      </w:r>
      <w:r w:rsidR="003012C6" w:rsidRPr="00BB2D6A">
        <w:t xml:space="preserve">m a ser mais técnicos, responsáveis, informativos e menos publicitários. </w:t>
      </w:r>
      <w:r w:rsidR="00D1176B">
        <w:t xml:space="preserve">Duas décadas depois, é </w:t>
      </w:r>
      <w:r w:rsidR="00D40731">
        <w:t>sancionada a</w:t>
      </w:r>
      <w:r w:rsidR="0030009D" w:rsidRPr="0030009D">
        <w:t xml:space="preserve"> </w:t>
      </w:r>
      <w:r w:rsidR="0030009D">
        <w:t>Lei nº 9.279</w:t>
      </w:r>
      <w:r w:rsidR="00192A66">
        <w:t>, que r</w:t>
      </w:r>
      <w:r w:rsidR="0030009D">
        <w:t xml:space="preserve">egula direitos e obrigações relativos à propriedade </w:t>
      </w:r>
      <w:r w:rsidR="00BF5C14">
        <w:t>industrial (Brasil, 1996), p</w:t>
      </w:r>
      <w:r w:rsidR="00567FB6">
        <w:t>ossibilitando</w:t>
      </w:r>
      <w:r w:rsidR="00BF5C14">
        <w:t xml:space="preserve"> que as empresas p</w:t>
      </w:r>
      <w:r w:rsidR="006B05EB">
        <w:t>udessem</w:t>
      </w:r>
      <w:r w:rsidR="00BF5C14">
        <w:t xml:space="preserve"> </w:t>
      </w:r>
      <w:r w:rsidR="00567FB6">
        <w:t xml:space="preserve">garantir distintividade para suas embalagens a partir da </w:t>
      </w:r>
      <w:r w:rsidR="00BF5C14">
        <w:t>proteção industrial do desenho de embalagens</w:t>
      </w:r>
      <w:r w:rsidR="0030009D">
        <w:t>.</w:t>
      </w:r>
      <w:r w:rsidR="009E57F7">
        <w:t xml:space="preserve"> Na sequência, em 2</w:t>
      </w:r>
      <w:r w:rsidR="003012C6" w:rsidRPr="00BB2D6A">
        <w:t xml:space="preserve">010, </w:t>
      </w:r>
      <w:r w:rsidR="009E57F7" w:rsidRPr="00BB2D6A">
        <w:t xml:space="preserve">o Ministério da Saúde </w:t>
      </w:r>
      <w:r w:rsidR="003012C6" w:rsidRPr="00BB2D6A">
        <w:t xml:space="preserve">lança </w:t>
      </w:r>
      <w:r w:rsidR="007B011A">
        <w:t xml:space="preserve">um </w:t>
      </w:r>
      <w:r w:rsidR="003012C6" w:rsidRPr="00BB2D6A">
        <w:t>manua</w:t>
      </w:r>
      <w:r w:rsidR="007B011A">
        <w:t>l</w:t>
      </w:r>
      <w:r w:rsidR="003012C6" w:rsidRPr="00BB2D6A">
        <w:t xml:space="preserve"> de embalagens de medicamentos, onde seu principal objetivo é prevenir erros no uso desses produtos. </w:t>
      </w:r>
    </w:p>
    <w:p w14:paraId="21971605" w14:textId="35ECF69D" w:rsidR="00B55F5A" w:rsidRDefault="001A101F" w:rsidP="00044943">
      <w:pPr>
        <w:spacing w:after="120"/>
        <w:ind w:firstLine="284"/>
      </w:pPr>
      <w:r w:rsidRPr="00D16748">
        <w:t>A</w:t>
      </w:r>
      <w:r w:rsidR="00E84F67" w:rsidRPr="00D16748">
        <w:t>inda que as possibilidades para emprego da retórica possam parecer nul</w:t>
      </w:r>
      <w:r w:rsidR="00484BCB" w:rsidRPr="00D16748">
        <w:t>a</w:t>
      </w:r>
      <w:r w:rsidR="00E84F67" w:rsidRPr="00D16748">
        <w:t>s diante das limitações</w:t>
      </w:r>
      <w:r w:rsidR="0024428C" w:rsidRPr="00D16748">
        <w:t xml:space="preserve"> impostas ao design visual das embalagens</w:t>
      </w:r>
      <w:r w:rsidR="00E96FCB" w:rsidRPr="00D16748">
        <w:t xml:space="preserve"> de medicamentos</w:t>
      </w:r>
      <w:r w:rsidR="0033724A" w:rsidRPr="00D16748">
        <w:t xml:space="preserve">, </w:t>
      </w:r>
      <w:r w:rsidR="004E55F1" w:rsidRPr="00D16748">
        <w:t xml:space="preserve">é possível identificar questões de similaridades entre embalagens e possíveis estratégias parasitárias (no uso de identidade visual similar ao líder de mercado). </w:t>
      </w:r>
      <w:r w:rsidRPr="00D16748">
        <w:t xml:space="preserve">Seja pela utilização de cores ou tipografia </w:t>
      </w:r>
      <w:r w:rsidRPr="00D16748">
        <w:lastRenderedPageBreak/>
        <w:t>similares, seja pela composição visual da informação como um todo</w:t>
      </w:r>
      <w:r w:rsidR="00044943">
        <w:t>, conforme apresentado adiante no tópico 4.</w:t>
      </w:r>
    </w:p>
    <w:p w14:paraId="42ABDEC3" w14:textId="77777777" w:rsidR="00B55F5A" w:rsidRDefault="00B55F5A" w:rsidP="001A101F">
      <w:pPr>
        <w:jc w:val="center"/>
      </w:pPr>
    </w:p>
    <w:p w14:paraId="1A111A35" w14:textId="669CE49C" w:rsidR="0065756F" w:rsidRDefault="003F1706" w:rsidP="0065756F">
      <w:pPr>
        <w:numPr>
          <w:ilvl w:val="0"/>
          <w:numId w:val="2"/>
        </w:numPr>
        <w:pBdr>
          <w:top w:val="nil"/>
          <w:left w:val="nil"/>
          <w:bottom w:val="nil"/>
          <w:right w:val="nil"/>
          <w:between w:val="nil"/>
        </w:pBdr>
        <w:spacing w:after="120"/>
        <w:rPr>
          <w:b/>
          <w:color w:val="000000"/>
        </w:rPr>
      </w:pPr>
      <w:r>
        <w:rPr>
          <w:b/>
          <w:color w:val="000000"/>
        </w:rPr>
        <w:t>Perfil dos c</w:t>
      </w:r>
      <w:r w:rsidR="0065756F">
        <w:rPr>
          <w:b/>
          <w:color w:val="000000"/>
        </w:rPr>
        <w:t xml:space="preserve">onsumidores de </w:t>
      </w:r>
      <w:r w:rsidR="0065756F" w:rsidRPr="006D52FF">
        <w:rPr>
          <w:b/>
          <w:color w:val="000000"/>
        </w:rPr>
        <w:t>medicamentos</w:t>
      </w:r>
    </w:p>
    <w:p w14:paraId="3DB2574A" w14:textId="105C8648" w:rsidR="001A101F" w:rsidRPr="00083401" w:rsidRDefault="001A101F" w:rsidP="00083401">
      <w:pPr>
        <w:spacing w:after="120"/>
        <w:ind w:firstLine="360"/>
        <w:rPr>
          <w:color w:val="000000" w:themeColor="text1"/>
        </w:rPr>
      </w:pPr>
      <w:r w:rsidRPr="00083401">
        <w:rPr>
          <w:color w:val="000000" w:themeColor="text1"/>
        </w:rPr>
        <w:t xml:space="preserve">Com relação aos usuários de medicamentos, estes constituem uma base diversificada que inclui pessoas de todas as idades, desde crianças a idosos, com diferentes níveis de habilidades visuais e letramento. O uso de medicamentos varia de acordo com as demandas de cada faixa etária. Pesquisas realizadas no âmbito da </w:t>
      </w:r>
      <w:r w:rsidR="005D5D49" w:rsidRPr="00083401">
        <w:rPr>
          <w:color w:val="000000" w:themeColor="text1"/>
        </w:rPr>
        <w:t>saúde, apontam</w:t>
      </w:r>
      <w:r w:rsidRPr="00083401">
        <w:rPr>
          <w:color w:val="000000" w:themeColor="text1"/>
        </w:rPr>
        <w:t xml:space="preserve"> para o elevado uso de medicamentos “na primeira infância seguido de redução e posterior aumento gradual à medida que aumenta a idade e os percentuais de uso de medicamentos para tratamento de doenças crônicas” (Bertoldi et al., 2016). Considerando o aumento da população de idosos nos últimos anos (IBGE, 202</w:t>
      </w:r>
      <w:r w:rsidR="00D24BB3">
        <w:rPr>
          <w:color w:val="000000" w:themeColor="text1"/>
        </w:rPr>
        <w:t>4</w:t>
      </w:r>
      <w:r w:rsidRPr="00083401">
        <w:rPr>
          <w:color w:val="000000" w:themeColor="text1"/>
        </w:rPr>
        <w:t xml:space="preserve">), tendo o número de idosos aumentado de 11,3% em 2017 para 14,7% da população em 2021, pode-se presumir um aumento no uso de medicamentos no país. </w:t>
      </w:r>
    </w:p>
    <w:p w14:paraId="7DCB7637" w14:textId="666F2BDB" w:rsidR="001A101F" w:rsidRPr="00083401" w:rsidRDefault="001A101F" w:rsidP="001A101F">
      <w:pPr>
        <w:spacing w:after="120"/>
        <w:rPr>
          <w:color w:val="000000" w:themeColor="text1"/>
        </w:rPr>
      </w:pPr>
      <w:r w:rsidRPr="00083401">
        <w:rPr>
          <w:color w:val="000000" w:themeColor="text1"/>
        </w:rPr>
        <w:tab/>
      </w:r>
      <w:r w:rsidR="00C31B54">
        <w:rPr>
          <w:color w:val="000000" w:themeColor="text1"/>
        </w:rPr>
        <w:t>E</w:t>
      </w:r>
      <w:r w:rsidRPr="00083401">
        <w:rPr>
          <w:color w:val="000000" w:themeColor="text1"/>
        </w:rPr>
        <w:t xml:space="preserve">m paralelo ao aumento desse consumo de medicamentos, observa-se também uma crescente prática de automedicação. O Instituto de Pesquisa e Pós-Graduação (ICTQ), em pesquisa qualitativa realizada com homens e mulheres, acima de 16 anos no ano de 2018, identificou que “dor de cabeça, febre e resfriado lideram entre os sintomas que levam as pessoas a tomar remédios por conta própria” (ICTQ, 2023). Ainda, segundo a pesquisa, os medicamentos consumidos por contra própria são: analgésicos (48%); </w:t>
      </w:r>
      <w:r w:rsidR="005D5D49" w:rsidRPr="00083401">
        <w:rPr>
          <w:color w:val="000000" w:themeColor="text1"/>
        </w:rPr>
        <w:t>anti-inflamatórios (</w:t>
      </w:r>
      <w:r w:rsidRPr="00083401">
        <w:rPr>
          <w:color w:val="000000" w:themeColor="text1"/>
        </w:rPr>
        <w:t xml:space="preserve">31%); relaxantes musculares (26%); antitérmicos (19%); descongestionantes nasais (15%); expectorantes (13%); </w:t>
      </w:r>
      <w:r w:rsidR="005D5D49" w:rsidRPr="00083401">
        <w:rPr>
          <w:color w:val="000000" w:themeColor="text1"/>
        </w:rPr>
        <w:t>antiácidos (</w:t>
      </w:r>
      <w:r w:rsidRPr="00083401">
        <w:rPr>
          <w:color w:val="000000" w:themeColor="text1"/>
        </w:rPr>
        <w:t xml:space="preserve">10%); e antibióticos (10 %). Os medicamentos que lideram esse ranking são justamente aqueles isentos de prescrição médica (MIP). Diante desses dados, bem como dos resultados da pesquisa prévia com o produto paracetamol, identificou-se uma oportunidade de aprofundamento dos estudos das embalagens de MIP direcionados às dores de cabeça e febre. Em especial, no design visual das embalagens secundárias, que são aquelas em contato direto com o consumidor no </w:t>
      </w:r>
      <w:r w:rsidR="00A75220">
        <w:rPr>
          <w:color w:val="000000" w:themeColor="text1"/>
        </w:rPr>
        <w:t>ponto de venda (</w:t>
      </w:r>
      <w:r w:rsidRPr="00083401">
        <w:rPr>
          <w:color w:val="000000" w:themeColor="text1"/>
        </w:rPr>
        <w:t>PDV</w:t>
      </w:r>
      <w:r w:rsidR="00A75220">
        <w:rPr>
          <w:color w:val="000000" w:themeColor="text1"/>
        </w:rPr>
        <w:t>)</w:t>
      </w:r>
      <w:r w:rsidRPr="00083401">
        <w:rPr>
          <w:color w:val="000000" w:themeColor="text1"/>
        </w:rPr>
        <w:t>.   Afinal a interação entre o usuário e o produto é mediada pela percepção visual e pela informação presente na embalagem.</w:t>
      </w:r>
    </w:p>
    <w:p w14:paraId="5104639E" w14:textId="2CBEDD7B" w:rsidR="003F1706" w:rsidRPr="00030F6E" w:rsidRDefault="003F1706" w:rsidP="003F1706">
      <w:pPr>
        <w:pStyle w:val="Subttulo"/>
        <w:ind w:left="360" w:firstLine="0"/>
        <w:rPr>
          <w:color w:val="000000" w:themeColor="text1"/>
        </w:rPr>
      </w:pPr>
      <w:r w:rsidRPr="00030F6E">
        <w:rPr>
          <w:rFonts w:ascii="Times New Roman" w:eastAsia="Times New Roman" w:hAnsi="Times New Roman" w:cs="Times New Roman"/>
          <w:b w:val="0"/>
          <w:bCs/>
          <w:color w:val="000000" w:themeColor="text1"/>
        </w:rPr>
        <w:t>3.1.</w:t>
      </w:r>
      <w:r w:rsidRPr="00030F6E">
        <w:rPr>
          <w:rFonts w:ascii="Times New Roman" w:eastAsia="Times New Roman" w:hAnsi="Times New Roman" w:cs="Times New Roman"/>
          <w:color w:val="000000" w:themeColor="text1"/>
        </w:rPr>
        <w:t xml:space="preserve"> Usabilidade com embalagens de medicamentos. </w:t>
      </w:r>
    </w:p>
    <w:p w14:paraId="6A7D5272" w14:textId="77777777" w:rsidR="00495535" w:rsidRDefault="00F15E7E" w:rsidP="003F1706">
      <w:pPr>
        <w:spacing w:after="120"/>
        <w:ind w:firstLine="360"/>
        <w:rPr>
          <w:color w:val="000000" w:themeColor="text1"/>
        </w:rPr>
      </w:pPr>
      <w:r>
        <w:rPr>
          <w:color w:val="000000" w:themeColor="text1"/>
        </w:rPr>
        <w:t xml:space="preserve">A interação do </w:t>
      </w:r>
      <w:r w:rsidR="00F164CA">
        <w:rPr>
          <w:color w:val="000000" w:themeColor="text1"/>
        </w:rPr>
        <w:t>consumidor com as embalagens de medicamentos se inicia pelo contato com o design visual de sua embalagem secundária (cartucho)</w:t>
      </w:r>
      <w:r w:rsidR="00B72F13">
        <w:rPr>
          <w:color w:val="000000" w:themeColor="text1"/>
        </w:rPr>
        <w:t xml:space="preserve">. </w:t>
      </w:r>
      <w:r w:rsidR="001A101F" w:rsidRPr="00083401">
        <w:rPr>
          <w:color w:val="000000" w:themeColor="text1"/>
        </w:rPr>
        <w:t xml:space="preserve">Com relação </w:t>
      </w:r>
      <w:r w:rsidR="000206C5">
        <w:rPr>
          <w:color w:val="000000" w:themeColor="text1"/>
        </w:rPr>
        <w:t>ao emprego da linguagem visual</w:t>
      </w:r>
      <w:r w:rsidR="00B72F13">
        <w:rPr>
          <w:color w:val="000000" w:themeColor="text1"/>
        </w:rPr>
        <w:t xml:space="preserve">, </w:t>
      </w:r>
      <w:r w:rsidR="001A101F" w:rsidRPr="00083401">
        <w:rPr>
          <w:color w:val="000000" w:themeColor="text1"/>
        </w:rPr>
        <w:t xml:space="preserve">argumenta-se que, apesar das regulamentações às quais </w:t>
      </w:r>
      <w:r w:rsidR="00B72F13">
        <w:rPr>
          <w:color w:val="000000" w:themeColor="text1"/>
        </w:rPr>
        <w:t xml:space="preserve">uma embalagem </w:t>
      </w:r>
      <w:r w:rsidR="001A101F" w:rsidRPr="00083401">
        <w:rPr>
          <w:color w:val="000000" w:themeColor="text1"/>
        </w:rPr>
        <w:t xml:space="preserve">deve se submeter, </w:t>
      </w:r>
      <w:r w:rsidR="00A55247">
        <w:rPr>
          <w:color w:val="000000" w:themeColor="text1"/>
        </w:rPr>
        <w:t>as informações nela presentes devem ser capaz</w:t>
      </w:r>
      <w:r w:rsidR="007A2D3F">
        <w:rPr>
          <w:color w:val="000000" w:themeColor="text1"/>
        </w:rPr>
        <w:t>es</w:t>
      </w:r>
      <w:r w:rsidR="00A55247">
        <w:rPr>
          <w:color w:val="000000" w:themeColor="text1"/>
        </w:rPr>
        <w:t xml:space="preserve"> de auxiliar o </w:t>
      </w:r>
      <w:r w:rsidR="001A101F" w:rsidRPr="00083401">
        <w:rPr>
          <w:color w:val="000000" w:themeColor="text1"/>
        </w:rPr>
        <w:t xml:space="preserve">consumidor </w:t>
      </w:r>
      <w:r w:rsidR="00943CB7">
        <w:rPr>
          <w:color w:val="000000" w:themeColor="text1"/>
        </w:rPr>
        <w:t>na identificação e escolha do medicamento que m</w:t>
      </w:r>
      <w:r w:rsidR="007A2D3F">
        <w:rPr>
          <w:color w:val="000000" w:themeColor="text1"/>
        </w:rPr>
        <w:t xml:space="preserve">elhor lhe convier. </w:t>
      </w:r>
      <w:r w:rsidR="00230D3E" w:rsidRPr="00083401">
        <w:rPr>
          <w:color w:val="000000" w:themeColor="text1"/>
        </w:rPr>
        <w:t>Sendo capaz de discernir entre um produto e outro no momento de decisão de compra no PDV.</w:t>
      </w:r>
      <w:r w:rsidR="008029AD">
        <w:rPr>
          <w:color w:val="000000" w:themeColor="text1"/>
        </w:rPr>
        <w:t xml:space="preserve"> </w:t>
      </w:r>
    </w:p>
    <w:p w14:paraId="121721C8" w14:textId="10A7B0BD" w:rsidR="0001650D" w:rsidRDefault="00822124" w:rsidP="0001650D">
      <w:pPr>
        <w:spacing w:after="120"/>
        <w:ind w:firstLine="360"/>
        <w:rPr>
          <w:color w:val="000000" w:themeColor="text1"/>
        </w:rPr>
      </w:pPr>
      <w:r>
        <w:rPr>
          <w:color w:val="000000" w:themeColor="text1"/>
        </w:rPr>
        <w:t>De acordo com o Instituto para práticas seguras de medicamentos (IS</w:t>
      </w:r>
      <w:r w:rsidR="00DD65CC">
        <w:rPr>
          <w:color w:val="000000" w:themeColor="text1"/>
        </w:rPr>
        <w:t>MP, 2023</w:t>
      </w:r>
      <w:r w:rsidR="00E05CB8">
        <w:rPr>
          <w:color w:val="000000" w:themeColor="text1"/>
        </w:rPr>
        <w:t>, p.3</w:t>
      </w:r>
      <w:r w:rsidR="00DD65CC">
        <w:rPr>
          <w:color w:val="000000" w:themeColor="text1"/>
        </w:rPr>
        <w:t>)</w:t>
      </w:r>
      <w:r w:rsidR="00E05CB8">
        <w:rPr>
          <w:color w:val="000000" w:themeColor="text1"/>
        </w:rPr>
        <w:t xml:space="preserve">: </w:t>
      </w:r>
      <w:r w:rsidR="00DD65CC">
        <w:rPr>
          <w:color w:val="000000" w:themeColor="text1"/>
        </w:rPr>
        <w:t xml:space="preserve"> </w:t>
      </w:r>
    </w:p>
    <w:p w14:paraId="3981C034" w14:textId="37A1726F" w:rsidR="00495535" w:rsidRPr="009839AF" w:rsidRDefault="0001650D" w:rsidP="009839AF">
      <w:pPr>
        <w:spacing w:after="120"/>
        <w:ind w:left="1134"/>
        <w:rPr>
          <w:color w:val="000000" w:themeColor="text1"/>
          <w:sz w:val="20"/>
          <w:szCs w:val="20"/>
        </w:rPr>
      </w:pPr>
      <w:r w:rsidRPr="009839AF">
        <w:rPr>
          <w:color w:val="000000" w:themeColor="text1"/>
          <w:sz w:val="20"/>
          <w:szCs w:val="20"/>
        </w:rPr>
        <w:t>A</w:t>
      </w:r>
      <w:r w:rsidR="00822124" w:rsidRPr="009839AF">
        <w:rPr>
          <w:color w:val="000000" w:themeColor="text1"/>
          <w:sz w:val="20"/>
          <w:szCs w:val="20"/>
        </w:rPr>
        <w:t xml:space="preserve"> </w:t>
      </w:r>
      <w:r w:rsidR="00495535" w:rsidRPr="009839AF">
        <w:rPr>
          <w:color w:val="000000" w:themeColor="text1"/>
          <w:sz w:val="20"/>
          <w:szCs w:val="20"/>
        </w:rPr>
        <w:t>rotulagem, as embalagens e a nomenclatura de medicamentos são elementos-chave com grande influência no sistema de utilização de medicamentos, e que podem provocar erros de medicação e possíveis danos aos pacientes</w:t>
      </w:r>
      <w:r w:rsidR="00E05CB8" w:rsidRPr="009839AF">
        <w:rPr>
          <w:color w:val="000000" w:themeColor="text1"/>
          <w:sz w:val="20"/>
          <w:szCs w:val="20"/>
        </w:rPr>
        <w:t xml:space="preserve">. [...] </w:t>
      </w:r>
      <w:r w:rsidR="00495535" w:rsidRPr="009839AF">
        <w:rPr>
          <w:color w:val="000000" w:themeColor="text1"/>
          <w:sz w:val="20"/>
          <w:szCs w:val="20"/>
        </w:rPr>
        <w:t>As embalagens e os rótulos dos medicamentos podem ser semelhantes em vários aspectos: cores, nomes de medicamentos parecidos quanto ao som ou grafia, embalagens</w:t>
      </w:r>
      <w:r w:rsidR="00884FD2" w:rsidRPr="009839AF">
        <w:rPr>
          <w:color w:val="000000" w:themeColor="text1"/>
          <w:sz w:val="20"/>
          <w:szCs w:val="20"/>
        </w:rPr>
        <w:t xml:space="preserve"> </w:t>
      </w:r>
      <w:r w:rsidR="00495535" w:rsidRPr="009839AF">
        <w:rPr>
          <w:color w:val="000000" w:themeColor="text1"/>
          <w:sz w:val="20"/>
          <w:szCs w:val="20"/>
        </w:rPr>
        <w:t>similares (ampola, frasco-ampola, comprimido, caixa, frasco, bolsas e outras), tipo de letra utilizada e tipo de rótulo (letras</w:t>
      </w:r>
      <w:r w:rsidR="009839AF" w:rsidRPr="009839AF">
        <w:rPr>
          <w:color w:val="000000" w:themeColor="text1"/>
          <w:sz w:val="20"/>
          <w:szCs w:val="20"/>
        </w:rPr>
        <w:t xml:space="preserve"> </w:t>
      </w:r>
      <w:r w:rsidR="00495535" w:rsidRPr="009839AF">
        <w:rPr>
          <w:color w:val="000000" w:themeColor="text1"/>
          <w:sz w:val="20"/>
          <w:szCs w:val="20"/>
        </w:rPr>
        <w:t>do mesmo tamanho, tipo e cor)</w:t>
      </w:r>
      <w:r w:rsidR="00884FD2" w:rsidRPr="009839AF">
        <w:rPr>
          <w:color w:val="000000" w:themeColor="text1"/>
          <w:sz w:val="20"/>
          <w:szCs w:val="20"/>
        </w:rPr>
        <w:t xml:space="preserve">. </w:t>
      </w:r>
      <w:r w:rsidR="00495535" w:rsidRPr="009839AF">
        <w:rPr>
          <w:color w:val="000000" w:themeColor="text1"/>
          <w:sz w:val="20"/>
          <w:szCs w:val="20"/>
        </w:rPr>
        <w:t>Com frequência, pode-se identificar em uma só embalagem a combinação de todos esses fatores, criando semelhanças nas apresentações de medicamentos distintos, e aumentando o risco</w:t>
      </w:r>
      <w:r w:rsidR="009839AF" w:rsidRPr="009839AF">
        <w:rPr>
          <w:color w:val="000000" w:themeColor="text1"/>
          <w:sz w:val="20"/>
          <w:szCs w:val="20"/>
        </w:rPr>
        <w:t xml:space="preserve"> de troca pelos usuários e profissionais de saúde.</w:t>
      </w:r>
    </w:p>
    <w:p w14:paraId="1F312824" w14:textId="2D7119B3" w:rsidR="00495535" w:rsidRDefault="008029AD" w:rsidP="003F1706">
      <w:pPr>
        <w:spacing w:after="120"/>
        <w:ind w:firstLine="360"/>
        <w:rPr>
          <w:color w:val="000000" w:themeColor="text1"/>
        </w:rPr>
      </w:pPr>
      <w:r>
        <w:rPr>
          <w:color w:val="000000" w:themeColor="text1"/>
        </w:rPr>
        <w:t xml:space="preserve">Nesse sentido, </w:t>
      </w:r>
      <w:r w:rsidR="00AB62F1">
        <w:rPr>
          <w:color w:val="000000" w:themeColor="text1"/>
        </w:rPr>
        <w:t xml:space="preserve">é importante que haja um equilíbrio </w:t>
      </w:r>
      <w:r w:rsidR="006619A4">
        <w:rPr>
          <w:color w:val="000000" w:themeColor="text1"/>
        </w:rPr>
        <w:t xml:space="preserve">visual </w:t>
      </w:r>
      <w:r w:rsidR="00AB62F1">
        <w:rPr>
          <w:color w:val="000000" w:themeColor="text1"/>
        </w:rPr>
        <w:t xml:space="preserve">entre as informações ditas obrigatórias e </w:t>
      </w:r>
      <w:r w:rsidR="00CF0306">
        <w:rPr>
          <w:color w:val="000000" w:themeColor="text1"/>
        </w:rPr>
        <w:t>aquelas de natureza publicitária.</w:t>
      </w:r>
      <w:r w:rsidR="006619A4">
        <w:rPr>
          <w:color w:val="000000" w:themeColor="text1"/>
        </w:rPr>
        <w:t xml:space="preserve"> </w:t>
      </w:r>
      <w:r w:rsidR="00745A8C">
        <w:rPr>
          <w:color w:val="000000" w:themeColor="text1"/>
        </w:rPr>
        <w:t xml:space="preserve">Bem como, é importante que as marcas </w:t>
      </w:r>
      <w:r w:rsidR="00EA1139">
        <w:rPr>
          <w:color w:val="000000" w:themeColor="text1"/>
        </w:rPr>
        <w:t>se apresentem</w:t>
      </w:r>
      <w:r w:rsidR="008D0E91">
        <w:rPr>
          <w:color w:val="000000" w:themeColor="text1"/>
        </w:rPr>
        <w:t xml:space="preserve"> de forma distintiva perante a concorrência, evitando práticas parasitárias</w:t>
      </w:r>
      <w:r w:rsidR="00EA1139">
        <w:rPr>
          <w:color w:val="000000" w:themeColor="text1"/>
        </w:rPr>
        <w:t xml:space="preserve">. </w:t>
      </w:r>
      <w:r w:rsidR="00430BA4">
        <w:rPr>
          <w:color w:val="000000" w:themeColor="text1"/>
        </w:rPr>
        <w:t xml:space="preserve">Neste </w:t>
      </w:r>
      <w:r w:rsidR="00430BA4">
        <w:rPr>
          <w:color w:val="000000" w:themeColor="text1"/>
        </w:rPr>
        <w:lastRenderedPageBreak/>
        <w:t xml:space="preserve">caso, explorar o potencial de </w:t>
      </w:r>
      <w:r w:rsidR="00EA1139">
        <w:rPr>
          <w:color w:val="000000" w:themeColor="text1"/>
        </w:rPr>
        <w:t xml:space="preserve">registro de desenho industrial </w:t>
      </w:r>
      <w:r w:rsidR="008675EA">
        <w:rPr>
          <w:color w:val="000000" w:themeColor="text1"/>
        </w:rPr>
        <w:t>por meio do Instituto Nacional da Propriedade Industrial (INPI</w:t>
      </w:r>
      <w:r w:rsidR="00EA1139">
        <w:rPr>
          <w:color w:val="000000" w:themeColor="text1"/>
        </w:rPr>
        <w:t xml:space="preserve">) </w:t>
      </w:r>
      <w:r w:rsidR="00430BA4">
        <w:rPr>
          <w:color w:val="000000" w:themeColor="text1"/>
        </w:rPr>
        <w:t xml:space="preserve">deveria ser uma prática destas empresas. </w:t>
      </w:r>
    </w:p>
    <w:p w14:paraId="0BF5FBE1" w14:textId="7C5FE180" w:rsidR="00DE4694" w:rsidRPr="00DE4694" w:rsidRDefault="00391C7A" w:rsidP="00DE4694">
      <w:pPr>
        <w:spacing w:after="120"/>
        <w:ind w:firstLine="360"/>
        <w:rPr>
          <w:color w:val="000000" w:themeColor="text1"/>
        </w:rPr>
      </w:pPr>
      <w:r>
        <w:rPr>
          <w:color w:val="000000" w:themeColor="text1"/>
        </w:rPr>
        <w:t>Quanto as informações obrigatórias</w:t>
      </w:r>
      <w:r w:rsidR="00474B1E">
        <w:rPr>
          <w:color w:val="000000" w:themeColor="text1"/>
        </w:rPr>
        <w:t xml:space="preserve">, temos </w:t>
      </w:r>
      <w:r w:rsidR="00186AAC">
        <w:rPr>
          <w:color w:val="000000" w:themeColor="text1"/>
        </w:rPr>
        <w:t>a</w:t>
      </w:r>
      <w:r w:rsidR="00186AAC" w:rsidRPr="00186AAC">
        <w:t xml:space="preserve"> </w:t>
      </w:r>
      <w:r w:rsidR="00186AAC">
        <w:rPr>
          <w:color w:val="000000" w:themeColor="text1"/>
        </w:rPr>
        <w:t>RDC</w:t>
      </w:r>
      <w:r w:rsidR="00186AAC" w:rsidRPr="00186AAC">
        <w:rPr>
          <w:color w:val="000000" w:themeColor="text1"/>
        </w:rPr>
        <w:t xml:space="preserve"> nº 768</w:t>
      </w:r>
      <w:r w:rsidR="005C213A">
        <w:rPr>
          <w:color w:val="000000" w:themeColor="text1"/>
        </w:rPr>
        <w:t xml:space="preserve"> (</w:t>
      </w:r>
      <w:r w:rsidR="00186AAC" w:rsidRPr="00186AAC">
        <w:rPr>
          <w:color w:val="000000" w:themeColor="text1"/>
        </w:rPr>
        <w:t>2022</w:t>
      </w:r>
      <w:r w:rsidR="005C213A">
        <w:rPr>
          <w:color w:val="000000" w:themeColor="text1"/>
        </w:rPr>
        <w:t>)</w:t>
      </w:r>
      <w:r w:rsidR="006D2A86">
        <w:rPr>
          <w:color w:val="000000" w:themeColor="text1"/>
        </w:rPr>
        <w:t xml:space="preserve"> que entrou em vigor em </w:t>
      </w:r>
      <w:r w:rsidR="006D2A86" w:rsidRPr="006D2A86">
        <w:rPr>
          <w:color w:val="000000" w:themeColor="text1"/>
        </w:rPr>
        <w:t>entrou em vigor em 03</w:t>
      </w:r>
      <w:r w:rsidR="00474B1E">
        <w:rPr>
          <w:color w:val="000000" w:themeColor="text1"/>
        </w:rPr>
        <w:t xml:space="preserve"> de julho de 2023. A resolução e</w:t>
      </w:r>
      <w:r w:rsidR="00186AAC" w:rsidRPr="00186AAC">
        <w:rPr>
          <w:color w:val="000000" w:themeColor="text1"/>
        </w:rPr>
        <w:t>stabelece as regras para a rotulagem de medicamentos</w:t>
      </w:r>
      <w:r w:rsidR="00474B1E">
        <w:rPr>
          <w:color w:val="000000" w:themeColor="text1"/>
        </w:rPr>
        <w:t>.</w:t>
      </w:r>
      <w:r w:rsidR="005033E1">
        <w:rPr>
          <w:color w:val="000000" w:themeColor="text1"/>
        </w:rPr>
        <w:t xml:space="preserve">  No que tange </w:t>
      </w:r>
      <w:r w:rsidR="00D92EF1">
        <w:rPr>
          <w:color w:val="000000" w:themeColor="text1"/>
        </w:rPr>
        <w:t>os medicamentos isentos de prescrição, não há regras par</w:t>
      </w:r>
      <w:r w:rsidR="005033E1">
        <w:rPr>
          <w:color w:val="000000" w:themeColor="text1"/>
        </w:rPr>
        <w:t xml:space="preserve">a </w:t>
      </w:r>
      <w:r w:rsidR="00D92EF1">
        <w:rPr>
          <w:color w:val="000000" w:themeColor="text1"/>
        </w:rPr>
        <w:t xml:space="preserve">a </w:t>
      </w:r>
      <w:r w:rsidR="00595A61">
        <w:rPr>
          <w:color w:val="000000" w:themeColor="text1"/>
        </w:rPr>
        <w:t xml:space="preserve">organização visual </w:t>
      </w:r>
      <w:r w:rsidR="005033E1" w:rsidRPr="005033E1">
        <w:rPr>
          <w:color w:val="000000" w:themeColor="text1"/>
        </w:rPr>
        <w:t xml:space="preserve">das informações e imagens no layout </w:t>
      </w:r>
      <w:r w:rsidR="00595A61">
        <w:rPr>
          <w:color w:val="000000" w:themeColor="text1"/>
        </w:rPr>
        <w:t>da embalagem</w:t>
      </w:r>
      <w:r w:rsidR="0038634E">
        <w:rPr>
          <w:color w:val="000000" w:themeColor="text1"/>
        </w:rPr>
        <w:t xml:space="preserve">. Exceto para os medicamentos genéricos. No portal da Anvisa, são </w:t>
      </w:r>
      <w:r w:rsidR="00D65AF9">
        <w:rPr>
          <w:color w:val="000000" w:themeColor="text1"/>
        </w:rPr>
        <w:t xml:space="preserve">apresentados </w:t>
      </w:r>
      <w:r w:rsidR="005033E1" w:rsidRPr="005033E1">
        <w:rPr>
          <w:color w:val="000000" w:themeColor="text1"/>
        </w:rPr>
        <w:t xml:space="preserve">os modelos de layout </w:t>
      </w:r>
      <w:r w:rsidR="00D65AF9">
        <w:rPr>
          <w:color w:val="000000" w:themeColor="text1"/>
        </w:rPr>
        <w:t>como sugestão</w:t>
      </w:r>
      <w:r w:rsidR="008E5105">
        <w:rPr>
          <w:color w:val="000000" w:themeColor="text1"/>
        </w:rPr>
        <w:t xml:space="preserve"> </w:t>
      </w:r>
      <w:r w:rsidR="002B2154">
        <w:rPr>
          <w:color w:val="000000" w:themeColor="text1"/>
        </w:rPr>
        <w:t>(Anvisa, 2025</w:t>
      </w:r>
      <w:r w:rsidR="001B65FA">
        <w:rPr>
          <w:color w:val="000000" w:themeColor="text1"/>
        </w:rPr>
        <w:t>b</w:t>
      </w:r>
      <w:r w:rsidR="002B2154">
        <w:rPr>
          <w:color w:val="000000" w:themeColor="text1"/>
        </w:rPr>
        <w:t xml:space="preserve">). </w:t>
      </w:r>
      <w:r w:rsidR="008E5105">
        <w:rPr>
          <w:color w:val="000000" w:themeColor="text1"/>
        </w:rPr>
        <w:t>Eles visam o cumprimento d</w:t>
      </w:r>
      <w:r w:rsidR="005033E1" w:rsidRPr="005033E1">
        <w:rPr>
          <w:color w:val="000000" w:themeColor="text1"/>
        </w:rPr>
        <w:t>as diretrizes descritas na norma</w:t>
      </w:r>
      <w:r w:rsidR="008E5105">
        <w:rPr>
          <w:color w:val="000000" w:themeColor="text1"/>
        </w:rPr>
        <w:t xml:space="preserve"> de forma que aspectos de legibilidade e leiturabilidade não sejam prejudicados. </w:t>
      </w:r>
    </w:p>
    <w:p w14:paraId="7D76CBB7" w14:textId="77777777" w:rsidR="00670E1B" w:rsidRDefault="00670E1B" w:rsidP="00186AAC">
      <w:pPr>
        <w:spacing w:after="120"/>
        <w:ind w:firstLine="360"/>
        <w:rPr>
          <w:color w:val="000000" w:themeColor="text1"/>
        </w:rPr>
      </w:pPr>
    </w:p>
    <w:tbl>
      <w:tblPr>
        <w:tblStyle w:val="Tabelacomgrade"/>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9062"/>
      </w:tblGrid>
      <w:tr w:rsidR="002B2154" w14:paraId="6A708A74" w14:textId="77777777" w:rsidTr="0087607C">
        <w:tc>
          <w:tcPr>
            <w:tcW w:w="9062" w:type="dxa"/>
          </w:tcPr>
          <w:p w14:paraId="5FE4C4CF" w14:textId="77777777" w:rsidR="0087607C" w:rsidRPr="0087607C" w:rsidRDefault="0087607C" w:rsidP="003F1706">
            <w:pPr>
              <w:spacing w:after="120"/>
              <w:rPr>
                <w:color w:val="000000" w:themeColor="text1"/>
                <w:sz w:val="6"/>
                <w:szCs w:val="6"/>
              </w:rPr>
            </w:pPr>
          </w:p>
          <w:p w14:paraId="780ECA37" w14:textId="2D9A82A8" w:rsidR="00992EF0" w:rsidRDefault="00992EF0" w:rsidP="003F1706">
            <w:pPr>
              <w:spacing w:after="120"/>
              <w:rPr>
                <w:color w:val="000000" w:themeColor="text1"/>
              </w:rPr>
            </w:pPr>
            <w:r w:rsidRPr="00992EF0">
              <w:rPr>
                <w:noProof/>
                <w:color w:val="000000" w:themeColor="text1"/>
              </w:rPr>
              <w:drawing>
                <wp:inline distT="0" distB="0" distL="0" distR="0" wp14:anchorId="1B933449" wp14:editId="5D88C9C3">
                  <wp:extent cx="5760720" cy="3127375"/>
                  <wp:effectExtent l="0" t="0" r="0" b="0"/>
                  <wp:docPr id="21279957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95738" name=""/>
                          <pic:cNvPicPr/>
                        </pic:nvPicPr>
                        <pic:blipFill rotWithShape="1">
                          <a:blip r:embed="rId8"/>
                          <a:srcRect t="3752"/>
                          <a:stretch/>
                        </pic:blipFill>
                        <pic:spPr bwMode="auto">
                          <a:xfrm>
                            <a:off x="0" y="0"/>
                            <a:ext cx="5760720" cy="31273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E86220" w14:textId="7C4918E0" w:rsidR="0087607C" w:rsidRPr="00A8546D" w:rsidRDefault="0087607C" w:rsidP="0087607C">
      <w:pPr>
        <w:spacing w:before="120" w:after="120"/>
        <w:jc w:val="center"/>
        <w:rPr>
          <w:b/>
          <w:bCs/>
          <w:sz w:val="20"/>
          <w:szCs w:val="20"/>
        </w:rPr>
      </w:pPr>
      <w:r w:rsidRPr="00A8546D">
        <w:rPr>
          <w:b/>
          <w:bCs/>
          <w:sz w:val="20"/>
          <w:szCs w:val="20"/>
        </w:rPr>
        <w:t xml:space="preserve">Figura </w:t>
      </w:r>
      <w:r>
        <w:rPr>
          <w:b/>
          <w:bCs/>
          <w:sz w:val="20"/>
          <w:szCs w:val="20"/>
        </w:rPr>
        <w:t>1</w:t>
      </w:r>
      <w:r w:rsidRPr="00A8546D">
        <w:rPr>
          <w:b/>
          <w:bCs/>
          <w:sz w:val="20"/>
          <w:szCs w:val="20"/>
        </w:rPr>
        <w:t xml:space="preserve">: </w:t>
      </w:r>
      <w:r w:rsidR="00D25BD4">
        <w:rPr>
          <w:b/>
          <w:bCs/>
          <w:sz w:val="20"/>
          <w:szCs w:val="20"/>
        </w:rPr>
        <w:t xml:space="preserve">Modelo </w:t>
      </w:r>
      <w:r w:rsidR="0022102B">
        <w:rPr>
          <w:b/>
          <w:bCs/>
          <w:sz w:val="20"/>
          <w:szCs w:val="20"/>
        </w:rPr>
        <w:t>de layout para e</w:t>
      </w:r>
      <w:r w:rsidRPr="00A8546D">
        <w:rPr>
          <w:b/>
          <w:bCs/>
          <w:sz w:val="20"/>
          <w:szCs w:val="20"/>
        </w:rPr>
        <w:t xml:space="preserve">mbalagens de medicamentos </w:t>
      </w:r>
      <w:r w:rsidR="0022102B">
        <w:rPr>
          <w:b/>
          <w:bCs/>
          <w:sz w:val="20"/>
          <w:szCs w:val="20"/>
        </w:rPr>
        <w:t>isentos de prescrição com destaque para face principal</w:t>
      </w:r>
      <w:r w:rsidRPr="00A8546D">
        <w:rPr>
          <w:b/>
          <w:bCs/>
          <w:sz w:val="20"/>
          <w:szCs w:val="20"/>
        </w:rPr>
        <w:t>.</w:t>
      </w:r>
      <w:r w:rsidR="0022102B">
        <w:rPr>
          <w:b/>
          <w:bCs/>
          <w:sz w:val="20"/>
          <w:szCs w:val="20"/>
        </w:rPr>
        <w:t xml:space="preserve"> </w:t>
      </w:r>
      <w:r w:rsidRPr="00A8546D">
        <w:rPr>
          <w:b/>
          <w:bCs/>
          <w:sz w:val="20"/>
          <w:szCs w:val="20"/>
        </w:rPr>
        <w:t xml:space="preserve"> Fonte: Elaborada pela autora com base em </w:t>
      </w:r>
      <w:r w:rsidR="00AA14EA">
        <w:rPr>
          <w:b/>
          <w:bCs/>
          <w:sz w:val="20"/>
          <w:szCs w:val="20"/>
        </w:rPr>
        <w:t>Anvisa (2025)</w:t>
      </w:r>
      <w:r w:rsidRPr="00A8546D">
        <w:rPr>
          <w:b/>
          <w:bCs/>
          <w:sz w:val="20"/>
          <w:szCs w:val="20"/>
        </w:rPr>
        <w:t>.</w:t>
      </w:r>
    </w:p>
    <w:p w14:paraId="39D022E4" w14:textId="77777777" w:rsidR="001C48F2" w:rsidRDefault="001C48F2" w:rsidP="001C48F2">
      <w:pPr>
        <w:spacing w:after="120"/>
        <w:ind w:firstLine="360"/>
        <w:rPr>
          <w:color w:val="000000" w:themeColor="text1"/>
        </w:rPr>
      </w:pPr>
    </w:p>
    <w:p w14:paraId="33E45ACB" w14:textId="56C78740" w:rsidR="001C48F2" w:rsidRPr="001C48F2" w:rsidRDefault="00AA7ECF" w:rsidP="001C48F2">
      <w:pPr>
        <w:spacing w:after="120"/>
        <w:ind w:firstLine="360"/>
        <w:rPr>
          <w:color w:val="000000" w:themeColor="text1"/>
        </w:rPr>
      </w:pPr>
      <w:r>
        <w:rPr>
          <w:color w:val="000000" w:themeColor="text1"/>
        </w:rPr>
        <w:t xml:space="preserve">Considerando que as </w:t>
      </w:r>
      <w:r w:rsidRPr="00AA7ECF">
        <w:rPr>
          <w:color w:val="000000" w:themeColor="text1"/>
        </w:rPr>
        <w:t xml:space="preserve">informações nos rótulos de medicamentos devem ser lidas facilmente </w:t>
      </w:r>
      <w:r>
        <w:rPr>
          <w:color w:val="000000" w:themeColor="text1"/>
        </w:rPr>
        <w:t xml:space="preserve">pelas pessoas de forma geral, </w:t>
      </w:r>
      <w:r w:rsidR="0019206F">
        <w:rPr>
          <w:color w:val="000000" w:themeColor="text1"/>
        </w:rPr>
        <w:t>o</w:t>
      </w:r>
      <w:r w:rsidR="004F146C">
        <w:rPr>
          <w:color w:val="000000" w:themeColor="text1"/>
        </w:rPr>
        <w:t xml:space="preserve"> ISMP</w:t>
      </w:r>
      <w:r w:rsidR="00E474F8">
        <w:rPr>
          <w:color w:val="000000" w:themeColor="text1"/>
        </w:rPr>
        <w:t xml:space="preserve"> </w:t>
      </w:r>
      <w:r w:rsidR="0019206F">
        <w:rPr>
          <w:color w:val="000000" w:themeColor="text1"/>
        </w:rPr>
        <w:t xml:space="preserve">(2023) </w:t>
      </w:r>
      <w:r w:rsidR="00E474F8">
        <w:rPr>
          <w:color w:val="000000" w:themeColor="text1"/>
        </w:rPr>
        <w:t xml:space="preserve">propõe algumas diretrizes a serem somadas </w:t>
      </w:r>
      <w:r w:rsidR="0019206F">
        <w:rPr>
          <w:color w:val="000000" w:themeColor="text1"/>
        </w:rPr>
        <w:t>aos modelos da Anvisa. No que diz respeito ao</w:t>
      </w:r>
      <w:r w:rsidR="004F146C">
        <w:rPr>
          <w:color w:val="000000" w:themeColor="text1"/>
        </w:rPr>
        <w:t xml:space="preserve"> </w:t>
      </w:r>
      <w:r w:rsidR="0019206F">
        <w:rPr>
          <w:color w:val="000000" w:themeColor="text1"/>
        </w:rPr>
        <w:t>t</w:t>
      </w:r>
      <w:r w:rsidR="001C48F2" w:rsidRPr="001C48F2">
        <w:rPr>
          <w:color w:val="000000" w:themeColor="text1"/>
        </w:rPr>
        <w:t>ipo, tamanho e espaçamento de letras e palavras</w:t>
      </w:r>
      <w:r w:rsidR="00130C90">
        <w:rPr>
          <w:color w:val="000000" w:themeColor="text1"/>
        </w:rPr>
        <w:t xml:space="preserve">, recomenda-se: </w:t>
      </w:r>
    </w:p>
    <w:p w14:paraId="1071D1E5" w14:textId="525355DA" w:rsidR="001C48F2" w:rsidRPr="00190117" w:rsidRDefault="001C48F2" w:rsidP="00190117">
      <w:pPr>
        <w:spacing w:after="60"/>
        <w:ind w:left="1134"/>
        <w:rPr>
          <w:color w:val="000000" w:themeColor="text1"/>
          <w:sz w:val="20"/>
          <w:szCs w:val="20"/>
        </w:rPr>
      </w:pPr>
      <w:r w:rsidRPr="00190117">
        <w:rPr>
          <w:color w:val="000000" w:themeColor="text1"/>
          <w:sz w:val="20"/>
          <w:szCs w:val="20"/>
        </w:rPr>
        <w:t xml:space="preserve">• Tipo de fonte sem serifa, sendo recomendados os seguintes: Arial, </w:t>
      </w:r>
      <w:proofErr w:type="spellStart"/>
      <w:r w:rsidRPr="00190117">
        <w:rPr>
          <w:color w:val="000000" w:themeColor="text1"/>
          <w:sz w:val="20"/>
          <w:szCs w:val="20"/>
        </w:rPr>
        <w:t>Verdana</w:t>
      </w:r>
      <w:proofErr w:type="spellEnd"/>
      <w:r w:rsidRPr="00190117">
        <w:rPr>
          <w:color w:val="000000" w:themeColor="text1"/>
          <w:sz w:val="20"/>
          <w:szCs w:val="20"/>
        </w:rPr>
        <w:t xml:space="preserve">, </w:t>
      </w:r>
      <w:proofErr w:type="spellStart"/>
      <w:r w:rsidRPr="00190117">
        <w:rPr>
          <w:color w:val="000000" w:themeColor="text1"/>
          <w:sz w:val="20"/>
          <w:szCs w:val="20"/>
        </w:rPr>
        <w:t>Univers</w:t>
      </w:r>
      <w:proofErr w:type="spellEnd"/>
      <w:r w:rsidRPr="00190117">
        <w:rPr>
          <w:color w:val="000000" w:themeColor="text1"/>
          <w:sz w:val="20"/>
          <w:szCs w:val="20"/>
        </w:rPr>
        <w:t xml:space="preserve"> e </w:t>
      </w:r>
      <w:proofErr w:type="spellStart"/>
      <w:r w:rsidRPr="00190117">
        <w:rPr>
          <w:color w:val="000000" w:themeColor="text1"/>
          <w:sz w:val="20"/>
          <w:szCs w:val="20"/>
        </w:rPr>
        <w:t>Helvetica</w:t>
      </w:r>
      <w:proofErr w:type="spellEnd"/>
      <w:r w:rsidRPr="00190117">
        <w:rPr>
          <w:color w:val="000000" w:themeColor="text1"/>
          <w:sz w:val="20"/>
          <w:szCs w:val="20"/>
        </w:rPr>
        <w:t>. Não</w:t>
      </w:r>
      <w:r w:rsidR="00130C90" w:rsidRPr="00190117">
        <w:rPr>
          <w:color w:val="000000" w:themeColor="text1"/>
          <w:sz w:val="20"/>
          <w:szCs w:val="20"/>
        </w:rPr>
        <w:t xml:space="preserve"> </w:t>
      </w:r>
      <w:r w:rsidRPr="00190117">
        <w:rPr>
          <w:color w:val="000000" w:themeColor="text1"/>
          <w:sz w:val="20"/>
          <w:szCs w:val="20"/>
        </w:rPr>
        <w:t>utilizar fontes condensadas e em itálico, e o negrito deve ser usado apenas quando for enfatizar uma</w:t>
      </w:r>
      <w:r w:rsidR="00F85AFA" w:rsidRPr="00190117">
        <w:rPr>
          <w:color w:val="000000" w:themeColor="text1"/>
          <w:sz w:val="20"/>
          <w:szCs w:val="20"/>
        </w:rPr>
        <w:t xml:space="preserve"> </w:t>
      </w:r>
      <w:r w:rsidRPr="00190117">
        <w:rPr>
          <w:color w:val="000000" w:themeColor="text1"/>
          <w:sz w:val="20"/>
          <w:szCs w:val="20"/>
        </w:rPr>
        <w:t>parte específica da denominação genérica ou comercial do medicamento.</w:t>
      </w:r>
    </w:p>
    <w:p w14:paraId="3B538D7A" w14:textId="167F4327" w:rsidR="001C48F2" w:rsidRPr="00190117" w:rsidRDefault="001C48F2" w:rsidP="00190117">
      <w:pPr>
        <w:spacing w:after="60"/>
        <w:ind w:left="1134"/>
        <w:rPr>
          <w:color w:val="000000" w:themeColor="text1"/>
          <w:sz w:val="20"/>
          <w:szCs w:val="20"/>
        </w:rPr>
      </w:pPr>
      <w:r w:rsidRPr="00190117">
        <w:rPr>
          <w:color w:val="000000" w:themeColor="text1"/>
          <w:sz w:val="20"/>
          <w:szCs w:val="20"/>
        </w:rPr>
        <w:t>• Tamanho mínimo da fonte recomendado: 12 pontos para as informações essenciais (denominação</w:t>
      </w:r>
      <w:r w:rsidR="00F85AFA" w:rsidRPr="00190117">
        <w:rPr>
          <w:color w:val="000000" w:themeColor="text1"/>
          <w:sz w:val="20"/>
          <w:szCs w:val="20"/>
        </w:rPr>
        <w:t xml:space="preserve"> </w:t>
      </w:r>
      <w:r w:rsidRPr="00190117">
        <w:rPr>
          <w:color w:val="000000" w:themeColor="text1"/>
          <w:sz w:val="20"/>
          <w:szCs w:val="20"/>
        </w:rPr>
        <w:t>genérica, concentração e via de administração). Sendo considerado ideal, o tamanho de</w:t>
      </w:r>
      <w:r w:rsidR="00F85AFA" w:rsidRPr="00190117">
        <w:rPr>
          <w:color w:val="000000" w:themeColor="text1"/>
          <w:sz w:val="20"/>
          <w:szCs w:val="20"/>
        </w:rPr>
        <w:t xml:space="preserve"> </w:t>
      </w:r>
      <w:r w:rsidRPr="00190117">
        <w:rPr>
          <w:color w:val="000000" w:themeColor="text1"/>
          <w:sz w:val="20"/>
          <w:szCs w:val="20"/>
        </w:rPr>
        <w:t>16 pontos.</w:t>
      </w:r>
    </w:p>
    <w:p w14:paraId="694D1BBD" w14:textId="7F499B77" w:rsidR="001C48F2" w:rsidRPr="00190117" w:rsidRDefault="001C48F2" w:rsidP="00190117">
      <w:pPr>
        <w:spacing w:after="60"/>
        <w:ind w:left="1134"/>
        <w:rPr>
          <w:color w:val="000000" w:themeColor="text1"/>
          <w:sz w:val="20"/>
          <w:szCs w:val="20"/>
        </w:rPr>
      </w:pPr>
      <w:r w:rsidRPr="00190117">
        <w:rPr>
          <w:color w:val="000000" w:themeColor="text1"/>
          <w:sz w:val="20"/>
          <w:szCs w:val="20"/>
        </w:rPr>
        <w:t>• Nos casos dos medicamentos embalados em recipientes pequenos, recomenda-se o maior tamanho</w:t>
      </w:r>
      <w:r w:rsidR="00F85AFA" w:rsidRPr="00190117">
        <w:rPr>
          <w:color w:val="000000" w:themeColor="text1"/>
          <w:sz w:val="20"/>
          <w:szCs w:val="20"/>
        </w:rPr>
        <w:t xml:space="preserve"> </w:t>
      </w:r>
      <w:r w:rsidRPr="00190117">
        <w:rPr>
          <w:color w:val="000000" w:themeColor="text1"/>
          <w:sz w:val="20"/>
          <w:szCs w:val="20"/>
        </w:rPr>
        <w:t>de letra possível. Um tamanho inferior a seis pontos não deve ser utilizado para as</w:t>
      </w:r>
      <w:r w:rsidR="00F85AFA" w:rsidRPr="00190117">
        <w:rPr>
          <w:color w:val="000000" w:themeColor="text1"/>
          <w:sz w:val="20"/>
          <w:szCs w:val="20"/>
        </w:rPr>
        <w:t xml:space="preserve"> </w:t>
      </w:r>
      <w:r w:rsidRPr="00190117">
        <w:rPr>
          <w:color w:val="000000" w:themeColor="text1"/>
          <w:sz w:val="20"/>
          <w:szCs w:val="20"/>
        </w:rPr>
        <w:t>informações essenciais e a denominação genérica do medicamento.</w:t>
      </w:r>
    </w:p>
    <w:p w14:paraId="589EF8B1" w14:textId="27220B12" w:rsidR="001C48F2" w:rsidRDefault="001C48F2" w:rsidP="007928F2">
      <w:pPr>
        <w:spacing w:after="120"/>
        <w:ind w:left="1134"/>
        <w:rPr>
          <w:color w:val="000000" w:themeColor="text1"/>
          <w:sz w:val="20"/>
          <w:szCs w:val="20"/>
        </w:rPr>
      </w:pPr>
      <w:r w:rsidRPr="00190117">
        <w:rPr>
          <w:color w:val="000000" w:themeColor="text1"/>
          <w:sz w:val="20"/>
          <w:szCs w:val="20"/>
        </w:rPr>
        <w:t>• Não se deve usar espaçamento estreito entre palavras e linhas, não hifenizar (separar sílabas)</w:t>
      </w:r>
      <w:r w:rsidR="00F85AFA" w:rsidRPr="00190117">
        <w:rPr>
          <w:color w:val="000000" w:themeColor="text1"/>
          <w:sz w:val="20"/>
          <w:szCs w:val="20"/>
        </w:rPr>
        <w:t xml:space="preserve"> </w:t>
      </w:r>
      <w:r w:rsidRPr="00190117">
        <w:rPr>
          <w:color w:val="000000" w:themeColor="text1"/>
          <w:sz w:val="20"/>
          <w:szCs w:val="20"/>
        </w:rPr>
        <w:t>nas informações essenciais do medicamento e não utilizar letras maiúsculas para todos os</w:t>
      </w:r>
      <w:r w:rsidR="00F85AFA" w:rsidRPr="00190117">
        <w:rPr>
          <w:color w:val="000000" w:themeColor="text1"/>
          <w:sz w:val="20"/>
          <w:szCs w:val="20"/>
        </w:rPr>
        <w:t xml:space="preserve"> </w:t>
      </w:r>
      <w:r w:rsidRPr="00190117">
        <w:rPr>
          <w:color w:val="000000" w:themeColor="text1"/>
          <w:sz w:val="20"/>
          <w:szCs w:val="20"/>
        </w:rPr>
        <w:t>caracteres das palavras.</w:t>
      </w:r>
    </w:p>
    <w:p w14:paraId="32A61D83" w14:textId="77777777" w:rsidR="00026C01" w:rsidRDefault="00026C01" w:rsidP="007928F2">
      <w:pPr>
        <w:spacing w:after="120"/>
        <w:ind w:left="1134"/>
        <w:rPr>
          <w:color w:val="000000" w:themeColor="text1"/>
          <w:sz w:val="20"/>
          <w:szCs w:val="20"/>
        </w:rPr>
      </w:pPr>
    </w:p>
    <w:p w14:paraId="0DA55F09" w14:textId="42AA9FB1" w:rsidR="00026C01" w:rsidRDefault="00026C01" w:rsidP="00026C01">
      <w:pPr>
        <w:spacing w:after="120"/>
        <w:ind w:firstLine="284"/>
      </w:pPr>
      <w:r>
        <w:lastRenderedPageBreak/>
        <w:t xml:space="preserve">Ainda, acerca das informações textuais, em pesquisa acerca de aplicação da tipografia no contexto da baixa visão, os autores: uma avaliação com usuários” as autoras </w:t>
      </w:r>
      <w:r w:rsidRPr="00AE6629">
        <w:t xml:space="preserve">Maíra </w:t>
      </w:r>
      <w:proofErr w:type="spellStart"/>
      <w:r w:rsidRPr="00AE6629">
        <w:t>Woloszyn</w:t>
      </w:r>
      <w:proofErr w:type="spellEnd"/>
      <w:r>
        <w:t xml:space="preserve"> e</w:t>
      </w:r>
      <w:r w:rsidRPr="00AE6629">
        <w:t xml:space="preserve"> Mary </w:t>
      </w:r>
      <w:proofErr w:type="spellStart"/>
      <w:r w:rsidRPr="00AE6629">
        <w:t>Vonni</w:t>
      </w:r>
      <w:proofErr w:type="spellEnd"/>
      <w:r w:rsidRPr="00AE6629">
        <w:t xml:space="preserve"> </w:t>
      </w:r>
      <w:proofErr w:type="spellStart"/>
      <w:r w:rsidRPr="00AE6629">
        <w:t>Meürer</w:t>
      </w:r>
      <w:proofErr w:type="spellEnd"/>
      <w:r>
        <w:t xml:space="preserve"> (2021, p.1067) recomendam o uso de fontes</w:t>
      </w:r>
      <w:r w:rsidRPr="004F48B1">
        <w:t xml:space="preserve"> entre 16 e 18 pontos</w:t>
      </w:r>
      <w:r>
        <w:t>.</w:t>
      </w:r>
    </w:p>
    <w:p w14:paraId="1A29AD4F" w14:textId="1A6BD144" w:rsidR="00B371B6" w:rsidRPr="00B371B6" w:rsidRDefault="000E15C6" w:rsidP="00026C01">
      <w:pPr>
        <w:spacing w:after="120"/>
        <w:ind w:firstLine="284"/>
        <w:rPr>
          <w:color w:val="000000" w:themeColor="text1"/>
        </w:rPr>
      </w:pPr>
      <w:r>
        <w:rPr>
          <w:color w:val="000000" w:themeColor="text1"/>
        </w:rPr>
        <w:t xml:space="preserve">Com relação ao uso das cores </w:t>
      </w:r>
      <w:r w:rsidR="007928F2">
        <w:rPr>
          <w:color w:val="000000" w:themeColor="text1"/>
        </w:rPr>
        <w:t xml:space="preserve">nos rótulos, </w:t>
      </w:r>
      <w:r>
        <w:rPr>
          <w:color w:val="000000" w:themeColor="text1"/>
        </w:rPr>
        <w:t>o ISMP (2023) propõe</w:t>
      </w:r>
      <w:r w:rsidR="007928F2">
        <w:rPr>
          <w:color w:val="000000" w:themeColor="text1"/>
        </w:rPr>
        <w:t>:</w:t>
      </w:r>
    </w:p>
    <w:p w14:paraId="7E15F709" w14:textId="1774D14E" w:rsidR="00B371B6" w:rsidRPr="00D85D38" w:rsidRDefault="00B371B6" w:rsidP="00D85D38">
      <w:pPr>
        <w:spacing w:after="60"/>
        <w:ind w:left="1134"/>
        <w:rPr>
          <w:color w:val="000000" w:themeColor="text1"/>
          <w:sz w:val="20"/>
          <w:szCs w:val="20"/>
        </w:rPr>
      </w:pPr>
      <w:r w:rsidRPr="00D85D38">
        <w:rPr>
          <w:color w:val="000000" w:themeColor="text1"/>
          <w:sz w:val="20"/>
          <w:szCs w:val="20"/>
        </w:rPr>
        <w:t>• As informações dos rótulos e embalagens devem ser escritas em cores contrastantes com o fundo do rótulo e da embalagem.</w:t>
      </w:r>
    </w:p>
    <w:p w14:paraId="37CE7F56" w14:textId="6B248E77" w:rsidR="00B371B6" w:rsidRPr="00D85D38" w:rsidRDefault="00B371B6" w:rsidP="00D85D38">
      <w:pPr>
        <w:spacing w:after="60"/>
        <w:ind w:left="1134"/>
        <w:rPr>
          <w:color w:val="000000" w:themeColor="text1"/>
          <w:sz w:val="20"/>
          <w:szCs w:val="20"/>
        </w:rPr>
      </w:pPr>
      <w:r w:rsidRPr="00D85D38">
        <w:rPr>
          <w:color w:val="000000" w:themeColor="text1"/>
          <w:sz w:val="20"/>
          <w:szCs w:val="20"/>
        </w:rPr>
        <w:t>• O plano de fundo na zona que contém as informações essenciais, deve ser preferencialmente branco, ou em outra cor clara, com destaque para a denominação genérica, a concentração e via de administração.</w:t>
      </w:r>
    </w:p>
    <w:p w14:paraId="758AF927" w14:textId="77777777" w:rsidR="00B371B6" w:rsidRPr="00D85D38" w:rsidRDefault="00B371B6" w:rsidP="00D85D38">
      <w:pPr>
        <w:spacing w:after="60"/>
        <w:ind w:left="1134"/>
        <w:rPr>
          <w:color w:val="000000" w:themeColor="text1"/>
          <w:sz w:val="20"/>
          <w:szCs w:val="20"/>
        </w:rPr>
      </w:pPr>
      <w:r w:rsidRPr="00D85D38">
        <w:rPr>
          <w:color w:val="000000" w:themeColor="text1"/>
          <w:sz w:val="20"/>
          <w:szCs w:val="20"/>
        </w:rPr>
        <w:t xml:space="preserve">• As informações de alerta e advertência devem ter destaque tanto nos rótulos, quanto nas embalagens. </w:t>
      </w:r>
    </w:p>
    <w:p w14:paraId="03CD294C" w14:textId="3894202E" w:rsidR="00D85D38" w:rsidRDefault="009C1A40" w:rsidP="00D85D38">
      <w:pPr>
        <w:spacing w:after="120"/>
        <w:ind w:firstLine="360"/>
        <w:rPr>
          <w:color w:val="000000" w:themeColor="text1"/>
        </w:rPr>
      </w:pPr>
      <w:r>
        <w:rPr>
          <w:color w:val="000000" w:themeColor="text1"/>
        </w:rPr>
        <w:t xml:space="preserve">Sobre o uso de cores contrastantes, </w:t>
      </w:r>
      <w:r w:rsidR="00DC5657">
        <w:rPr>
          <w:color w:val="000000" w:themeColor="text1"/>
        </w:rPr>
        <w:t>o boletim destaca a importância de utilizar</w:t>
      </w:r>
      <w:r w:rsidR="002639D1">
        <w:rPr>
          <w:color w:val="000000" w:themeColor="text1"/>
        </w:rPr>
        <w:t>:</w:t>
      </w:r>
      <w:r w:rsidR="00DC5657">
        <w:rPr>
          <w:color w:val="000000" w:themeColor="text1"/>
        </w:rPr>
        <w:t xml:space="preserve"> </w:t>
      </w:r>
      <w:r w:rsidR="000108A8">
        <w:rPr>
          <w:color w:val="000000" w:themeColor="text1"/>
        </w:rPr>
        <w:t>cores opostas no círculo cromático</w:t>
      </w:r>
      <w:r w:rsidR="002639D1">
        <w:rPr>
          <w:color w:val="000000" w:themeColor="text1"/>
        </w:rPr>
        <w:t>;</w:t>
      </w:r>
      <w:r w:rsidR="000108A8">
        <w:rPr>
          <w:color w:val="000000" w:themeColor="text1"/>
        </w:rPr>
        <w:t xml:space="preserve"> combinação de </w:t>
      </w:r>
      <w:r w:rsidR="002639D1">
        <w:rPr>
          <w:color w:val="000000" w:themeColor="text1"/>
        </w:rPr>
        <w:t>“</w:t>
      </w:r>
      <w:r w:rsidR="000108A8">
        <w:rPr>
          <w:color w:val="000000" w:themeColor="text1"/>
        </w:rPr>
        <w:t xml:space="preserve">cores </w:t>
      </w:r>
      <w:r w:rsidR="002639D1">
        <w:rPr>
          <w:color w:val="000000" w:themeColor="text1"/>
        </w:rPr>
        <w:t xml:space="preserve">totalmente saturadas” </w:t>
      </w:r>
      <w:r w:rsidR="000108A8">
        <w:rPr>
          <w:color w:val="000000" w:themeColor="text1"/>
        </w:rPr>
        <w:t xml:space="preserve">(vívidas) com </w:t>
      </w:r>
      <w:r w:rsidR="00D85D38">
        <w:rPr>
          <w:color w:val="000000" w:themeColor="text1"/>
        </w:rPr>
        <w:t>“</w:t>
      </w:r>
      <w:r w:rsidR="000108A8">
        <w:rPr>
          <w:color w:val="000000" w:themeColor="text1"/>
        </w:rPr>
        <w:t>cores</w:t>
      </w:r>
      <w:r w:rsidR="00B371B6" w:rsidRPr="00B371B6">
        <w:rPr>
          <w:color w:val="000000" w:themeColor="text1"/>
        </w:rPr>
        <w:t xml:space="preserve"> de baixa saturação</w:t>
      </w:r>
      <w:r w:rsidR="00D85D38">
        <w:rPr>
          <w:color w:val="000000" w:themeColor="text1"/>
        </w:rPr>
        <w:t>”</w:t>
      </w:r>
      <w:r w:rsidR="002639D1">
        <w:rPr>
          <w:color w:val="000000" w:themeColor="text1"/>
        </w:rPr>
        <w:t xml:space="preserve"> (</w:t>
      </w:r>
      <w:r w:rsidR="00D85D38">
        <w:rPr>
          <w:color w:val="000000" w:themeColor="text1"/>
        </w:rPr>
        <w:t>mais acinzentadas); e combinação de cores escuras com cores claras</w:t>
      </w:r>
      <w:r>
        <w:rPr>
          <w:color w:val="000000" w:themeColor="text1"/>
        </w:rPr>
        <w:t xml:space="preserve"> (ISMP, 2023).</w:t>
      </w:r>
    </w:p>
    <w:p w14:paraId="15ADD4CB" w14:textId="6702C33D" w:rsidR="00512CC3" w:rsidRDefault="00047E28" w:rsidP="003F1706">
      <w:pPr>
        <w:spacing w:after="120"/>
        <w:ind w:firstLine="360"/>
        <w:rPr>
          <w:color w:val="000000" w:themeColor="text1"/>
        </w:rPr>
      </w:pPr>
      <w:r>
        <w:rPr>
          <w:color w:val="000000" w:themeColor="text1"/>
        </w:rPr>
        <w:t>Afinal, p</w:t>
      </w:r>
      <w:r w:rsidR="00272F6D">
        <w:rPr>
          <w:color w:val="000000" w:themeColor="text1"/>
        </w:rPr>
        <w:t>ara uma satisfatória u</w:t>
      </w:r>
      <w:r w:rsidR="00E010C4">
        <w:rPr>
          <w:color w:val="000000" w:themeColor="text1"/>
        </w:rPr>
        <w:t xml:space="preserve">sabilidade </w:t>
      </w:r>
      <w:r w:rsidR="00272F6D">
        <w:rPr>
          <w:color w:val="000000" w:themeColor="text1"/>
        </w:rPr>
        <w:t xml:space="preserve">com embalagens de medicamentos, há de se considerar possíveis limitações </w:t>
      </w:r>
      <w:r w:rsidR="00981F79">
        <w:rPr>
          <w:color w:val="000000" w:themeColor="text1"/>
        </w:rPr>
        <w:t>visuais causadas p</w:t>
      </w:r>
      <w:r w:rsidR="002363AC">
        <w:rPr>
          <w:color w:val="000000" w:themeColor="text1"/>
        </w:rPr>
        <w:t xml:space="preserve">elas </w:t>
      </w:r>
      <w:r w:rsidR="00095329">
        <w:rPr>
          <w:color w:val="000000" w:themeColor="text1"/>
        </w:rPr>
        <w:t xml:space="preserve">doenças adquiridas ou </w:t>
      </w:r>
      <w:r w:rsidR="00981F79">
        <w:rPr>
          <w:color w:val="000000" w:themeColor="text1"/>
        </w:rPr>
        <w:t>deficiências</w:t>
      </w:r>
      <w:r w:rsidR="00707E44">
        <w:rPr>
          <w:color w:val="000000" w:themeColor="text1"/>
        </w:rPr>
        <w:t xml:space="preserve"> </w:t>
      </w:r>
      <w:r w:rsidR="00095329">
        <w:rPr>
          <w:color w:val="000000" w:themeColor="text1"/>
        </w:rPr>
        <w:t xml:space="preserve">no órgão da visão. Nesse sentido, </w:t>
      </w:r>
      <w:r w:rsidR="00530BAB">
        <w:rPr>
          <w:color w:val="000000" w:themeColor="text1"/>
        </w:rPr>
        <w:t xml:space="preserve">pessoas com daltonismo e baixa visão </w:t>
      </w:r>
      <w:r w:rsidR="000A7EE8">
        <w:rPr>
          <w:color w:val="000000" w:themeColor="text1"/>
        </w:rPr>
        <w:t xml:space="preserve">se </w:t>
      </w:r>
      <w:r w:rsidR="00530BAB">
        <w:rPr>
          <w:color w:val="000000" w:themeColor="text1"/>
        </w:rPr>
        <w:t xml:space="preserve">tornam </w:t>
      </w:r>
      <w:r w:rsidR="000A7EE8">
        <w:rPr>
          <w:color w:val="000000" w:themeColor="text1"/>
        </w:rPr>
        <w:t xml:space="preserve">vulneráveis quando uma embalagem não contempla características </w:t>
      </w:r>
      <w:r w:rsidR="00A23618">
        <w:rPr>
          <w:color w:val="000000" w:themeColor="text1"/>
        </w:rPr>
        <w:t>para um design universal. Soma-se a esse grupo de pessoas, os idosos</w:t>
      </w:r>
      <w:r w:rsidR="001A101F" w:rsidRPr="00083401">
        <w:rPr>
          <w:color w:val="000000" w:themeColor="text1"/>
        </w:rPr>
        <w:t xml:space="preserve">, que frequentemente enfrentam desafios relacionados a doenças da visão e perda visual associada à </w:t>
      </w:r>
      <w:r w:rsidR="001A101F" w:rsidRPr="00FA32AB">
        <w:t>idade (</w:t>
      </w:r>
      <w:r w:rsidR="00145983" w:rsidRPr="00FA32AB">
        <w:t>Gaspare</w:t>
      </w:r>
      <w:r w:rsidR="00FA32AB" w:rsidRPr="00FA32AB">
        <w:t>t</w:t>
      </w:r>
      <w:r w:rsidR="00145983" w:rsidRPr="00FA32AB">
        <w:t>to, 2025</w:t>
      </w:r>
      <w:r w:rsidR="001A101F" w:rsidRPr="00FA32AB">
        <w:t>).</w:t>
      </w:r>
      <w:r w:rsidR="00512CC3" w:rsidRPr="00FA32AB">
        <w:t xml:space="preserve"> </w:t>
      </w:r>
      <w:r w:rsidR="00512CC3">
        <w:rPr>
          <w:color w:val="000000" w:themeColor="text1"/>
        </w:rPr>
        <w:t>T</w:t>
      </w:r>
      <w:r w:rsidR="001A101F" w:rsidRPr="00083401">
        <w:rPr>
          <w:color w:val="000000" w:themeColor="text1"/>
        </w:rPr>
        <w:t xml:space="preserve">odos enfrentam desafios adicionais que podem comprometer a sua capacidade de ler e interpretar informações cruciais sobre os medicamentos. </w:t>
      </w:r>
    </w:p>
    <w:p w14:paraId="0A149450" w14:textId="77777777" w:rsidR="00026C01" w:rsidRDefault="00026C01" w:rsidP="003F1706">
      <w:pPr>
        <w:spacing w:after="120"/>
        <w:ind w:firstLine="360"/>
        <w:rPr>
          <w:color w:val="000000" w:themeColor="text1"/>
        </w:rPr>
      </w:pPr>
    </w:p>
    <w:p w14:paraId="0C23BC90" w14:textId="77777777" w:rsidR="00E65BA2" w:rsidRPr="00DA2DDD" w:rsidRDefault="00E65BA2" w:rsidP="00DA2DDD">
      <w:pPr>
        <w:numPr>
          <w:ilvl w:val="0"/>
          <w:numId w:val="2"/>
        </w:numPr>
        <w:pBdr>
          <w:top w:val="nil"/>
          <w:left w:val="nil"/>
          <w:bottom w:val="nil"/>
          <w:right w:val="nil"/>
          <w:between w:val="nil"/>
        </w:pBdr>
        <w:spacing w:after="120"/>
        <w:ind w:left="284"/>
        <w:rPr>
          <w:b/>
        </w:rPr>
      </w:pPr>
      <w:r>
        <w:rPr>
          <w:b/>
          <w:color w:val="000000"/>
        </w:rPr>
        <w:t>Análise de medicamentos para alívio de dores e febre</w:t>
      </w:r>
    </w:p>
    <w:p w14:paraId="6B2DC249" w14:textId="6151B144" w:rsidR="00644A87" w:rsidRDefault="00DA2DDD" w:rsidP="00B03C0A">
      <w:pPr>
        <w:spacing w:after="120"/>
        <w:ind w:firstLine="360"/>
      </w:pPr>
      <w:r w:rsidRPr="00DA2DDD">
        <w:t>Nos meses de janeiro e fevereiro de 2025</w:t>
      </w:r>
      <w:r w:rsidR="00485075" w:rsidRPr="00DA2DDD">
        <w:t xml:space="preserve">, </w:t>
      </w:r>
      <w:r>
        <w:t xml:space="preserve">foram </w:t>
      </w:r>
      <w:r w:rsidR="00485075" w:rsidRPr="00DA2DDD">
        <w:t xml:space="preserve">realizadas pesquisas de campo no município do Rio de Janeiro nas três maiores farmácias no varejo nacional segundo </w:t>
      </w:r>
      <w:r w:rsidR="00485075" w:rsidRPr="006D7971">
        <w:t xml:space="preserve">Panorama Farmacêutico (2023), sendo elas: Raia Drogasil; Drogaria Pacheco São Paulo; e Pague Menos. </w:t>
      </w:r>
      <w:r w:rsidRPr="006D7971">
        <w:t>Em tais</w:t>
      </w:r>
      <w:r w:rsidR="00485075" w:rsidRPr="006D7971">
        <w:t xml:space="preserve"> visitas </w:t>
      </w:r>
      <w:r w:rsidR="003F2611" w:rsidRPr="006D7971">
        <w:t>foram re</w:t>
      </w:r>
      <w:r w:rsidR="003F2611">
        <w:t xml:space="preserve">alizados registros fotográficos da seção de medicamentos </w:t>
      </w:r>
      <w:r w:rsidR="0091263D">
        <w:t>para alívio de dores e febres.</w:t>
      </w:r>
      <w:r w:rsidR="00485075" w:rsidRPr="00DA2DDD">
        <w:t xml:space="preserve">  De acordo com Anuário Estatístico apresentado pelo governo (SCMED, 2022) os </w:t>
      </w:r>
      <w:proofErr w:type="spellStart"/>
      <w:r w:rsidR="00485075" w:rsidRPr="00DA2DDD">
        <w:t>MIPs</w:t>
      </w:r>
      <w:proofErr w:type="spellEnd"/>
      <w:r w:rsidR="00485075" w:rsidRPr="00DA2DDD">
        <w:t xml:space="preserve"> para dor e febre que estão entre as 20 substâncias e associações mais comercializadas são: dipirona (4º lugar</w:t>
      </w:r>
      <w:proofErr w:type="gramStart"/>
      <w:r w:rsidR="00485075" w:rsidRPr="00DA2DDD">
        <w:t>);  ibuprofeno</w:t>
      </w:r>
      <w:proofErr w:type="gramEnd"/>
      <w:r w:rsidR="00485075" w:rsidRPr="00DA2DDD">
        <w:t xml:space="preserve"> (6º lugar); paracetamol (7º lugar); e dipirona monoidratada (11º). Portanto, </w:t>
      </w:r>
      <w:r w:rsidR="002A2DC2">
        <w:t xml:space="preserve">optou-se por </w:t>
      </w:r>
      <w:r w:rsidR="001D290B">
        <w:t xml:space="preserve">adquirir todas as marcas </w:t>
      </w:r>
      <w:r w:rsidR="00AA09EB">
        <w:t>de dipirona na versão comprimido para póstum</w:t>
      </w:r>
      <w:r w:rsidR="001D290B">
        <w:t xml:space="preserve">o registro fotográfico </w:t>
      </w:r>
      <w:r w:rsidR="00644A87">
        <w:t xml:space="preserve">e </w:t>
      </w:r>
      <w:r w:rsidR="00AA09EB">
        <w:t xml:space="preserve">análise. </w:t>
      </w:r>
      <w:r w:rsidR="00B03C0A">
        <w:t>No total, foram adquiridas 1</w:t>
      </w:r>
      <w:r w:rsidR="00026C01">
        <w:t>7</w:t>
      </w:r>
      <w:r w:rsidR="00B03C0A">
        <w:t xml:space="preserve"> embalagens de dipirona d</w:t>
      </w:r>
      <w:r w:rsidR="00B83B4C">
        <w:t xml:space="preserve">e 9 grupos farmacêuticos. </w:t>
      </w:r>
    </w:p>
    <w:p w14:paraId="41D7720A" w14:textId="77777777" w:rsidR="00264B63" w:rsidRPr="002E43AA" w:rsidRDefault="00264B63" w:rsidP="002E43AA">
      <w:pPr>
        <w:spacing w:after="120"/>
        <w:ind w:firstLine="360"/>
        <w:jc w:val="center"/>
        <w:rPr>
          <w:sz w:val="20"/>
          <w:szCs w:val="20"/>
        </w:rPr>
      </w:pPr>
    </w:p>
    <w:p w14:paraId="3331A7DC" w14:textId="0BA69428" w:rsidR="00336338" w:rsidRPr="00336338" w:rsidRDefault="00336338" w:rsidP="002E43AA">
      <w:pPr>
        <w:spacing w:after="120"/>
        <w:ind w:firstLine="360"/>
        <w:jc w:val="center"/>
        <w:rPr>
          <w:sz w:val="20"/>
          <w:szCs w:val="20"/>
        </w:rPr>
      </w:pPr>
      <w:r w:rsidRPr="00336338">
        <w:rPr>
          <w:sz w:val="20"/>
          <w:szCs w:val="20"/>
        </w:rPr>
        <w:t xml:space="preserve">Quadro 1: </w:t>
      </w:r>
      <w:r w:rsidR="00FC7D93" w:rsidRPr="002E43AA">
        <w:rPr>
          <w:sz w:val="20"/>
          <w:szCs w:val="20"/>
        </w:rPr>
        <w:t>Marcas de dipirona adquiridas na pesquisa de campo</w:t>
      </w:r>
      <w:r w:rsidRPr="00336338">
        <w:rPr>
          <w:sz w:val="20"/>
          <w:szCs w:val="20"/>
        </w:rPr>
        <w:t>.</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2299"/>
        <w:gridCol w:w="2402"/>
        <w:gridCol w:w="1819"/>
      </w:tblGrid>
      <w:tr w:rsidR="00CB7680" w:rsidRPr="00596A62" w14:paraId="3A6D9B22" w14:textId="77777777" w:rsidTr="00EA27D2">
        <w:trPr>
          <w:jc w:val="center"/>
        </w:trPr>
        <w:tc>
          <w:tcPr>
            <w:tcW w:w="2537" w:type="dxa"/>
            <w:tcBorders>
              <w:top w:val="single" w:sz="12" w:space="0" w:color="auto"/>
              <w:left w:val="single" w:sz="12" w:space="0" w:color="auto"/>
              <w:bottom w:val="single" w:sz="12" w:space="0" w:color="auto"/>
              <w:right w:val="single" w:sz="2" w:space="0" w:color="auto"/>
            </w:tcBorders>
            <w:hideMark/>
          </w:tcPr>
          <w:p w14:paraId="14C7F6B9" w14:textId="14822DF0" w:rsidR="00CB7680" w:rsidRPr="00336338" w:rsidRDefault="00CB7680" w:rsidP="00364A18">
            <w:pPr>
              <w:spacing w:after="120"/>
              <w:ind w:firstLine="22"/>
              <w:jc w:val="center"/>
              <w:rPr>
                <w:b/>
                <w:bCs/>
                <w:sz w:val="20"/>
                <w:szCs w:val="20"/>
                <w:lang w:val="en-US"/>
              </w:rPr>
            </w:pPr>
            <w:r w:rsidRPr="00596A62">
              <w:rPr>
                <w:b/>
                <w:bCs/>
                <w:sz w:val="20"/>
                <w:szCs w:val="20"/>
                <w:lang w:val="en-US"/>
              </w:rPr>
              <w:t>Empresa</w:t>
            </w:r>
            <w:r w:rsidR="00EA27D2" w:rsidRPr="00596A62">
              <w:rPr>
                <w:b/>
                <w:bCs/>
                <w:sz w:val="20"/>
                <w:szCs w:val="20"/>
                <w:lang w:val="en-US"/>
              </w:rPr>
              <w:t xml:space="preserve"> Farmacêutica</w:t>
            </w:r>
          </w:p>
        </w:tc>
        <w:tc>
          <w:tcPr>
            <w:tcW w:w="2299" w:type="dxa"/>
            <w:tcBorders>
              <w:top w:val="single" w:sz="12" w:space="0" w:color="auto"/>
              <w:left w:val="single" w:sz="2" w:space="0" w:color="auto"/>
              <w:bottom w:val="single" w:sz="12" w:space="0" w:color="auto"/>
              <w:right w:val="single" w:sz="2" w:space="0" w:color="auto"/>
            </w:tcBorders>
            <w:hideMark/>
          </w:tcPr>
          <w:p w14:paraId="5650CC41" w14:textId="01DD73C2" w:rsidR="00CB7680" w:rsidRPr="00336338" w:rsidRDefault="00CB7680" w:rsidP="00364A18">
            <w:pPr>
              <w:spacing w:after="120"/>
              <w:ind w:firstLine="22"/>
              <w:jc w:val="center"/>
              <w:rPr>
                <w:b/>
                <w:bCs/>
                <w:sz w:val="20"/>
                <w:szCs w:val="20"/>
                <w:lang w:val="en-US"/>
              </w:rPr>
            </w:pPr>
            <w:r w:rsidRPr="003B5F60">
              <w:rPr>
                <w:b/>
                <w:bCs/>
                <w:sz w:val="20"/>
                <w:szCs w:val="20"/>
              </w:rPr>
              <w:t>Marca do medicamento</w:t>
            </w:r>
          </w:p>
        </w:tc>
        <w:tc>
          <w:tcPr>
            <w:tcW w:w="2402" w:type="dxa"/>
            <w:tcBorders>
              <w:top w:val="single" w:sz="12" w:space="0" w:color="auto"/>
              <w:left w:val="single" w:sz="2" w:space="0" w:color="auto"/>
              <w:bottom w:val="single" w:sz="12" w:space="0" w:color="auto"/>
              <w:right w:val="single" w:sz="2" w:space="0" w:color="auto"/>
            </w:tcBorders>
            <w:hideMark/>
          </w:tcPr>
          <w:p w14:paraId="74B8CA87" w14:textId="31E62944" w:rsidR="00CB7680" w:rsidRPr="00336338" w:rsidRDefault="00CB7680" w:rsidP="00364A18">
            <w:pPr>
              <w:spacing w:after="120"/>
              <w:ind w:firstLine="22"/>
              <w:jc w:val="center"/>
              <w:rPr>
                <w:b/>
                <w:bCs/>
                <w:sz w:val="20"/>
                <w:szCs w:val="20"/>
                <w:lang w:val="en-US"/>
              </w:rPr>
            </w:pPr>
            <w:r w:rsidRPr="003B5F60">
              <w:rPr>
                <w:b/>
                <w:bCs/>
                <w:sz w:val="20"/>
                <w:szCs w:val="20"/>
              </w:rPr>
              <w:t>Tipo de medicamento</w:t>
            </w:r>
          </w:p>
        </w:tc>
        <w:tc>
          <w:tcPr>
            <w:tcW w:w="1819" w:type="dxa"/>
            <w:tcBorders>
              <w:top w:val="single" w:sz="12" w:space="0" w:color="auto"/>
              <w:left w:val="single" w:sz="2" w:space="0" w:color="auto"/>
              <w:bottom w:val="single" w:sz="12" w:space="0" w:color="auto"/>
              <w:right w:val="single" w:sz="12" w:space="0" w:color="auto"/>
            </w:tcBorders>
            <w:hideMark/>
          </w:tcPr>
          <w:p w14:paraId="2B997D6D" w14:textId="6E2F703C" w:rsidR="00CB7680" w:rsidRPr="00336338" w:rsidRDefault="00CB7680" w:rsidP="00364A18">
            <w:pPr>
              <w:spacing w:after="120"/>
              <w:ind w:firstLine="22"/>
              <w:jc w:val="center"/>
              <w:rPr>
                <w:b/>
                <w:bCs/>
                <w:sz w:val="20"/>
                <w:szCs w:val="20"/>
                <w:lang w:val="en-US"/>
              </w:rPr>
            </w:pPr>
            <w:r w:rsidRPr="003B5F60">
              <w:rPr>
                <w:b/>
                <w:bCs/>
                <w:sz w:val="20"/>
                <w:szCs w:val="20"/>
              </w:rPr>
              <w:t>Quant</w:t>
            </w:r>
            <w:r w:rsidR="001F763A" w:rsidRPr="00596A62">
              <w:rPr>
                <w:b/>
                <w:bCs/>
                <w:sz w:val="20"/>
                <w:szCs w:val="20"/>
              </w:rPr>
              <w:t xml:space="preserve">idade </w:t>
            </w:r>
            <w:r w:rsidRPr="003B5F60">
              <w:rPr>
                <w:b/>
                <w:bCs/>
                <w:sz w:val="20"/>
                <w:szCs w:val="20"/>
              </w:rPr>
              <w:t>(mg)</w:t>
            </w:r>
          </w:p>
        </w:tc>
      </w:tr>
      <w:tr w:rsidR="002A0C25" w:rsidRPr="00596A62" w14:paraId="2D7FD09E" w14:textId="77777777" w:rsidTr="00EA27D2">
        <w:trPr>
          <w:jc w:val="center"/>
        </w:trPr>
        <w:tc>
          <w:tcPr>
            <w:tcW w:w="2537" w:type="dxa"/>
            <w:tcBorders>
              <w:top w:val="single" w:sz="12" w:space="0" w:color="auto"/>
              <w:left w:val="single" w:sz="12" w:space="0" w:color="auto"/>
              <w:bottom w:val="single" w:sz="4" w:space="0" w:color="auto"/>
              <w:right w:val="single" w:sz="4" w:space="0" w:color="auto"/>
            </w:tcBorders>
            <w:vAlign w:val="center"/>
            <w:hideMark/>
          </w:tcPr>
          <w:p w14:paraId="19E54DB5" w14:textId="29911C26" w:rsidR="002A0C25" w:rsidRPr="00336338" w:rsidRDefault="002A0C25" w:rsidP="002A0C25">
            <w:pPr>
              <w:spacing w:after="120"/>
              <w:ind w:firstLine="22"/>
              <w:jc w:val="center"/>
              <w:rPr>
                <w:sz w:val="20"/>
                <w:szCs w:val="20"/>
                <w:lang w:val="en-US"/>
              </w:rPr>
            </w:pPr>
            <w:r w:rsidRPr="00596A62">
              <w:rPr>
                <w:sz w:val="20"/>
                <w:szCs w:val="20"/>
              </w:rPr>
              <w:t>Sanofi</w:t>
            </w:r>
          </w:p>
        </w:tc>
        <w:tc>
          <w:tcPr>
            <w:tcW w:w="2299" w:type="dxa"/>
            <w:tcBorders>
              <w:top w:val="single" w:sz="12" w:space="0" w:color="auto"/>
              <w:left w:val="single" w:sz="4" w:space="0" w:color="auto"/>
              <w:bottom w:val="single" w:sz="4" w:space="0" w:color="auto"/>
              <w:right w:val="single" w:sz="4" w:space="0" w:color="auto"/>
            </w:tcBorders>
            <w:vAlign w:val="center"/>
            <w:hideMark/>
          </w:tcPr>
          <w:p w14:paraId="0CE2D0E1" w14:textId="56509274" w:rsidR="002A0C25" w:rsidRPr="00336338" w:rsidRDefault="002A0C25" w:rsidP="002A0C25">
            <w:pPr>
              <w:spacing w:after="120"/>
              <w:ind w:firstLine="22"/>
              <w:jc w:val="center"/>
              <w:rPr>
                <w:sz w:val="20"/>
                <w:szCs w:val="20"/>
                <w:lang w:val="en-US"/>
              </w:rPr>
            </w:pPr>
            <w:r w:rsidRPr="003B5F60">
              <w:rPr>
                <w:sz w:val="20"/>
                <w:szCs w:val="20"/>
              </w:rPr>
              <w:t>Novalgina</w:t>
            </w:r>
          </w:p>
        </w:tc>
        <w:tc>
          <w:tcPr>
            <w:tcW w:w="2402" w:type="dxa"/>
            <w:tcBorders>
              <w:top w:val="single" w:sz="12" w:space="0" w:color="auto"/>
              <w:left w:val="single" w:sz="4" w:space="0" w:color="auto"/>
              <w:bottom w:val="single" w:sz="4" w:space="0" w:color="auto"/>
              <w:right w:val="single" w:sz="4" w:space="0" w:color="auto"/>
            </w:tcBorders>
            <w:vAlign w:val="center"/>
            <w:hideMark/>
          </w:tcPr>
          <w:p w14:paraId="7473FD16" w14:textId="469D07A8" w:rsidR="002A0C25" w:rsidRPr="00336338" w:rsidRDefault="001F763A" w:rsidP="002A0C25">
            <w:pPr>
              <w:spacing w:after="120"/>
              <w:ind w:firstLine="22"/>
              <w:jc w:val="center"/>
              <w:rPr>
                <w:sz w:val="20"/>
                <w:szCs w:val="20"/>
                <w:lang w:val="en-US"/>
              </w:rPr>
            </w:pPr>
            <w:r w:rsidRPr="00596A62">
              <w:rPr>
                <w:sz w:val="20"/>
                <w:szCs w:val="20"/>
              </w:rPr>
              <w:t>R</w:t>
            </w:r>
            <w:r w:rsidR="002A0C25" w:rsidRPr="003B5F60">
              <w:rPr>
                <w:sz w:val="20"/>
                <w:szCs w:val="20"/>
              </w:rPr>
              <w:t>eferência</w:t>
            </w:r>
          </w:p>
        </w:tc>
        <w:tc>
          <w:tcPr>
            <w:tcW w:w="1819" w:type="dxa"/>
            <w:tcBorders>
              <w:top w:val="single" w:sz="12" w:space="0" w:color="auto"/>
              <w:left w:val="single" w:sz="4" w:space="0" w:color="auto"/>
              <w:bottom w:val="single" w:sz="4" w:space="0" w:color="auto"/>
              <w:right w:val="single" w:sz="12" w:space="0" w:color="auto"/>
            </w:tcBorders>
            <w:vAlign w:val="center"/>
            <w:hideMark/>
          </w:tcPr>
          <w:p w14:paraId="2B45BD67" w14:textId="7DBE6B58" w:rsidR="002A0C25" w:rsidRPr="00336338" w:rsidRDefault="002A0C25" w:rsidP="002A0C25">
            <w:pPr>
              <w:spacing w:after="120"/>
              <w:ind w:firstLine="22"/>
              <w:jc w:val="center"/>
              <w:rPr>
                <w:sz w:val="20"/>
                <w:szCs w:val="20"/>
                <w:lang w:val="en-US"/>
              </w:rPr>
            </w:pPr>
            <w:r w:rsidRPr="00596A62">
              <w:rPr>
                <w:sz w:val="20"/>
                <w:szCs w:val="20"/>
              </w:rPr>
              <w:t>1g</w:t>
            </w:r>
          </w:p>
        </w:tc>
      </w:tr>
      <w:tr w:rsidR="002A0C25" w:rsidRPr="00596A62" w14:paraId="4FFC5B89"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tcPr>
          <w:p w14:paraId="475B4633" w14:textId="1C4335BB" w:rsidR="002A0C25" w:rsidRPr="00596A62" w:rsidRDefault="002A0C25" w:rsidP="002A0C25">
            <w:pPr>
              <w:spacing w:after="120"/>
              <w:ind w:firstLine="22"/>
              <w:jc w:val="center"/>
              <w:rPr>
                <w:sz w:val="20"/>
                <w:szCs w:val="20"/>
                <w:lang w:val="en-US"/>
              </w:rPr>
            </w:pPr>
            <w:r w:rsidRPr="00596A62">
              <w:rPr>
                <w:sz w:val="20"/>
                <w:szCs w:val="20"/>
              </w:rPr>
              <w:t>Sanofi</w:t>
            </w:r>
          </w:p>
        </w:tc>
        <w:tc>
          <w:tcPr>
            <w:tcW w:w="2299" w:type="dxa"/>
            <w:tcBorders>
              <w:top w:val="single" w:sz="4" w:space="0" w:color="auto"/>
              <w:left w:val="single" w:sz="4" w:space="0" w:color="auto"/>
              <w:bottom w:val="single" w:sz="4" w:space="0" w:color="auto"/>
              <w:right w:val="single" w:sz="4" w:space="0" w:color="auto"/>
            </w:tcBorders>
            <w:vAlign w:val="center"/>
          </w:tcPr>
          <w:p w14:paraId="13A0EFF7" w14:textId="787A7C49" w:rsidR="002A0C25" w:rsidRPr="00596A62" w:rsidRDefault="002A0C25" w:rsidP="002A0C25">
            <w:pPr>
              <w:spacing w:after="120"/>
              <w:ind w:firstLine="22"/>
              <w:jc w:val="center"/>
              <w:rPr>
                <w:sz w:val="20"/>
                <w:szCs w:val="20"/>
                <w:lang w:val="en-US"/>
              </w:rPr>
            </w:pPr>
            <w:r w:rsidRPr="003B5F60">
              <w:rPr>
                <w:sz w:val="20"/>
                <w:szCs w:val="20"/>
              </w:rPr>
              <w:t>DorflexDIP</w:t>
            </w:r>
          </w:p>
        </w:tc>
        <w:tc>
          <w:tcPr>
            <w:tcW w:w="2402" w:type="dxa"/>
            <w:tcBorders>
              <w:top w:val="single" w:sz="4" w:space="0" w:color="auto"/>
              <w:left w:val="single" w:sz="4" w:space="0" w:color="auto"/>
              <w:bottom w:val="single" w:sz="4" w:space="0" w:color="auto"/>
              <w:right w:val="single" w:sz="4" w:space="0" w:color="auto"/>
            </w:tcBorders>
            <w:vAlign w:val="center"/>
          </w:tcPr>
          <w:p w14:paraId="20229D9D" w14:textId="1E88BD01" w:rsidR="002A0C25" w:rsidRPr="00596A62" w:rsidRDefault="001F763A" w:rsidP="002A0C25">
            <w:pPr>
              <w:spacing w:after="120"/>
              <w:ind w:firstLine="22"/>
              <w:jc w:val="center"/>
              <w:rPr>
                <w:sz w:val="20"/>
                <w:szCs w:val="20"/>
                <w:lang w:val="en-US"/>
              </w:rPr>
            </w:pPr>
            <w:r w:rsidRPr="00596A62">
              <w:rPr>
                <w:sz w:val="20"/>
                <w:szCs w:val="20"/>
              </w:rPr>
              <w:t>B</w:t>
            </w:r>
            <w:r w:rsidR="002A0C25" w:rsidRPr="003B5F60">
              <w:rPr>
                <w:sz w:val="20"/>
                <w:szCs w:val="20"/>
              </w:rPr>
              <w:t>ioequivalente</w:t>
            </w:r>
          </w:p>
        </w:tc>
        <w:tc>
          <w:tcPr>
            <w:tcW w:w="1819" w:type="dxa"/>
            <w:tcBorders>
              <w:top w:val="single" w:sz="4" w:space="0" w:color="auto"/>
              <w:left w:val="single" w:sz="4" w:space="0" w:color="auto"/>
              <w:bottom w:val="single" w:sz="4" w:space="0" w:color="auto"/>
              <w:right w:val="single" w:sz="12" w:space="0" w:color="auto"/>
            </w:tcBorders>
          </w:tcPr>
          <w:p w14:paraId="2EB77B27" w14:textId="06A2E007" w:rsidR="002A0C25" w:rsidRPr="00596A62" w:rsidRDefault="002A0C25" w:rsidP="002A0C25">
            <w:pPr>
              <w:spacing w:after="120"/>
              <w:ind w:firstLine="22"/>
              <w:jc w:val="center"/>
              <w:rPr>
                <w:sz w:val="20"/>
                <w:szCs w:val="20"/>
                <w:lang w:val="en-US"/>
              </w:rPr>
            </w:pPr>
            <w:r w:rsidRPr="00596A62">
              <w:rPr>
                <w:sz w:val="20"/>
                <w:szCs w:val="20"/>
              </w:rPr>
              <w:t>1g</w:t>
            </w:r>
          </w:p>
        </w:tc>
      </w:tr>
      <w:tr w:rsidR="002A0C25" w:rsidRPr="00596A62" w14:paraId="3C13FB4A"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tcPr>
          <w:p w14:paraId="09D9A08D" w14:textId="5E999BEF" w:rsidR="002A0C25" w:rsidRPr="00596A62" w:rsidRDefault="002A0C25" w:rsidP="002A0C25">
            <w:pPr>
              <w:spacing w:after="120"/>
              <w:ind w:firstLine="22"/>
              <w:jc w:val="center"/>
              <w:rPr>
                <w:sz w:val="20"/>
                <w:szCs w:val="20"/>
                <w:lang w:val="en-US"/>
              </w:rPr>
            </w:pPr>
            <w:r w:rsidRPr="00596A62">
              <w:rPr>
                <w:sz w:val="20"/>
                <w:szCs w:val="20"/>
              </w:rPr>
              <w:t>Sanofi</w:t>
            </w:r>
          </w:p>
        </w:tc>
        <w:tc>
          <w:tcPr>
            <w:tcW w:w="2299" w:type="dxa"/>
            <w:tcBorders>
              <w:top w:val="single" w:sz="4" w:space="0" w:color="auto"/>
              <w:left w:val="single" w:sz="4" w:space="0" w:color="auto"/>
              <w:bottom w:val="single" w:sz="4" w:space="0" w:color="auto"/>
              <w:right w:val="single" w:sz="4" w:space="0" w:color="auto"/>
            </w:tcBorders>
            <w:vAlign w:val="center"/>
          </w:tcPr>
          <w:p w14:paraId="7CF10494" w14:textId="112136B9" w:rsidR="002A0C25" w:rsidRPr="00596A62" w:rsidRDefault="002A0C25" w:rsidP="002A0C25">
            <w:pPr>
              <w:tabs>
                <w:tab w:val="left" w:pos="923"/>
              </w:tabs>
              <w:spacing w:after="120"/>
              <w:ind w:firstLine="22"/>
              <w:jc w:val="center"/>
              <w:rPr>
                <w:sz w:val="20"/>
                <w:szCs w:val="20"/>
                <w:lang w:val="en-US"/>
              </w:rPr>
            </w:pPr>
            <w:r w:rsidRPr="003B5F60">
              <w:rPr>
                <w:sz w:val="20"/>
                <w:szCs w:val="20"/>
              </w:rPr>
              <w:t>DorflexUNO</w:t>
            </w:r>
          </w:p>
        </w:tc>
        <w:tc>
          <w:tcPr>
            <w:tcW w:w="2402" w:type="dxa"/>
            <w:tcBorders>
              <w:top w:val="single" w:sz="4" w:space="0" w:color="auto"/>
              <w:left w:val="single" w:sz="4" w:space="0" w:color="auto"/>
              <w:bottom w:val="single" w:sz="4" w:space="0" w:color="auto"/>
              <w:right w:val="single" w:sz="4" w:space="0" w:color="auto"/>
            </w:tcBorders>
            <w:vAlign w:val="center"/>
          </w:tcPr>
          <w:p w14:paraId="4549AD48" w14:textId="256451DC" w:rsidR="002A0C25" w:rsidRPr="00596A62" w:rsidRDefault="001F763A" w:rsidP="002A0C25">
            <w:pPr>
              <w:spacing w:after="120"/>
              <w:ind w:firstLine="22"/>
              <w:jc w:val="center"/>
              <w:rPr>
                <w:sz w:val="20"/>
                <w:szCs w:val="20"/>
                <w:lang w:val="en-US"/>
              </w:rPr>
            </w:pPr>
            <w:r w:rsidRPr="00596A62">
              <w:rPr>
                <w:sz w:val="20"/>
                <w:szCs w:val="20"/>
              </w:rPr>
              <w:t>B</w:t>
            </w:r>
            <w:r w:rsidR="002A0C25" w:rsidRPr="003B5F60">
              <w:rPr>
                <w:sz w:val="20"/>
                <w:szCs w:val="20"/>
              </w:rPr>
              <w:t>ioequivalente</w:t>
            </w:r>
          </w:p>
        </w:tc>
        <w:tc>
          <w:tcPr>
            <w:tcW w:w="1819" w:type="dxa"/>
            <w:tcBorders>
              <w:top w:val="single" w:sz="4" w:space="0" w:color="auto"/>
              <w:left w:val="single" w:sz="4" w:space="0" w:color="auto"/>
              <w:bottom w:val="single" w:sz="4" w:space="0" w:color="auto"/>
              <w:right w:val="single" w:sz="12" w:space="0" w:color="auto"/>
            </w:tcBorders>
          </w:tcPr>
          <w:p w14:paraId="251F47D8" w14:textId="39629DAC" w:rsidR="002A0C25" w:rsidRPr="00596A62" w:rsidRDefault="002A0C25" w:rsidP="002A0C25">
            <w:pPr>
              <w:spacing w:after="120"/>
              <w:ind w:firstLine="22"/>
              <w:jc w:val="center"/>
              <w:rPr>
                <w:sz w:val="20"/>
                <w:szCs w:val="20"/>
                <w:lang w:val="en-US"/>
              </w:rPr>
            </w:pPr>
            <w:r w:rsidRPr="00596A62">
              <w:rPr>
                <w:sz w:val="20"/>
                <w:szCs w:val="20"/>
              </w:rPr>
              <w:t>1g</w:t>
            </w:r>
          </w:p>
        </w:tc>
      </w:tr>
      <w:tr w:rsidR="002A0C25" w:rsidRPr="00596A62" w14:paraId="6AD0A7B7"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tcPr>
          <w:p w14:paraId="393E2D74" w14:textId="0C808DBD" w:rsidR="002A0C25" w:rsidRPr="00596A62" w:rsidRDefault="002A0C25" w:rsidP="002A0C25">
            <w:pPr>
              <w:spacing w:after="120"/>
              <w:ind w:firstLine="22"/>
              <w:jc w:val="center"/>
              <w:rPr>
                <w:sz w:val="20"/>
                <w:szCs w:val="20"/>
                <w:lang w:val="en-US"/>
              </w:rPr>
            </w:pPr>
            <w:r w:rsidRPr="00596A62">
              <w:rPr>
                <w:sz w:val="20"/>
                <w:szCs w:val="20"/>
              </w:rPr>
              <w:t>Sanofi</w:t>
            </w:r>
          </w:p>
        </w:tc>
        <w:tc>
          <w:tcPr>
            <w:tcW w:w="2299" w:type="dxa"/>
            <w:tcBorders>
              <w:top w:val="single" w:sz="4" w:space="0" w:color="auto"/>
              <w:left w:val="single" w:sz="4" w:space="0" w:color="auto"/>
              <w:bottom w:val="single" w:sz="4" w:space="0" w:color="auto"/>
              <w:right w:val="single" w:sz="4" w:space="0" w:color="auto"/>
            </w:tcBorders>
            <w:vAlign w:val="center"/>
          </w:tcPr>
          <w:p w14:paraId="21627BE2" w14:textId="31185F45" w:rsidR="002A0C25" w:rsidRPr="00596A62" w:rsidRDefault="002A0C25" w:rsidP="002A0C25">
            <w:pPr>
              <w:tabs>
                <w:tab w:val="left" w:pos="923"/>
              </w:tabs>
              <w:spacing w:after="120"/>
              <w:ind w:firstLine="22"/>
              <w:jc w:val="center"/>
              <w:rPr>
                <w:sz w:val="20"/>
                <w:szCs w:val="20"/>
                <w:lang w:val="en-US"/>
              </w:rPr>
            </w:pPr>
            <w:r w:rsidRPr="003B5F60">
              <w:rPr>
                <w:sz w:val="20"/>
                <w:szCs w:val="20"/>
              </w:rPr>
              <w:t>Anador</w:t>
            </w:r>
          </w:p>
        </w:tc>
        <w:tc>
          <w:tcPr>
            <w:tcW w:w="2402" w:type="dxa"/>
            <w:tcBorders>
              <w:top w:val="single" w:sz="4" w:space="0" w:color="auto"/>
              <w:left w:val="single" w:sz="4" w:space="0" w:color="auto"/>
              <w:bottom w:val="single" w:sz="4" w:space="0" w:color="auto"/>
              <w:right w:val="single" w:sz="4" w:space="0" w:color="auto"/>
            </w:tcBorders>
            <w:vAlign w:val="center"/>
          </w:tcPr>
          <w:p w14:paraId="5A373E2E" w14:textId="57DDDFE4" w:rsidR="002A0C25" w:rsidRPr="00596A62" w:rsidRDefault="001F763A" w:rsidP="002A0C25">
            <w:pPr>
              <w:spacing w:after="120"/>
              <w:ind w:firstLine="22"/>
              <w:jc w:val="center"/>
              <w:rPr>
                <w:sz w:val="20"/>
                <w:szCs w:val="20"/>
                <w:lang w:val="en-US"/>
              </w:rPr>
            </w:pPr>
            <w:r w:rsidRPr="00596A62">
              <w:rPr>
                <w:sz w:val="20"/>
                <w:szCs w:val="20"/>
              </w:rPr>
              <w:t>B</w:t>
            </w:r>
            <w:r w:rsidR="002A0C25" w:rsidRPr="003B5F60">
              <w:rPr>
                <w:sz w:val="20"/>
                <w:szCs w:val="20"/>
              </w:rPr>
              <w:t>ioequivalente</w:t>
            </w:r>
          </w:p>
        </w:tc>
        <w:tc>
          <w:tcPr>
            <w:tcW w:w="1819" w:type="dxa"/>
            <w:tcBorders>
              <w:top w:val="single" w:sz="4" w:space="0" w:color="auto"/>
              <w:left w:val="single" w:sz="4" w:space="0" w:color="auto"/>
              <w:bottom w:val="single" w:sz="4" w:space="0" w:color="auto"/>
              <w:right w:val="single" w:sz="12" w:space="0" w:color="auto"/>
            </w:tcBorders>
          </w:tcPr>
          <w:p w14:paraId="04271802" w14:textId="4AEE2BE6" w:rsidR="002A0C25" w:rsidRPr="00596A62" w:rsidRDefault="002A0C25" w:rsidP="002A0C25">
            <w:pPr>
              <w:spacing w:after="120"/>
              <w:ind w:firstLine="22"/>
              <w:jc w:val="center"/>
              <w:rPr>
                <w:sz w:val="20"/>
                <w:szCs w:val="20"/>
                <w:lang w:val="en-US"/>
              </w:rPr>
            </w:pPr>
            <w:r w:rsidRPr="00596A62">
              <w:rPr>
                <w:sz w:val="20"/>
                <w:szCs w:val="20"/>
              </w:rPr>
              <w:t>1g</w:t>
            </w:r>
          </w:p>
        </w:tc>
      </w:tr>
      <w:tr w:rsidR="002A0C25" w:rsidRPr="00596A62" w14:paraId="7204FC52"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tcPr>
          <w:p w14:paraId="3E8948DB" w14:textId="7B32BB67" w:rsidR="002A0C25" w:rsidRPr="00596A62" w:rsidRDefault="002A0C25" w:rsidP="002A0C25">
            <w:pPr>
              <w:spacing w:after="120"/>
              <w:ind w:firstLine="22"/>
              <w:jc w:val="center"/>
              <w:rPr>
                <w:sz w:val="20"/>
                <w:szCs w:val="20"/>
                <w:lang w:val="en-US"/>
              </w:rPr>
            </w:pPr>
            <w:r w:rsidRPr="00596A62">
              <w:rPr>
                <w:sz w:val="20"/>
                <w:szCs w:val="20"/>
              </w:rPr>
              <w:t>Sanofi</w:t>
            </w:r>
          </w:p>
        </w:tc>
        <w:tc>
          <w:tcPr>
            <w:tcW w:w="2299" w:type="dxa"/>
            <w:tcBorders>
              <w:top w:val="single" w:sz="4" w:space="0" w:color="auto"/>
              <w:left w:val="single" w:sz="4" w:space="0" w:color="auto"/>
              <w:bottom w:val="single" w:sz="4" w:space="0" w:color="auto"/>
              <w:right w:val="single" w:sz="4" w:space="0" w:color="auto"/>
            </w:tcBorders>
            <w:vAlign w:val="center"/>
          </w:tcPr>
          <w:p w14:paraId="33BCD366" w14:textId="40F74587" w:rsidR="002A0C25" w:rsidRPr="00596A62" w:rsidRDefault="002A0C25" w:rsidP="002A0C25">
            <w:pPr>
              <w:tabs>
                <w:tab w:val="left" w:pos="923"/>
              </w:tabs>
              <w:spacing w:after="120"/>
              <w:ind w:firstLine="22"/>
              <w:jc w:val="center"/>
              <w:rPr>
                <w:sz w:val="20"/>
                <w:szCs w:val="20"/>
                <w:lang w:val="en-US"/>
              </w:rPr>
            </w:pPr>
            <w:r w:rsidRPr="003B5F60">
              <w:rPr>
                <w:sz w:val="20"/>
                <w:szCs w:val="20"/>
              </w:rPr>
              <w:t>Anador</w:t>
            </w:r>
          </w:p>
        </w:tc>
        <w:tc>
          <w:tcPr>
            <w:tcW w:w="2402" w:type="dxa"/>
            <w:tcBorders>
              <w:top w:val="single" w:sz="4" w:space="0" w:color="auto"/>
              <w:left w:val="single" w:sz="4" w:space="0" w:color="auto"/>
              <w:bottom w:val="single" w:sz="4" w:space="0" w:color="auto"/>
              <w:right w:val="single" w:sz="4" w:space="0" w:color="auto"/>
            </w:tcBorders>
            <w:vAlign w:val="center"/>
          </w:tcPr>
          <w:p w14:paraId="6E06C1B9" w14:textId="4DF2EDE4" w:rsidR="002A0C25" w:rsidRPr="00596A62" w:rsidRDefault="001F763A" w:rsidP="002A0C25">
            <w:pPr>
              <w:spacing w:after="120"/>
              <w:ind w:firstLine="22"/>
              <w:jc w:val="center"/>
              <w:rPr>
                <w:sz w:val="20"/>
                <w:szCs w:val="20"/>
                <w:lang w:val="en-US"/>
              </w:rPr>
            </w:pPr>
            <w:r w:rsidRPr="00596A62">
              <w:rPr>
                <w:sz w:val="20"/>
                <w:szCs w:val="20"/>
              </w:rPr>
              <w:t>B</w:t>
            </w:r>
            <w:r w:rsidR="002A0C25" w:rsidRPr="003B5F60">
              <w:rPr>
                <w:sz w:val="20"/>
                <w:szCs w:val="20"/>
              </w:rPr>
              <w:t>ioequivalente</w:t>
            </w:r>
          </w:p>
        </w:tc>
        <w:tc>
          <w:tcPr>
            <w:tcW w:w="1819" w:type="dxa"/>
            <w:tcBorders>
              <w:top w:val="single" w:sz="4" w:space="0" w:color="auto"/>
              <w:left w:val="single" w:sz="4" w:space="0" w:color="auto"/>
              <w:bottom w:val="single" w:sz="4" w:space="0" w:color="auto"/>
              <w:right w:val="single" w:sz="12" w:space="0" w:color="auto"/>
            </w:tcBorders>
            <w:vAlign w:val="center"/>
          </w:tcPr>
          <w:p w14:paraId="064DCED9" w14:textId="69FF03BF" w:rsidR="002A0C25" w:rsidRPr="00596A62" w:rsidRDefault="002A0C25" w:rsidP="002A0C25">
            <w:pPr>
              <w:spacing w:after="120"/>
              <w:ind w:firstLine="22"/>
              <w:jc w:val="center"/>
              <w:rPr>
                <w:sz w:val="20"/>
                <w:szCs w:val="20"/>
                <w:lang w:val="en-US"/>
              </w:rPr>
            </w:pPr>
            <w:r w:rsidRPr="00596A62">
              <w:rPr>
                <w:sz w:val="20"/>
                <w:szCs w:val="20"/>
              </w:rPr>
              <w:t>500mg</w:t>
            </w:r>
          </w:p>
        </w:tc>
      </w:tr>
      <w:tr w:rsidR="00A96EAC" w:rsidRPr="00596A62" w14:paraId="199BA839" w14:textId="77777777" w:rsidTr="005937ED">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2D644F95" w14:textId="2C8CDBD4" w:rsidR="00A96EAC" w:rsidRDefault="002E5A84" w:rsidP="00A96EAC">
            <w:pPr>
              <w:spacing w:after="120"/>
              <w:jc w:val="center"/>
              <w:rPr>
                <w:sz w:val="20"/>
                <w:szCs w:val="20"/>
              </w:rPr>
            </w:pPr>
            <w:r w:rsidRPr="00596A62">
              <w:rPr>
                <w:sz w:val="20"/>
                <w:szCs w:val="20"/>
              </w:rPr>
              <w:t>Sanofi</w:t>
            </w:r>
            <w:r w:rsidRPr="003B5F60">
              <w:rPr>
                <w:sz w:val="20"/>
                <w:szCs w:val="20"/>
              </w:rPr>
              <w:t xml:space="preserve"> </w:t>
            </w:r>
            <w:r>
              <w:rPr>
                <w:sz w:val="20"/>
                <w:szCs w:val="20"/>
              </w:rPr>
              <w:t xml:space="preserve">/ </w:t>
            </w:r>
            <w:r w:rsidR="00A96EAC" w:rsidRPr="003B5F60">
              <w:rPr>
                <w:sz w:val="20"/>
                <w:szCs w:val="20"/>
              </w:rPr>
              <w:t>Medley</w:t>
            </w:r>
          </w:p>
        </w:tc>
        <w:tc>
          <w:tcPr>
            <w:tcW w:w="2299" w:type="dxa"/>
            <w:tcBorders>
              <w:top w:val="single" w:sz="4" w:space="0" w:color="auto"/>
              <w:left w:val="single" w:sz="4" w:space="0" w:color="auto"/>
              <w:bottom w:val="single" w:sz="4" w:space="0" w:color="auto"/>
              <w:right w:val="single" w:sz="4" w:space="0" w:color="auto"/>
            </w:tcBorders>
            <w:vAlign w:val="center"/>
          </w:tcPr>
          <w:p w14:paraId="7C4DCC49" w14:textId="73A0918B" w:rsidR="00A96EAC" w:rsidRPr="003B5F60" w:rsidRDefault="00A96EAC" w:rsidP="00A96EAC">
            <w:pPr>
              <w:tabs>
                <w:tab w:val="left" w:pos="923"/>
              </w:tabs>
              <w:spacing w:after="120"/>
              <w:jc w:val="center"/>
              <w:rPr>
                <w:sz w:val="20"/>
                <w:szCs w:val="20"/>
              </w:rPr>
            </w:pPr>
            <w:r w:rsidRPr="003B5F60">
              <w:rPr>
                <w:sz w:val="20"/>
                <w:szCs w:val="20"/>
              </w:rPr>
              <w:t>-</w:t>
            </w:r>
          </w:p>
        </w:tc>
        <w:tc>
          <w:tcPr>
            <w:tcW w:w="2402" w:type="dxa"/>
            <w:tcBorders>
              <w:top w:val="single" w:sz="4" w:space="0" w:color="auto"/>
              <w:left w:val="single" w:sz="4" w:space="0" w:color="auto"/>
              <w:bottom w:val="single" w:sz="4" w:space="0" w:color="auto"/>
              <w:right w:val="single" w:sz="4" w:space="0" w:color="auto"/>
            </w:tcBorders>
            <w:shd w:val="clear" w:color="auto" w:fill="FFFF66"/>
            <w:vAlign w:val="center"/>
          </w:tcPr>
          <w:p w14:paraId="4FA2FF75" w14:textId="71FC6E84" w:rsidR="00A96EAC" w:rsidRPr="00596A62" w:rsidRDefault="00A96EAC" w:rsidP="00A96EAC">
            <w:pPr>
              <w:spacing w:after="120"/>
              <w:jc w:val="center"/>
              <w:rPr>
                <w:sz w:val="20"/>
                <w:szCs w:val="20"/>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4" w:space="0" w:color="auto"/>
              <w:right w:val="single" w:sz="12" w:space="0" w:color="auto"/>
            </w:tcBorders>
            <w:vAlign w:val="center"/>
          </w:tcPr>
          <w:p w14:paraId="3B2F1DEC" w14:textId="7C28A2E1" w:rsidR="00A96EAC" w:rsidRPr="00596A62" w:rsidRDefault="00A96EAC" w:rsidP="00A96EAC">
            <w:pPr>
              <w:spacing w:after="120"/>
              <w:jc w:val="center"/>
              <w:rPr>
                <w:sz w:val="20"/>
                <w:szCs w:val="20"/>
              </w:rPr>
            </w:pPr>
            <w:r w:rsidRPr="00596A62">
              <w:rPr>
                <w:sz w:val="20"/>
                <w:szCs w:val="20"/>
              </w:rPr>
              <w:t>1g</w:t>
            </w:r>
          </w:p>
        </w:tc>
      </w:tr>
      <w:tr w:rsidR="00A96EAC" w:rsidRPr="00596A62" w14:paraId="6A9F8503"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1981C922" w14:textId="594BCD9C" w:rsidR="00A96EAC" w:rsidRPr="00596A62" w:rsidRDefault="00026C01" w:rsidP="00A96EAC">
            <w:pPr>
              <w:spacing w:after="120"/>
              <w:jc w:val="center"/>
              <w:rPr>
                <w:sz w:val="20"/>
                <w:szCs w:val="20"/>
                <w:lang w:val="en-US"/>
              </w:rPr>
            </w:pPr>
            <w:r>
              <w:rPr>
                <w:sz w:val="20"/>
                <w:szCs w:val="20"/>
              </w:rPr>
              <w:t>Sem</w:t>
            </w:r>
          </w:p>
        </w:tc>
        <w:tc>
          <w:tcPr>
            <w:tcW w:w="2299" w:type="dxa"/>
            <w:tcBorders>
              <w:top w:val="single" w:sz="4" w:space="0" w:color="auto"/>
              <w:left w:val="single" w:sz="4" w:space="0" w:color="auto"/>
              <w:bottom w:val="single" w:sz="4" w:space="0" w:color="auto"/>
              <w:right w:val="single" w:sz="4" w:space="0" w:color="auto"/>
            </w:tcBorders>
            <w:vAlign w:val="center"/>
          </w:tcPr>
          <w:p w14:paraId="230DCDD5" w14:textId="3DF027B0" w:rsidR="00A96EAC" w:rsidRPr="00596A62" w:rsidRDefault="00A96EAC" w:rsidP="00A96EAC">
            <w:pPr>
              <w:tabs>
                <w:tab w:val="left" w:pos="923"/>
              </w:tabs>
              <w:spacing w:after="120"/>
              <w:jc w:val="center"/>
              <w:rPr>
                <w:sz w:val="20"/>
                <w:szCs w:val="20"/>
                <w:lang w:val="en-US"/>
              </w:rPr>
            </w:pPr>
            <w:r w:rsidRPr="003B5F60">
              <w:rPr>
                <w:sz w:val="20"/>
                <w:szCs w:val="20"/>
              </w:rPr>
              <w:t>-</w:t>
            </w:r>
          </w:p>
        </w:tc>
        <w:tc>
          <w:tcPr>
            <w:tcW w:w="2402" w:type="dxa"/>
            <w:tcBorders>
              <w:top w:val="single" w:sz="4" w:space="0" w:color="auto"/>
              <w:left w:val="single" w:sz="4" w:space="0" w:color="auto"/>
              <w:bottom w:val="single" w:sz="4" w:space="0" w:color="auto"/>
              <w:right w:val="single" w:sz="4" w:space="0" w:color="auto"/>
            </w:tcBorders>
            <w:shd w:val="clear" w:color="auto" w:fill="FFFF66"/>
            <w:vAlign w:val="center"/>
          </w:tcPr>
          <w:p w14:paraId="639E2BDC" w14:textId="3083F215" w:rsidR="00A96EAC" w:rsidRPr="00596A62" w:rsidRDefault="00A96EAC" w:rsidP="00A96EAC">
            <w:pPr>
              <w:spacing w:after="120"/>
              <w:jc w:val="center"/>
              <w:rPr>
                <w:sz w:val="20"/>
                <w:szCs w:val="20"/>
                <w:lang w:val="en-US"/>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4" w:space="0" w:color="auto"/>
              <w:right w:val="single" w:sz="12" w:space="0" w:color="auto"/>
            </w:tcBorders>
          </w:tcPr>
          <w:p w14:paraId="28FF7105" w14:textId="50FDC631" w:rsidR="00A96EAC" w:rsidRPr="00596A62" w:rsidRDefault="00A96EAC" w:rsidP="00A96EAC">
            <w:pPr>
              <w:spacing w:after="120"/>
              <w:jc w:val="center"/>
              <w:rPr>
                <w:sz w:val="20"/>
                <w:szCs w:val="20"/>
                <w:lang w:val="en-US"/>
              </w:rPr>
            </w:pPr>
            <w:r w:rsidRPr="00596A62">
              <w:rPr>
                <w:sz w:val="20"/>
                <w:szCs w:val="20"/>
              </w:rPr>
              <w:t>1g</w:t>
            </w:r>
          </w:p>
        </w:tc>
      </w:tr>
      <w:tr w:rsidR="00A96EAC" w:rsidRPr="00596A62" w14:paraId="00637218"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0A3865F5" w14:textId="32A91826" w:rsidR="00A96EAC" w:rsidRPr="00596A62" w:rsidRDefault="00A96EAC" w:rsidP="00A96EAC">
            <w:pPr>
              <w:spacing w:after="120"/>
              <w:jc w:val="center"/>
              <w:rPr>
                <w:sz w:val="20"/>
                <w:szCs w:val="20"/>
                <w:lang w:val="en-US"/>
              </w:rPr>
            </w:pPr>
            <w:r w:rsidRPr="003B5F60">
              <w:rPr>
                <w:sz w:val="20"/>
                <w:szCs w:val="20"/>
              </w:rPr>
              <w:lastRenderedPageBreak/>
              <w:t>Prati</w:t>
            </w:r>
          </w:p>
        </w:tc>
        <w:tc>
          <w:tcPr>
            <w:tcW w:w="2299" w:type="dxa"/>
            <w:tcBorders>
              <w:top w:val="single" w:sz="4" w:space="0" w:color="auto"/>
              <w:left w:val="single" w:sz="4" w:space="0" w:color="auto"/>
              <w:bottom w:val="single" w:sz="4" w:space="0" w:color="auto"/>
              <w:right w:val="single" w:sz="4" w:space="0" w:color="auto"/>
            </w:tcBorders>
            <w:vAlign w:val="center"/>
          </w:tcPr>
          <w:p w14:paraId="30AC2346" w14:textId="1C10352F" w:rsidR="00A96EAC" w:rsidRPr="00596A62" w:rsidRDefault="00A96EAC" w:rsidP="00A96EAC">
            <w:pPr>
              <w:tabs>
                <w:tab w:val="left" w:pos="923"/>
              </w:tabs>
              <w:spacing w:after="120"/>
              <w:jc w:val="center"/>
              <w:rPr>
                <w:sz w:val="20"/>
                <w:szCs w:val="20"/>
                <w:lang w:val="en-US"/>
              </w:rPr>
            </w:pPr>
            <w:r w:rsidRPr="003B5F60">
              <w:rPr>
                <w:sz w:val="20"/>
                <w:szCs w:val="20"/>
              </w:rPr>
              <w:t>-</w:t>
            </w:r>
          </w:p>
        </w:tc>
        <w:tc>
          <w:tcPr>
            <w:tcW w:w="2402" w:type="dxa"/>
            <w:tcBorders>
              <w:top w:val="single" w:sz="4" w:space="0" w:color="auto"/>
              <w:left w:val="single" w:sz="4" w:space="0" w:color="auto"/>
              <w:bottom w:val="single" w:sz="4" w:space="0" w:color="auto"/>
              <w:right w:val="single" w:sz="4" w:space="0" w:color="auto"/>
            </w:tcBorders>
            <w:shd w:val="clear" w:color="auto" w:fill="FFFF66"/>
            <w:vAlign w:val="center"/>
          </w:tcPr>
          <w:p w14:paraId="56D201E8" w14:textId="5D06208C" w:rsidR="00A96EAC" w:rsidRPr="00596A62" w:rsidRDefault="00A96EAC" w:rsidP="00A96EAC">
            <w:pPr>
              <w:spacing w:after="120"/>
              <w:jc w:val="center"/>
              <w:rPr>
                <w:sz w:val="20"/>
                <w:szCs w:val="20"/>
                <w:lang w:val="en-US"/>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4" w:space="0" w:color="auto"/>
              <w:right w:val="single" w:sz="12" w:space="0" w:color="auto"/>
            </w:tcBorders>
          </w:tcPr>
          <w:p w14:paraId="519FF414" w14:textId="6E8FA586" w:rsidR="00A96EAC" w:rsidRPr="00596A62" w:rsidRDefault="00A96EAC" w:rsidP="00A96EAC">
            <w:pPr>
              <w:spacing w:after="120"/>
              <w:jc w:val="center"/>
              <w:rPr>
                <w:sz w:val="20"/>
                <w:szCs w:val="20"/>
                <w:lang w:val="en-US"/>
              </w:rPr>
            </w:pPr>
            <w:r w:rsidRPr="00596A62">
              <w:rPr>
                <w:sz w:val="20"/>
                <w:szCs w:val="20"/>
              </w:rPr>
              <w:t>1g</w:t>
            </w:r>
          </w:p>
        </w:tc>
      </w:tr>
      <w:tr w:rsidR="00A96EAC" w:rsidRPr="00596A62" w14:paraId="296B42CD"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3D8CB136" w14:textId="17CDFEB1" w:rsidR="00A96EAC" w:rsidRPr="00596A62" w:rsidRDefault="00A96EAC" w:rsidP="00A96EAC">
            <w:pPr>
              <w:spacing w:after="120"/>
              <w:jc w:val="center"/>
              <w:rPr>
                <w:sz w:val="20"/>
                <w:szCs w:val="20"/>
                <w:lang w:val="en-US"/>
              </w:rPr>
            </w:pPr>
            <w:r w:rsidRPr="003B5F60">
              <w:rPr>
                <w:sz w:val="20"/>
                <w:szCs w:val="20"/>
              </w:rPr>
              <w:t>Prati</w:t>
            </w:r>
          </w:p>
        </w:tc>
        <w:tc>
          <w:tcPr>
            <w:tcW w:w="2299" w:type="dxa"/>
            <w:tcBorders>
              <w:top w:val="single" w:sz="4" w:space="0" w:color="auto"/>
              <w:left w:val="single" w:sz="4" w:space="0" w:color="auto"/>
              <w:bottom w:val="single" w:sz="4" w:space="0" w:color="auto"/>
              <w:right w:val="single" w:sz="4" w:space="0" w:color="auto"/>
            </w:tcBorders>
            <w:vAlign w:val="center"/>
          </w:tcPr>
          <w:p w14:paraId="597746EC" w14:textId="54B08D43" w:rsidR="00A96EAC" w:rsidRPr="00596A62" w:rsidRDefault="00A96EAC" w:rsidP="00A96EAC">
            <w:pPr>
              <w:tabs>
                <w:tab w:val="left" w:pos="923"/>
              </w:tabs>
              <w:spacing w:after="120"/>
              <w:jc w:val="center"/>
              <w:rPr>
                <w:sz w:val="20"/>
                <w:szCs w:val="20"/>
                <w:lang w:val="en-US"/>
              </w:rPr>
            </w:pPr>
            <w:r w:rsidRPr="003B5F60">
              <w:rPr>
                <w:sz w:val="20"/>
                <w:szCs w:val="20"/>
              </w:rPr>
              <w:t>-</w:t>
            </w:r>
          </w:p>
        </w:tc>
        <w:tc>
          <w:tcPr>
            <w:tcW w:w="2402" w:type="dxa"/>
            <w:tcBorders>
              <w:top w:val="single" w:sz="4" w:space="0" w:color="auto"/>
              <w:left w:val="single" w:sz="4" w:space="0" w:color="auto"/>
              <w:bottom w:val="single" w:sz="4" w:space="0" w:color="auto"/>
              <w:right w:val="single" w:sz="4" w:space="0" w:color="auto"/>
            </w:tcBorders>
            <w:shd w:val="clear" w:color="auto" w:fill="FFFF66"/>
            <w:vAlign w:val="center"/>
          </w:tcPr>
          <w:p w14:paraId="4FE8B190" w14:textId="6BDA22E1" w:rsidR="00A96EAC" w:rsidRPr="00596A62" w:rsidRDefault="00A96EAC" w:rsidP="00A96EAC">
            <w:pPr>
              <w:spacing w:after="120"/>
              <w:jc w:val="center"/>
              <w:rPr>
                <w:sz w:val="20"/>
                <w:szCs w:val="20"/>
                <w:lang w:val="en-US"/>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4" w:space="0" w:color="auto"/>
              <w:right w:val="single" w:sz="12" w:space="0" w:color="auto"/>
            </w:tcBorders>
            <w:vAlign w:val="center"/>
          </w:tcPr>
          <w:p w14:paraId="2CF0B562" w14:textId="64BA3F70" w:rsidR="00A96EAC" w:rsidRPr="00596A62" w:rsidRDefault="00A96EAC" w:rsidP="00A96EAC">
            <w:pPr>
              <w:spacing w:after="120"/>
              <w:jc w:val="center"/>
              <w:rPr>
                <w:sz w:val="20"/>
                <w:szCs w:val="20"/>
                <w:lang w:val="en-US"/>
              </w:rPr>
            </w:pPr>
            <w:r w:rsidRPr="00596A62">
              <w:rPr>
                <w:sz w:val="20"/>
                <w:szCs w:val="20"/>
              </w:rPr>
              <w:t>500mg</w:t>
            </w:r>
          </w:p>
        </w:tc>
      </w:tr>
      <w:tr w:rsidR="00A96EAC" w:rsidRPr="00596A62" w14:paraId="54A534CE"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02364473" w14:textId="582096FC" w:rsidR="00A96EAC" w:rsidRPr="00596A62" w:rsidRDefault="00A96EAC" w:rsidP="00A96EAC">
            <w:pPr>
              <w:spacing w:after="120"/>
              <w:jc w:val="center"/>
              <w:rPr>
                <w:sz w:val="20"/>
                <w:szCs w:val="20"/>
                <w:lang w:val="en-US"/>
              </w:rPr>
            </w:pPr>
            <w:r w:rsidRPr="003B5F60">
              <w:rPr>
                <w:sz w:val="20"/>
                <w:szCs w:val="20"/>
              </w:rPr>
              <w:t>Natulab</w:t>
            </w:r>
          </w:p>
        </w:tc>
        <w:tc>
          <w:tcPr>
            <w:tcW w:w="2299" w:type="dxa"/>
            <w:tcBorders>
              <w:top w:val="single" w:sz="4" w:space="0" w:color="auto"/>
              <w:left w:val="single" w:sz="4" w:space="0" w:color="auto"/>
              <w:bottom w:val="single" w:sz="4" w:space="0" w:color="auto"/>
              <w:right w:val="single" w:sz="4" w:space="0" w:color="auto"/>
            </w:tcBorders>
            <w:vAlign w:val="center"/>
          </w:tcPr>
          <w:p w14:paraId="76ECAA12" w14:textId="754D1F94" w:rsidR="00A96EAC" w:rsidRPr="00596A62" w:rsidRDefault="00A96EAC" w:rsidP="00A96EAC">
            <w:pPr>
              <w:spacing w:after="120"/>
              <w:jc w:val="center"/>
              <w:rPr>
                <w:sz w:val="20"/>
                <w:szCs w:val="20"/>
                <w:lang w:val="en-US"/>
              </w:rPr>
            </w:pPr>
            <w:r w:rsidRPr="003B5F60">
              <w:rPr>
                <w:sz w:val="20"/>
                <w:szCs w:val="20"/>
              </w:rPr>
              <w:t>Maxalgina</w:t>
            </w:r>
          </w:p>
        </w:tc>
        <w:tc>
          <w:tcPr>
            <w:tcW w:w="2402" w:type="dxa"/>
            <w:tcBorders>
              <w:top w:val="single" w:sz="4" w:space="0" w:color="auto"/>
              <w:left w:val="single" w:sz="4" w:space="0" w:color="auto"/>
              <w:bottom w:val="single" w:sz="4" w:space="0" w:color="auto"/>
              <w:right w:val="single" w:sz="4" w:space="0" w:color="auto"/>
            </w:tcBorders>
            <w:vAlign w:val="center"/>
          </w:tcPr>
          <w:p w14:paraId="70455A84" w14:textId="229606A0" w:rsidR="00A96EAC" w:rsidRPr="00596A62" w:rsidRDefault="00A96EAC" w:rsidP="00A96EAC">
            <w:pPr>
              <w:spacing w:after="120"/>
              <w:jc w:val="center"/>
              <w:rPr>
                <w:sz w:val="20"/>
                <w:szCs w:val="20"/>
                <w:lang w:val="en-US"/>
              </w:rPr>
            </w:pPr>
            <w:r w:rsidRPr="00596A62">
              <w:rPr>
                <w:sz w:val="20"/>
                <w:szCs w:val="20"/>
              </w:rPr>
              <w:t>B</w:t>
            </w:r>
            <w:r w:rsidRPr="003B5F60">
              <w:rPr>
                <w:sz w:val="20"/>
                <w:szCs w:val="20"/>
              </w:rPr>
              <w:t>ioequivalente</w:t>
            </w:r>
            <w:r w:rsidRPr="00596A62">
              <w:rPr>
                <w:sz w:val="20"/>
                <w:szCs w:val="20"/>
              </w:rPr>
              <w:t xml:space="preserve"> </w:t>
            </w:r>
          </w:p>
        </w:tc>
        <w:tc>
          <w:tcPr>
            <w:tcW w:w="1819" w:type="dxa"/>
            <w:tcBorders>
              <w:top w:val="single" w:sz="4" w:space="0" w:color="auto"/>
              <w:left w:val="single" w:sz="4" w:space="0" w:color="auto"/>
              <w:bottom w:val="single" w:sz="4" w:space="0" w:color="auto"/>
              <w:right w:val="single" w:sz="12" w:space="0" w:color="auto"/>
            </w:tcBorders>
            <w:vAlign w:val="center"/>
          </w:tcPr>
          <w:p w14:paraId="277528A6" w14:textId="59DB4EA1" w:rsidR="00A96EAC" w:rsidRPr="00596A62" w:rsidRDefault="00A96EAC" w:rsidP="00A96EAC">
            <w:pPr>
              <w:spacing w:after="120"/>
              <w:jc w:val="center"/>
              <w:rPr>
                <w:sz w:val="20"/>
                <w:szCs w:val="20"/>
                <w:lang w:val="en-US"/>
              </w:rPr>
            </w:pPr>
            <w:r w:rsidRPr="00596A62">
              <w:rPr>
                <w:sz w:val="20"/>
                <w:szCs w:val="20"/>
              </w:rPr>
              <w:t>1g</w:t>
            </w:r>
          </w:p>
        </w:tc>
      </w:tr>
      <w:tr w:rsidR="00A96EAC" w:rsidRPr="00596A62" w14:paraId="408C677F"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3A67C163" w14:textId="4D6467A1" w:rsidR="00A96EAC" w:rsidRPr="00596A62" w:rsidRDefault="00A96EAC" w:rsidP="00A96EAC">
            <w:pPr>
              <w:spacing w:after="120"/>
              <w:jc w:val="center"/>
              <w:rPr>
                <w:sz w:val="20"/>
                <w:szCs w:val="20"/>
                <w:lang w:val="en-US"/>
              </w:rPr>
            </w:pPr>
            <w:r w:rsidRPr="003B5F60">
              <w:rPr>
                <w:sz w:val="20"/>
                <w:szCs w:val="20"/>
              </w:rPr>
              <w:t>Natulab</w:t>
            </w:r>
          </w:p>
        </w:tc>
        <w:tc>
          <w:tcPr>
            <w:tcW w:w="2299" w:type="dxa"/>
            <w:tcBorders>
              <w:top w:val="single" w:sz="4" w:space="0" w:color="auto"/>
              <w:left w:val="single" w:sz="4" w:space="0" w:color="auto"/>
              <w:bottom w:val="single" w:sz="4" w:space="0" w:color="auto"/>
              <w:right w:val="single" w:sz="4" w:space="0" w:color="auto"/>
            </w:tcBorders>
            <w:vAlign w:val="center"/>
          </w:tcPr>
          <w:p w14:paraId="3972C6CF" w14:textId="1FE86FF8" w:rsidR="00A96EAC" w:rsidRPr="00596A62" w:rsidRDefault="00A96EAC" w:rsidP="00A96EAC">
            <w:pPr>
              <w:spacing w:after="120"/>
              <w:jc w:val="center"/>
              <w:rPr>
                <w:sz w:val="20"/>
                <w:szCs w:val="20"/>
                <w:lang w:val="en-US"/>
              </w:rPr>
            </w:pPr>
            <w:r w:rsidRPr="003B5F60">
              <w:rPr>
                <w:sz w:val="20"/>
                <w:szCs w:val="20"/>
              </w:rPr>
              <w:t>Maxalgina</w:t>
            </w:r>
          </w:p>
        </w:tc>
        <w:tc>
          <w:tcPr>
            <w:tcW w:w="2402" w:type="dxa"/>
            <w:tcBorders>
              <w:top w:val="single" w:sz="4" w:space="0" w:color="auto"/>
              <w:left w:val="single" w:sz="4" w:space="0" w:color="auto"/>
              <w:bottom w:val="single" w:sz="4" w:space="0" w:color="auto"/>
              <w:right w:val="single" w:sz="4" w:space="0" w:color="auto"/>
            </w:tcBorders>
            <w:vAlign w:val="center"/>
          </w:tcPr>
          <w:p w14:paraId="0341D6DC" w14:textId="52DE3B41" w:rsidR="00A96EAC" w:rsidRPr="00596A62" w:rsidRDefault="00A96EAC" w:rsidP="00A96EAC">
            <w:pPr>
              <w:spacing w:after="120"/>
              <w:jc w:val="center"/>
              <w:rPr>
                <w:sz w:val="20"/>
                <w:szCs w:val="20"/>
                <w:lang w:val="en-US"/>
              </w:rPr>
            </w:pPr>
            <w:r w:rsidRPr="00596A62">
              <w:rPr>
                <w:sz w:val="20"/>
                <w:szCs w:val="20"/>
              </w:rPr>
              <w:t>B</w:t>
            </w:r>
            <w:r w:rsidRPr="003B5F60">
              <w:rPr>
                <w:sz w:val="20"/>
                <w:szCs w:val="20"/>
              </w:rPr>
              <w:t>ioequivalente</w:t>
            </w:r>
            <w:r w:rsidRPr="00596A62">
              <w:rPr>
                <w:sz w:val="20"/>
                <w:szCs w:val="20"/>
              </w:rPr>
              <w:t xml:space="preserve"> </w:t>
            </w:r>
          </w:p>
        </w:tc>
        <w:tc>
          <w:tcPr>
            <w:tcW w:w="1819" w:type="dxa"/>
            <w:tcBorders>
              <w:top w:val="single" w:sz="4" w:space="0" w:color="auto"/>
              <w:left w:val="single" w:sz="4" w:space="0" w:color="auto"/>
              <w:bottom w:val="single" w:sz="4" w:space="0" w:color="auto"/>
              <w:right w:val="single" w:sz="12" w:space="0" w:color="auto"/>
            </w:tcBorders>
            <w:vAlign w:val="center"/>
          </w:tcPr>
          <w:p w14:paraId="75F12E5C" w14:textId="5ED5DC4D" w:rsidR="00A96EAC" w:rsidRPr="00596A62" w:rsidRDefault="00A96EAC" w:rsidP="00A96EAC">
            <w:pPr>
              <w:spacing w:after="120"/>
              <w:jc w:val="center"/>
              <w:rPr>
                <w:sz w:val="20"/>
                <w:szCs w:val="20"/>
                <w:lang w:val="en-US"/>
              </w:rPr>
            </w:pPr>
            <w:r w:rsidRPr="00596A62">
              <w:rPr>
                <w:sz w:val="20"/>
                <w:szCs w:val="20"/>
              </w:rPr>
              <w:t>500mg</w:t>
            </w:r>
          </w:p>
        </w:tc>
      </w:tr>
      <w:tr w:rsidR="00A96EAC" w:rsidRPr="00596A62" w14:paraId="00953C23"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0F3BCFB2" w14:textId="6A15B64E" w:rsidR="00A96EAC" w:rsidRPr="00596A62" w:rsidRDefault="00A96EAC" w:rsidP="00A96EAC">
            <w:pPr>
              <w:spacing w:after="120"/>
              <w:jc w:val="center"/>
              <w:rPr>
                <w:sz w:val="20"/>
                <w:szCs w:val="20"/>
              </w:rPr>
            </w:pPr>
            <w:r w:rsidRPr="003B5F60">
              <w:rPr>
                <w:sz w:val="20"/>
                <w:szCs w:val="20"/>
              </w:rPr>
              <w:t>Brainfarma</w:t>
            </w:r>
          </w:p>
        </w:tc>
        <w:tc>
          <w:tcPr>
            <w:tcW w:w="2299" w:type="dxa"/>
            <w:tcBorders>
              <w:top w:val="single" w:sz="4" w:space="0" w:color="auto"/>
              <w:left w:val="single" w:sz="4" w:space="0" w:color="auto"/>
              <w:bottom w:val="single" w:sz="4" w:space="0" w:color="auto"/>
              <w:right w:val="single" w:sz="4" w:space="0" w:color="auto"/>
            </w:tcBorders>
            <w:vAlign w:val="center"/>
          </w:tcPr>
          <w:p w14:paraId="049B995D" w14:textId="5DFFAEC4" w:rsidR="00A96EAC" w:rsidRPr="00596A62" w:rsidRDefault="00A96EAC" w:rsidP="00A96EAC">
            <w:pPr>
              <w:spacing w:after="120"/>
              <w:jc w:val="center"/>
              <w:rPr>
                <w:sz w:val="20"/>
                <w:szCs w:val="20"/>
              </w:rPr>
            </w:pPr>
            <w:r w:rsidRPr="003B5F60">
              <w:rPr>
                <w:sz w:val="20"/>
                <w:szCs w:val="20"/>
              </w:rPr>
              <w:t>Neosaldina DIP</w:t>
            </w:r>
          </w:p>
        </w:tc>
        <w:tc>
          <w:tcPr>
            <w:tcW w:w="2402" w:type="dxa"/>
            <w:tcBorders>
              <w:top w:val="single" w:sz="4" w:space="0" w:color="auto"/>
              <w:left w:val="single" w:sz="4" w:space="0" w:color="auto"/>
              <w:bottom w:val="single" w:sz="4" w:space="0" w:color="auto"/>
              <w:right w:val="single" w:sz="4" w:space="0" w:color="auto"/>
            </w:tcBorders>
            <w:vAlign w:val="center"/>
          </w:tcPr>
          <w:p w14:paraId="60573304" w14:textId="4401E50C" w:rsidR="00A96EAC" w:rsidRPr="00596A62" w:rsidRDefault="00A96EAC" w:rsidP="00A96EAC">
            <w:pPr>
              <w:spacing w:after="120"/>
              <w:jc w:val="center"/>
              <w:rPr>
                <w:sz w:val="20"/>
                <w:szCs w:val="20"/>
              </w:rPr>
            </w:pPr>
            <w:r w:rsidRPr="00596A62">
              <w:rPr>
                <w:sz w:val="20"/>
                <w:szCs w:val="20"/>
              </w:rPr>
              <w:t>B</w:t>
            </w:r>
            <w:r w:rsidRPr="003B5F60">
              <w:rPr>
                <w:sz w:val="20"/>
                <w:szCs w:val="20"/>
              </w:rPr>
              <w:t>ioequivalente</w:t>
            </w:r>
            <w:r w:rsidRPr="00596A62">
              <w:rPr>
                <w:sz w:val="20"/>
                <w:szCs w:val="20"/>
              </w:rPr>
              <w:t xml:space="preserve"> </w:t>
            </w:r>
          </w:p>
        </w:tc>
        <w:tc>
          <w:tcPr>
            <w:tcW w:w="1819" w:type="dxa"/>
            <w:tcBorders>
              <w:top w:val="single" w:sz="4" w:space="0" w:color="auto"/>
              <w:left w:val="single" w:sz="4" w:space="0" w:color="auto"/>
              <w:bottom w:val="single" w:sz="4" w:space="0" w:color="auto"/>
              <w:right w:val="single" w:sz="12" w:space="0" w:color="auto"/>
            </w:tcBorders>
          </w:tcPr>
          <w:p w14:paraId="0C4CFD11" w14:textId="25803796" w:rsidR="00A96EAC" w:rsidRPr="00596A62" w:rsidRDefault="00A96EAC" w:rsidP="00A96EAC">
            <w:pPr>
              <w:spacing w:after="120"/>
              <w:jc w:val="center"/>
              <w:rPr>
                <w:sz w:val="20"/>
                <w:szCs w:val="20"/>
              </w:rPr>
            </w:pPr>
            <w:r w:rsidRPr="00596A62">
              <w:rPr>
                <w:sz w:val="20"/>
                <w:szCs w:val="20"/>
              </w:rPr>
              <w:t>1g</w:t>
            </w:r>
          </w:p>
        </w:tc>
      </w:tr>
      <w:tr w:rsidR="00A96EAC" w:rsidRPr="00596A62" w14:paraId="3D0ED635"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6D1BAF95" w14:textId="42E13E53" w:rsidR="00A96EAC" w:rsidRPr="00596A62" w:rsidRDefault="00A96EAC" w:rsidP="00A96EAC">
            <w:pPr>
              <w:spacing w:after="120"/>
              <w:jc w:val="center"/>
              <w:rPr>
                <w:sz w:val="20"/>
                <w:szCs w:val="20"/>
              </w:rPr>
            </w:pPr>
            <w:r w:rsidRPr="003B5F60">
              <w:rPr>
                <w:sz w:val="20"/>
                <w:szCs w:val="20"/>
              </w:rPr>
              <w:t>Brainfarma</w:t>
            </w:r>
          </w:p>
        </w:tc>
        <w:tc>
          <w:tcPr>
            <w:tcW w:w="2299" w:type="dxa"/>
            <w:tcBorders>
              <w:top w:val="single" w:sz="4" w:space="0" w:color="auto"/>
              <w:left w:val="single" w:sz="4" w:space="0" w:color="auto"/>
              <w:bottom w:val="single" w:sz="4" w:space="0" w:color="auto"/>
              <w:right w:val="single" w:sz="4" w:space="0" w:color="auto"/>
            </w:tcBorders>
            <w:vAlign w:val="center"/>
          </w:tcPr>
          <w:p w14:paraId="5A2BE8D4" w14:textId="5620BEE8" w:rsidR="00A96EAC" w:rsidRPr="00596A62" w:rsidRDefault="00A96EAC" w:rsidP="00A96EAC">
            <w:pPr>
              <w:spacing w:after="120"/>
              <w:jc w:val="center"/>
              <w:rPr>
                <w:sz w:val="20"/>
                <w:szCs w:val="20"/>
              </w:rPr>
            </w:pPr>
            <w:r w:rsidRPr="003B5F60">
              <w:rPr>
                <w:sz w:val="20"/>
                <w:szCs w:val="20"/>
              </w:rPr>
              <w:t>Lisador Dip</w:t>
            </w:r>
          </w:p>
        </w:tc>
        <w:tc>
          <w:tcPr>
            <w:tcW w:w="2402" w:type="dxa"/>
            <w:tcBorders>
              <w:top w:val="single" w:sz="4" w:space="0" w:color="auto"/>
              <w:left w:val="single" w:sz="4" w:space="0" w:color="auto"/>
              <w:bottom w:val="single" w:sz="4" w:space="0" w:color="auto"/>
              <w:right w:val="single" w:sz="4" w:space="0" w:color="auto"/>
            </w:tcBorders>
            <w:vAlign w:val="center"/>
          </w:tcPr>
          <w:p w14:paraId="618FF70A" w14:textId="78815830" w:rsidR="00A96EAC" w:rsidRPr="00596A62" w:rsidRDefault="00A96EAC" w:rsidP="00A96EAC">
            <w:pPr>
              <w:spacing w:after="120"/>
              <w:jc w:val="center"/>
              <w:rPr>
                <w:sz w:val="20"/>
                <w:szCs w:val="20"/>
              </w:rPr>
            </w:pPr>
            <w:r w:rsidRPr="00596A62">
              <w:rPr>
                <w:sz w:val="20"/>
                <w:szCs w:val="20"/>
              </w:rPr>
              <w:t>B</w:t>
            </w:r>
            <w:r w:rsidRPr="003B5F60">
              <w:rPr>
                <w:sz w:val="20"/>
                <w:szCs w:val="20"/>
              </w:rPr>
              <w:t>ioequivalente</w:t>
            </w:r>
            <w:r w:rsidRPr="00596A62">
              <w:rPr>
                <w:sz w:val="20"/>
                <w:szCs w:val="20"/>
              </w:rPr>
              <w:t xml:space="preserve"> </w:t>
            </w:r>
          </w:p>
        </w:tc>
        <w:tc>
          <w:tcPr>
            <w:tcW w:w="1819" w:type="dxa"/>
            <w:tcBorders>
              <w:top w:val="single" w:sz="4" w:space="0" w:color="auto"/>
              <w:left w:val="single" w:sz="4" w:space="0" w:color="auto"/>
              <w:bottom w:val="single" w:sz="4" w:space="0" w:color="auto"/>
              <w:right w:val="single" w:sz="12" w:space="0" w:color="auto"/>
            </w:tcBorders>
          </w:tcPr>
          <w:p w14:paraId="6B05154B" w14:textId="1CF2123C" w:rsidR="00A96EAC" w:rsidRPr="00596A62" w:rsidRDefault="00A96EAC" w:rsidP="00A96EAC">
            <w:pPr>
              <w:spacing w:after="120"/>
              <w:jc w:val="center"/>
              <w:rPr>
                <w:sz w:val="20"/>
                <w:szCs w:val="20"/>
              </w:rPr>
            </w:pPr>
            <w:r w:rsidRPr="00596A62">
              <w:rPr>
                <w:sz w:val="20"/>
                <w:szCs w:val="20"/>
              </w:rPr>
              <w:t>1g</w:t>
            </w:r>
          </w:p>
        </w:tc>
      </w:tr>
      <w:tr w:rsidR="00A96EAC" w:rsidRPr="00596A62" w14:paraId="05DD948A"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1F567122" w14:textId="0DB24D55" w:rsidR="00A96EAC" w:rsidRPr="00596A62" w:rsidRDefault="00A96EAC" w:rsidP="00A96EAC">
            <w:pPr>
              <w:spacing w:after="120"/>
              <w:jc w:val="center"/>
              <w:rPr>
                <w:sz w:val="20"/>
                <w:szCs w:val="20"/>
              </w:rPr>
            </w:pPr>
            <w:r w:rsidRPr="003B5F60">
              <w:rPr>
                <w:sz w:val="20"/>
                <w:szCs w:val="20"/>
              </w:rPr>
              <w:t>Cimed</w:t>
            </w:r>
          </w:p>
        </w:tc>
        <w:tc>
          <w:tcPr>
            <w:tcW w:w="2299" w:type="dxa"/>
            <w:tcBorders>
              <w:top w:val="single" w:sz="4" w:space="0" w:color="auto"/>
              <w:left w:val="single" w:sz="4" w:space="0" w:color="auto"/>
              <w:bottom w:val="single" w:sz="4" w:space="0" w:color="auto"/>
              <w:right w:val="single" w:sz="4" w:space="0" w:color="auto"/>
            </w:tcBorders>
            <w:vAlign w:val="center"/>
          </w:tcPr>
          <w:p w14:paraId="523EE377" w14:textId="0C4D7EF0" w:rsidR="00A96EAC" w:rsidRPr="00596A62" w:rsidRDefault="00A96EAC" w:rsidP="00A96EAC">
            <w:pPr>
              <w:spacing w:after="120"/>
              <w:jc w:val="center"/>
              <w:rPr>
                <w:sz w:val="20"/>
                <w:szCs w:val="20"/>
              </w:rPr>
            </w:pPr>
            <w:r w:rsidRPr="003B5F60">
              <w:rPr>
                <w:sz w:val="20"/>
                <w:szCs w:val="20"/>
              </w:rPr>
              <w:t>-</w:t>
            </w:r>
          </w:p>
        </w:tc>
        <w:tc>
          <w:tcPr>
            <w:tcW w:w="2402" w:type="dxa"/>
            <w:tcBorders>
              <w:top w:val="single" w:sz="4" w:space="0" w:color="auto"/>
              <w:left w:val="single" w:sz="4" w:space="0" w:color="auto"/>
              <w:bottom w:val="single" w:sz="4" w:space="0" w:color="auto"/>
              <w:right w:val="single" w:sz="4" w:space="0" w:color="auto"/>
            </w:tcBorders>
            <w:shd w:val="clear" w:color="auto" w:fill="FFFF66"/>
            <w:vAlign w:val="center"/>
          </w:tcPr>
          <w:p w14:paraId="51A93C53" w14:textId="7CD5745E" w:rsidR="00A96EAC" w:rsidRPr="00596A62" w:rsidRDefault="00A96EAC" w:rsidP="00A96EAC">
            <w:pPr>
              <w:spacing w:after="120"/>
              <w:jc w:val="center"/>
              <w:rPr>
                <w:sz w:val="20"/>
                <w:szCs w:val="20"/>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4" w:space="0" w:color="auto"/>
              <w:right w:val="single" w:sz="12" w:space="0" w:color="auto"/>
            </w:tcBorders>
          </w:tcPr>
          <w:p w14:paraId="647C0BCD" w14:textId="168094D6" w:rsidR="00A96EAC" w:rsidRPr="00596A62" w:rsidRDefault="00A96EAC" w:rsidP="00A96EAC">
            <w:pPr>
              <w:spacing w:after="120"/>
              <w:jc w:val="center"/>
              <w:rPr>
                <w:sz w:val="20"/>
                <w:szCs w:val="20"/>
              </w:rPr>
            </w:pPr>
            <w:r w:rsidRPr="00596A62">
              <w:rPr>
                <w:sz w:val="20"/>
                <w:szCs w:val="20"/>
              </w:rPr>
              <w:t>1g</w:t>
            </w:r>
          </w:p>
        </w:tc>
      </w:tr>
      <w:tr w:rsidR="00A96EAC" w:rsidRPr="00596A62" w14:paraId="1586A5A3"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tcPr>
          <w:p w14:paraId="31BCDD7F" w14:textId="71EF70B9" w:rsidR="00A96EAC" w:rsidRPr="00596A62" w:rsidRDefault="00A96EAC" w:rsidP="00A96EAC">
            <w:pPr>
              <w:spacing w:after="120"/>
              <w:jc w:val="center"/>
              <w:rPr>
                <w:sz w:val="20"/>
                <w:szCs w:val="20"/>
              </w:rPr>
            </w:pPr>
            <w:r w:rsidRPr="003B5F60">
              <w:rPr>
                <w:sz w:val="20"/>
                <w:szCs w:val="20"/>
              </w:rPr>
              <w:t>Cimed</w:t>
            </w:r>
          </w:p>
        </w:tc>
        <w:tc>
          <w:tcPr>
            <w:tcW w:w="2299" w:type="dxa"/>
            <w:tcBorders>
              <w:top w:val="single" w:sz="4" w:space="0" w:color="auto"/>
              <w:left w:val="single" w:sz="4" w:space="0" w:color="auto"/>
              <w:bottom w:val="single" w:sz="4" w:space="0" w:color="auto"/>
              <w:right w:val="single" w:sz="4" w:space="0" w:color="auto"/>
            </w:tcBorders>
            <w:vAlign w:val="center"/>
          </w:tcPr>
          <w:p w14:paraId="358A0E94" w14:textId="09C4546F" w:rsidR="00A96EAC" w:rsidRPr="00596A62" w:rsidRDefault="00A96EAC" w:rsidP="00A96EAC">
            <w:pPr>
              <w:spacing w:after="120"/>
              <w:jc w:val="center"/>
              <w:rPr>
                <w:sz w:val="20"/>
                <w:szCs w:val="20"/>
              </w:rPr>
            </w:pPr>
            <w:r w:rsidRPr="003B5F60">
              <w:rPr>
                <w:sz w:val="20"/>
                <w:szCs w:val="20"/>
              </w:rPr>
              <w:t>Nevralgex DIP</w:t>
            </w:r>
          </w:p>
        </w:tc>
        <w:tc>
          <w:tcPr>
            <w:tcW w:w="2402" w:type="dxa"/>
            <w:tcBorders>
              <w:top w:val="single" w:sz="4" w:space="0" w:color="auto"/>
              <w:left w:val="single" w:sz="4" w:space="0" w:color="auto"/>
              <w:bottom w:val="single" w:sz="4" w:space="0" w:color="auto"/>
              <w:right w:val="single" w:sz="4" w:space="0" w:color="auto"/>
            </w:tcBorders>
            <w:vAlign w:val="center"/>
          </w:tcPr>
          <w:p w14:paraId="0C5E1B83" w14:textId="5343D292" w:rsidR="00A96EAC" w:rsidRPr="00596A62" w:rsidRDefault="00A96EAC" w:rsidP="00A96EAC">
            <w:pPr>
              <w:spacing w:after="120"/>
              <w:jc w:val="center"/>
              <w:rPr>
                <w:sz w:val="20"/>
                <w:szCs w:val="20"/>
              </w:rPr>
            </w:pPr>
            <w:r w:rsidRPr="00596A62">
              <w:rPr>
                <w:sz w:val="20"/>
                <w:szCs w:val="20"/>
              </w:rPr>
              <w:t>B</w:t>
            </w:r>
            <w:r w:rsidRPr="003B5F60">
              <w:rPr>
                <w:sz w:val="20"/>
                <w:szCs w:val="20"/>
              </w:rPr>
              <w:t>ioequivalente</w:t>
            </w:r>
            <w:r w:rsidRPr="00596A62">
              <w:rPr>
                <w:sz w:val="20"/>
                <w:szCs w:val="20"/>
              </w:rPr>
              <w:t xml:space="preserve"> </w:t>
            </w:r>
          </w:p>
        </w:tc>
        <w:tc>
          <w:tcPr>
            <w:tcW w:w="1819" w:type="dxa"/>
            <w:tcBorders>
              <w:top w:val="single" w:sz="4" w:space="0" w:color="auto"/>
              <w:left w:val="single" w:sz="4" w:space="0" w:color="auto"/>
              <w:bottom w:val="single" w:sz="4" w:space="0" w:color="auto"/>
              <w:right w:val="single" w:sz="12" w:space="0" w:color="auto"/>
            </w:tcBorders>
          </w:tcPr>
          <w:p w14:paraId="1152189B" w14:textId="1833E3CE" w:rsidR="00A96EAC" w:rsidRPr="00596A62" w:rsidRDefault="00A96EAC" w:rsidP="00A96EAC">
            <w:pPr>
              <w:spacing w:after="120"/>
              <w:jc w:val="center"/>
              <w:rPr>
                <w:sz w:val="20"/>
                <w:szCs w:val="20"/>
              </w:rPr>
            </w:pPr>
            <w:r w:rsidRPr="00596A62">
              <w:rPr>
                <w:sz w:val="20"/>
                <w:szCs w:val="20"/>
              </w:rPr>
              <w:t>1g</w:t>
            </w:r>
          </w:p>
        </w:tc>
      </w:tr>
      <w:tr w:rsidR="00A96EAC" w:rsidRPr="00596A62" w14:paraId="270C4B57" w14:textId="77777777" w:rsidTr="00EA27D2">
        <w:trPr>
          <w:jc w:val="center"/>
        </w:trPr>
        <w:tc>
          <w:tcPr>
            <w:tcW w:w="2537" w:type="dxa"/>
            <w:tcBorders>
              <w:top w:val="single" w:sz="4" w:space="0" w:color="auto"/>
              <w:left w:val="single" w:sz="12" w:space="0" w:color="auto"/>
              <w:bottom w:val="single" w:sz="4" w:space="0" w:color="auto"/>
              <w:right w:val="single" w:sz="4" w:space="0" w:color="auto"/>
            </w:tcBorders>
            <w:vAlign w:val="center"/>
            <w:hideMark/>
          </w:tcPr>
          <w:p w14:paraId="1B72F9B8" w14:textId="3EAA672F" w:rsidR="00A96EAC" w:rsidRPr="00336338" w:rsidRDefault="00A96EAC" w:rsidP="00A96EAC">
            <w:pPr>
              <w:spacing w:after="120"/>
              <w:jc w:val="center"/>
              <w:rPr>
                <w:sz w:val="20"/>
                <w:szCs w:val="20"/>
                <w:lang w:val="en-US"/>
              </w:rPr>
            </w:pPr>
            <w:r w:rsidRPr="003B5F60">
              <w:rPr>
                <w:sz w:val="20"/>
                <w:szCs w:val="20"/>
              </w:rPr>
              <w:t>Germed</w:t>
            </w:r>
          </w:p>
        </w:tc>
        <w:tc>
          <w:tcPr>
            <w:tcW w:w="2299" w:type="dxa"/>
            <w:tcBorders>
              <w:top w:val="single" w:sz="4" w:space="0" w:color="auto"/>
              <w:left w:val="single" w:sz="4" w:space="0" w:color="auto"/>
              <w:bottom w:val="single" w:sz="4" w:space="0" w:color="auto"/>
              <w:right w:val="single" w:sz="4" w:space="0" w:color="auto"/>
            </w:tcBorders>
            <w:vAlign w:val="center"/>
            <w:hideMark/>
          </w:tcPr>
          <w:p w14:paraId="24E2C3CA" w14:textId="4724CEF4" w:rsidR="00A96EAC" w:rsidRPr="00336338" w:rsidRDefault="00A96EAC" w:rsidP="00A96EAC">
            <w:pPr>
              <w:spacing w:after="120"/>
              <w:jc w:val="center"/>
              <w:rPr>
                <w:sz w:val="20"/>
                <w:szCs w:val="20"/>
                <w:lang w:val="en-US"/>
              </w:rPr>
            </w:pPr>
            <w:r w:rsidRPr="00596A62">
              <w:rPr>
                <w:sz w:val="20"/>
                <w:szCs w:val="20"/>
                <w:lang w:val="en-US"/>
              </w:rPr>
              <w:t>-</w:t>
            </w:r>
          </w:p>
        </w:tc>
        <w:tc>
          <w:tcPr>
            <w:tcW w:w="2402" w:type="dxa"/>
            <w:tcBorders>
              <w:top w:val="single" w:sz="4" w:space="0" w:color="auto"/>
              <w:left w:val="single" w:sz="4" w:space="0" w:color="auto"/>
              <w:bottom w:val="single" w:sz="4" w:space="0" w:color="auto"/>
              <w:right w:val="single" w:sz="4" w:space="0" w:color="auto"/>
            </w:tcBorders>
            <w:shd w:val="clear" w:color="auto" w:fill="FFFF66"/>
            <w:vAlign w:val="center"/>
            <w:hideMark/>
          </w:tcPr>
          <w:p w14:paraId="2A7DDBD9" w14:textId="7043E525" w:rsidR="00A96EAC" w:rsidRPr="00336338" w:rsidRDefault="00A96EAC" w:rsidP="00A96EAC">
            <w:pPr>
              <w:spacing w:after="120"/>
              <w:jc w:val="center"/>
              <w:rPr>
                <w:sz w:val="20"/>
                <w:szCs w:val="20"/>
                <w:lang w:val="en-US"/>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4" w:space="0" w:color="auto"/>
              <w:right w:val="single" w:sz="12" w:space="0" w:color="auto"/>
            </w:tcBorders>
            <w:vAlign w:val="center"/>
            <w:hideMark/>
          </w:tcPr>
          <w:p w14:paraId="62385B1D" w14:textId="320F4E74" w:rsidR="00A96EAC" w:rsidRPr="00336338" w:rsidRDefault="00A96EAC" w:rsidP="00A96EAC">
            <w:pPr>
              <w:spacing w:after="120"/>
              <w:jc w:val="center"/>
              <w:rPr>
                <w:sz w:val="20"/>
                <w:szCs w:val="20"/>
                <w:lang w:val="en-US"/>
              </w:rPr>
            </w:pPr>
            <w:r w:rsidRPr="00596A62">
              <w:rPr>
                <w:sz w:val="20"/>
                <w:szCs w:val="20"/>
              </w:rPr>
              <w:t>500mg</w:t>
            </w:r>
          </w:p>
        </w:tc>
      </w:tr>
      <w:tr w:rsidR="00A96EAC" w:rsidRPr="00596A62" w14:paraId="4811A90E" w14:textId="77777777" w:rsidTr="003C128A">
        <w:trPr>
          <w:jc w:val="center"/>
        </w:trPr>
        <w:tc>
          <w:tcPr>
            <w:tcW w:w="2537" w:type="dxa"/>
            <w:tcBorders>
              <w:top w:val="single" w:sz="4" w:space="0" w:color="auto"/>
              <w:left w:val="single" w:sz="12" w:space="0" w:color="auto"/>
              <w:bottom w:val="single" w:sz="12" w:space="0" w:color="auto"/>
              <w:right w:val="single" w:sz="4" w:space="0" w:color="auto"/>
            </w:tcBorders>
            <w:vAlign w:val="center"/>
          </w:tcPr>
          <w:p w14:paraId="1DB32059" w14:textId="34483C82" w:rsidR="00A96EAC" w:rsidRPr="00336338" w:rsidRDefault="00A96EAC" w:rsidP="00A96EAC">
            <w:pPr>
              <w:spacing w:after="120"/>
              <w:jc w:val="center"/>
              <w:rPr>
                <w:sz w:val="20"/>
                <w:szCs w:val="20"/>
                <w:lang w:val="en-US"/>
              </w:rPr>
            </w:pPr>
            <w:r w:rsidRPr="003B5F60">
              <w:rPr>
                <w:sz w:val="20"/>
                <w:szCs w:val="20"/>
              </w:rPr>
              <w:t>Neo</w:t>
            </w:r>
            <w:r w:rsidR="004543B0">
              <w:rPr>
                <w:sz w:val="20"/>
                <w:szCs w:val="20"/>
              </w:rPr>
              <w:t xml:space="preserve"> Q</w:t>
            </w:r>
            <w:r w:rsidR="004543B0" w:rsidRPr="003B5F60">
              <w:rPr>
                <w:sz w:val="20"/>
                <w:szCs w:val="20"/>
              </w:rPr>
              <w:t>uímica</w:t>
            </w:r>
            <w:r w:rsidRPr="003B5F60">
              <w:rPr>
                <w:sz w:val="20"/>
                <w:szCs w:val="20"/>
              </w:rPr>
              <w:t xml:space="preserve"> </w:t>
            </w:r>
          </w:p>
        </w:tc>
        <w:tc>
          <w:tcPr>
            <w:tcW w:w="2299" w:type="dxa"/>
            <w:tcBorders>
              <w:top w:val="single" w:sz="4" w:space="0" w:color="auto"/>
              <w:left w:val="single" w:sz="4" w:space="0" w:color="auto"/>
              <w:bottom w:val="single" w:sz="12" w:space="0" w:color="auto"/>
              <w:right w:val="single" w:sz="4" w:space="0" w:color="auto"/>
            </w:tcBorders>
            <w:vAlign w:val="center"/>
          </w:tcPr>
          <w:p w14:paraId="7BECC4B4" w14:textId="409CEE8E" w:rsidR="00A96EAC" w:rsidRPr="00336338" w:rsidRDefault="00A96EAC" w:rsidP="00A96EAC">
            <w:pPr>
              <w:spacing w:after="120"/>
              <w:jc w:val="center"/>
              <w:rPr>
                <w:sz w:val="20"/>
                <w:szCs w:val="20"/>
                <w:lang w:val="en-US"/>
              </w:rPr>
            </w:pPr>
            <w:r w:rsidRPr="003B5F60">
              <w:rPr>
                <w:sz w:val="20"/>
                <w:szCs w:val="20"/>
              </w:rPr>
              <w:t>-</w:t>
            </w:r>
          </w:p>
        </w:tc>
        <w:tc>
          <w:tcPr>
            <w:tcW w:w="2402" w:type="dxa"/>
            <w:tcBorders>
              <w:top w:val="single" w:sz="4" w:space="0" w:color="auto"/>
              <w:left w:val="single" w:sz="4" w:space="0" w:color="auto"/>
              <w:bottom w:val="single" w:sz="12" w:space="0" w:color="auto"/>
              <w:right w:val="single" w:sz="4" w:space="0" w:color="auto"/>
            </w:tcBorders>
            <w:shd w:val="clear" w:color="auto" w:fill="FFFF66"/>
            <w:vAlign w:val="center"/>
          </w:tcPr>
          <w:p w14:paraId="45432D71" w14:textId="5F78988C" w:rsidR="00A96EAC" w:rsidRPr="00336338" w:rsidRDefault="00A96EAC" w:rsidP="00A96EAC">
            <w:pPr>
              <w:spacing w:after="120"/>
              <w:jc w:val="center"/>
              <w:rPr>
                <w:sz w:val="20"/>
                <w:szCs w:val="20"/>
                <w:lang w:val="en-US"/>
              </w:rPr>
            </w:pPr>
            <w:r w:rsidRPr="00596A62">
              <w:rPr>
                <w:sz w:val="20"/>
                <w:szCs w:val="20"/>
              </w:rPr>
              <w:t>G</w:t>
            </w:r>
            <w:r w:rsidRPr="003B5F60">
              <w:rPr>
                <w:sz w:val="20"/>
                <w:szCs w:val="20"/>
              </w:rPr>
              <w:t>enérico</w:t>
            </w:r>
          </w:p>
        </w:tc>
        <w:tc>
          <w:tcPr>
            <w:tcW w:w="1819" w:type="dxa"/>
            <w:tcBorders>
              <w:top w:val="single" w:sz="4" w:space="0" w:color="auto"/>
              <w:left w:val="single" w:sz="4" w:space="0" w:color="auto"/>
              <w:bottom w:val="single" w:sz="12" w:space="0" w:color="auto"/>
              <w:right w:val="single" w:sz="12" w:space="0" w:color="auto"/>
            </w:tcBorders>
          </w:tcPr>
          <w:p w14:paraId="701A9D4E" w14:textId="30812055" w:rsidR="00A96EAC" w:rsidRPr="00336338" w:rsidRDefault="00A96EAC" w:rsidP="00A96EAC">
            <w:pPr>
              <w:spacing w:after="120"/>
              <w:jc w:val="center"/>
              <w:rPr>
                <w:sz w:val="20"/>
                <w:szCs w:val="20"/>
                <w:lang w:val="en-US"/>
              </w:rPr>
            </w:pPr>
            <w:r w:rsidRPr="00596A62">
              <w:rPr>
                <w:sz w:val="20"/>
                <w:szCs w:val="20"/>
              </w:rPr>
              <w:t>1g</w:t>
            </w:r>
          </w:p>
        </w:tc>
      </w:tr>
    </w:tbl>
    <w:p w14:paraId="688F5154" w14:textId="3CD1E3D4" w:rsidR="00336338" w:rsidRDefault="00336338" w:rsidP="002E43AA">
      <w:pPr>
        <w:spacing w:after="120"/>
        <w:rPr>
          <w:sz w:val="20"/>
          <w:szCs w:val="20"/>
          <w:lang w:val="en-US"/>
        </w:rPr>
      </w:pPr>
      <w:r w:rsidRPr="00336338">
        <w:rPr>
          <w:sz w:val="20"/>
          <w:szCs w:val="20"/>
          <w:lang w:val="en-US"/>
        </w:rPr>
        <w:t xml:space="preserve">Fonte: </w:t>
      </w:r>
      <w:proofErr w:type="spellStart"/>
      <w:r w:rsidRPr="00336338">
        <w:rPr>
          <w:sz w:val="20"/>
          <w:szCs w:val="20"/>
          <w:lang w:val="en-US"/>
        </w:rPr>
        <w:t>Autores</w:t>
      </w:r>
      <w:proofErr w:type="spellEnd"/>
      <w:r w:rsidRPr="00336338">
        <w:rPr>
          <w:sz w:val="20"/>
          <w:szCs w:val="20"/>
          <w:lang w:val="en-US"/>
        </w:rPr>
        <w:t>.</w:t>
      </w:r>
    </w:p>
    <w:p w14:paraId="2CA67F51" w14:textId="77777777" w:rsidR="003A4312" w:rsidRPr="00336338" w:rsidRDefault="003A4312" w:rsidP="002E43AA">
      <w:pPr>
        <w:spacing w:after="120"/>
        <w:rPr>
          <w:sz w:val="20"/>
          <w:szCs w:val="20"/>
          <w:lang w:val="en-US"/>
        </w:rPr>
      </w:pPr>
    </w:p>
    <w:p w14:paraId="06011D3F" w14:textId="34E9E219" w:rsidR="003A4312" w:rsidRPr="00C71280" w:rsidRDefault="00026C01" w:rsidP="00026C01">
      <w:pPr>
        <w:spacing w:after="120"/>
        <w:ind w:firstLine="360"/>
      </w:pPr>
      <w:r w:rsidRPr="00C71280">
        <w:t>As embalagens foram fotografadas individualmente sob mesma condição de luminosidade e posteriormente salvas em arquivo digital em escala 1:1</w:t>
      </w:r>
      <w:r w:rsidR="007A51A8">
        <w:t>; isto é, em seu tamanho real, permitindo medição de suas dimensões, assim como do tamanho dos textos e imagens</w:t>
      </w:r>
      <w:r w:rsidRPr="00C71280">
        <w:t>. Na sequência, foram dispostas lado a lado para comparação visual</w:t>
      </w:r>
      <w:r w:rsidR="00C71280" w:rsidRPr="00C71280">
        <w:t xml:space="preserve"> (figura 2)</w:t>
      </w:r>
      <w:r w:rsidRPr="00C71280">
        <w:t xml:space="preserve">. Das 17 embalagens, </w:t>
      </w:r>
      <w:r w:rsidR="00C71280" w:rsidRPr="00C71280">
        <w:t xml:space="preserve">1 corresponde ao medicamento de referência Novalgina, </w:t>
      </w:r>
      <w:r w:rsidRPr="00C71280">
        <w:t>7 correspondem a medicamentos genéricos e</w:t>
      </w:r>
      <w:r w:rsidR="00C71280" w:rsidRPr="00C71280">
        <w:t xml:space="preserve"> 9 a medicamentos bioequivalentes. Sendo 4 dos medicamentos bioequivalentes da mesma empresa de Novalgina, e 1 dos genéricos de empresa adquirida pela Sanofi (detentora também do medicamento Novalgina). </w:t>
      </w:r>
    </w:p>
    <w:p w14:paraId="57E87729" w14:textId="5E30C100" w:rsidR="00C71280" w:rsidRPr="00C71280" w:rsidRDefault="00C71280" w:rsidP="00026C01">
      <w:pPr>
        <w:spacing w:after="120"/>
        <w:ind w:firstLine="360"/>
      </w:pPr>
      <w:r w:rsidRPr="00C71280">
        <w:t xml:space="preserve">Observa-se que parte dos medicamentos genéricos seguem o padrão de cor de Novalgina (tons de verde) assim como o </w:t>
      </w:r>
      <w:proofErr w:type="spellStart"/>
      <w:r w:rsidRPr="00C71280">
        <w:t>bioequivalente</w:t>
      </w:r>
      <w:proofErr w:type="spellEnd"/>
      <w:r w:rsidRPr="00C71280">
        <w:t xml:space="preserve"> </w:t>
      </w:r>
      <w:proofErr w:type="spellStart"/>
      <w:r w:rsidRPr="00C71280">
        <w:t>Maxalgina</w:t>
      </w:r>
      <w:proofErr w:type="spellEnd"/>
      <w:r w:rsidRPr="00C71280">
        <w:t xml:space="preserve">. A maior distinção visual, encontra-se dentre a família de produtos comercializados por Sanofi. As três marcas possuem identidades visuais bem distintas. Observa-se também que existe uma preferência pelo uso dos tons de amarelado a avermelhado como opção alternativa aos tons de verde. Nestas embalagens destaca-se também o apelo a “dor” e “enxaqueca”.  </w:t>
      </w:r>
    </w:p>
    <w:p w14:paraId="046EAC16" w14:textId="77777777" w:rsidR="00C71280" w:rsidRPr="00AD18B0" w:rsidRDefault="00C71280" w:rsidP="002A2DC2">
      <w:pPr>
        <w:spacing w:after="120"/>
        <w:ind w:firstLine="360"/>
        <w:rPr>
          <w:color w:val="FF0000"/>
          <w:sz w:val="20"/>
          <w:szCs w:val="20"/>
        </w:rPr>
      </w:pPr>
    </w:p>
    <w:p w14:paraId="4771DB90" w14:textId="56752A4F" w:rsidR="00193226" w:rsidRDefault="00193226" w:rsidP="00193226">
      <w:pPr>
        <w:spacing w:after="120"/>
        <w:rPr>
          <w:sz w:val="20"/>
          <w:szCs w:val="20"/>
        </w:rPr>
      </w:pPr>
      <w:r>
        <w:rPr>
          <w:noProof/>
        </w:rPr>
        <w:drawing>
          <wp:inline distT="0" distB="0" distL="0" distR="0" wp14:anchorId="67E4FAA1" wp14:editId="1D5E10BC">
            <wp:extent cx="5760720" cy="2664460"/>
            <wp:effectExtent l="19050" t="19050" r="11430" b="21590"/>
            <wp:docPr id="506414203" name="Imagem 8"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14203" name="Imagem 8" descr="Uma imagem contendo Interface gráfica do usuári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664460"/>
                    </a:xfrm>
                    <a:prstGeom prst="rect">
                      <a:avLst/>
                    </a:prstGeom>
                    <a:ln>
                      <a:solidFill>
                        <a:schemeClr val="bg1">
                          <a:lumMod val="85000"/>
                        </a:schemeClr>
                      </a:solidFill>
                    </a:ln>
                  </pic:spPr>
                </pic:pic>
              </a:graphicData>
            </a:graphic>
          </wp:inline>
        </w:drawing>
      </w:r>
    </w:p>
    <w:p w14:paraId="5AEFB460" w14:textId="2C462744" w:rsidR="00934992" w:rsidRPr="00C71280" w:rsidRDefault="00934992" w:rsidP="00934992">
      <w:pPr>
        <w:spacing w:before="120" w:after="120"/>
        <w:jc w:val="center"/>
        <w:rPr>
          <w:b/>
          <w:bCs/>
          <w:sz w:val="20"/>
          <w:szCs w:val="20"/>
        </w:rPr>
      </w:pPr>
      <w:r w:rsidRPr="00C71280">
        <w:rPr>
          <w:b/>
          <w:bCs/>
          <w:sz w:val="20"/>
          <w:szCs w:val="20"/>
        </w:rPr>
        <w:t xml:space="preserve">Figura </w:t>
      </w:r>
      <w:r w:rsidR="00AD18B0" w:rsidRPr="00C71280">
        <w:rPr>
          <w:b/>
          <w:bCs/>
          <w:sz w:val="20"/>
          <w:szCs w:val="20"/>
        </w:rPr>
        <w:t>2</w:t>
      </w:r>
      <w:r w:rsidRPr="00C71280">
        <w:rPr>
          <w:b/>
          <w:bCs/>
          <w:sz w:val="20"/>
          <w:szCs w:val="20"/>
        </w:rPr>
        <w:t xml:space="preserve">: Embalagens de medicamentos </w:t>
      </w:r>
      <w:r w:rsidR="00C71280" w:rsidRPr="00C71280">
        <w:rPr>
          <w:b/>
          <w:bCs/>
          <w:sz w:val="20"/>
          <w:szCs w:val="20"/>
        </w:rPr>
        <w:t>com o princípio ativo dipirona</w:t>
      </w:r>
      <w:r w:rsidRPr="00C71280">
        <w:rPr>
          <w:b/>
          <w:bCs/>
          <w:sz w:val="20"/>
          <w:szCs w:val="20"/>
        </w:rPr>
        <w:t xml:space="preserve">. Fonte: Elaborada pela autora com base em </w:t>
      </w:r>
      <w:r w:rsidR="00C71280" w:rsidRPr="00C71280">
        <w:rPr>
          <w:b/>
          <w:bCs/>
          <w:sz w:val="20"/>
          <w:szCs w:val="20"/>
        </w:rPr>
        <w:t>pesquisa de campo</w:t>
      </w:r>
      <w:r w:rsidRPr="00C71280">
        <w:rPr>
          <w:b/>
          <w:bCs/>
          <w:sz w:val="20"/>
          <w:szCs w:val="20"/>
        </w:rPr>
        <w:t xml:space="preserve"> (202</w:t>
      </w:r>
      <w:r w:rsidR="00C71280" w:rsidRPr="00C71280">
        <w:rPr>
          <w:b/>
          <w:bCs/>
          <w:sz w:val="20"/>
          <w:szCs w:val="20"/>
        </w:rPr>
        <w:t>5</w:t>
      </w:r>
      <w:r w:rsidRPr="00C71280">
        <w:rPr>
          <w:b/>
          <w:bCs/>
          <w:sz w:val="20"/>
          <w:szCs w:val="20"/>
        </w:rPr>
        <w:t>).</w:t>
      </w:r>
    </w:p>
    <w:p w14:paraId="39E83491" w14:textId="77777777" w:rsidR="007A51A8" w:rsidRDefault="00E348D5" w:rsidP="00E348D5">
      <w:pPr>
        <w:spacing w:before="120" w:after="120"/>
        <w:ind w:firstLine="284"/>
      </w:pPr>
      <w:r>
        <w:lastRenderedPageBreak/>
        <w:t>Devido à presença majoritária de comprimidos de dipirona comercializados em 1g, foram selecionados apenas estes da amostra fotografada. Para o caso específico da empresa Cimed foi constatada a presença de uma outra embalagem com número de lote mais recente e com modificações no tamanho das informações na face frontal. Portanto, ela foi inserida na análise para efeito de comparação. A embalagem inicialmente fotografada não cumpria as diretrizes para medicamentos genéricos: não possui o nome completo do ativo dipirona monoidratada; não possui a frase obrigatória</w:t>
      </w:r>
      <w:r w:rsidRPr="00950881">
        <w:t xml:space="preserve"> “Medicamento Genérico – Lei nº 9.787/99</w:t>
      </w:r>
      <w:r>
        <w:t xml:space="preserve">”. Ambas as embalagens são as primeiras da esquerda para direita da figura 3. </w:t>
      </w:r>
    </w:p>
    <w:p w14:paraId="1D517078" w14:textId="62C2FA8F" w:rsidR="00E348D5" w:rsidRDefault="007A51A8" w:rsidP="00E348D5">
      <w:pPr>
        <w:spacing w:before="120" w:after="120"/>
        <w:ind w:firstLine="284"/>
      </w:pPr>
      <w:r>
        <w:t>A figura 3 apresenta um estudo de legibilidade realizado nas embalagens. Tendo sido fotografadas em tamanho real, com o uso de recursos do software de computação gráfica Adobe Photoshop®, tarjas azuis foram aplicadas sobre</w:t>
      </w:r>
      <w:r w:rsidR="00E348D5">
        <w:t xml:space="preserve"> os textos obrigatórios por lei</w:t>
      </w:r>
      <w:r>
        <w:t xml:space="preserve"> e tarjas em tom rosado foram aplicadas sobre</w:t>
      </w:r>
      <w:r w:rsidR="00E348D5">
        <w:t xml:space="preserve"> os textos facultativos</w:t>
      </w:r>
      <w:r>
        <w:t xml:space="preserve"> (aqueles </w:t>
      </w:r>
      <w:r w:rsidR="00E348D5">
        <w:t>de caráter publicitário</w:t>
      </w:r>
      <w:r>
        <w:t>)</w:t>
      </w:r>
      <w:r w:rsidR="00E348D5">
        <w:t>.</w:t>
      </w:r>
      <w:r>
        <w:t xml:space="preserve"> Após a aplicação das tarjas</w:t>
      </w:r>
      <w:r w:rsidR="007D590B">
        <w:t>, foi utilizada a fonte Arial para identificar o tamanho aproximado de cada um dos textos. O objetivo dessa análise foi aferir em que medida as práticas de composição visual adotadas pelas empresas estudadas estão alinhadas com as diretrizes de legibilidade, em especial considerando as limitações de usuários com baixa visão.</w:t>
      </w:r>
    </w:p>
    <w:p w14:paraId="06563B65" w14:textId="77777777" w:rsidR="00950881" w:rsidRDefault="00950881" w:rsidP="00950881">
      <w:pPr>
        <w:spacing w:after="120"/>
      </w:pPr>
    </w:p>
    <w:p w14:paraId="35314851" w14:textId="77777777" w:rsidR="00950881" w:rsidRDefault="00950881" w:rsidP="00950881">
      <w:pPr>
        <w:spacing w:after="120"/>
      </w:pPr>
      <w:r w:rsidRPr="00834496">
        <w:rPr>
          <w:noProof/>
        </w:rPr>
        <w:drawing>
          <wp:inline distT="0" distB="0" distL="0" distR="0" wp14:anchorId="39A5694E" wp14:editId="19C5A2E4">
            <wp:extent cx="5760720" cy="3109595"/>
            <wp:effectExtent l="19050" t="19050" r="11430" b="14605"/>
            <wp:docPr id="137579178" name="Imagem 1"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9178" name="Imagem 1" descr="Linha do tempo&#10;&#10;O conteúdo gerado por IA pode estar incorreto."/>
                    <pic:cNvPicPr/>
                  </pic:nvPicPr>
                  <pic:blipFill>
                    <a:blip r:embed="rId10"/>
                    <a:stretch>
                      <a:fillRect/>
                    </a:stretch>
                  </pic:blipFill>
                  <pic:spPr>
                    <a:xfrm>
                      <a:off x="0" y="0"/>
                      <a:ext cx="5760720" cy="3109595"/>
                    </a:xfrm>
                    <a:prstGeom prst="rect">
                      <a:avLst/>
                    </a:prstGeom>
                    <a:ln>
                      <a:solidFill>
                        <a:schemeClr val="bg1">
                          <a:lumMod val="75000"/>
                        </a:schemeClr>
                      </a:solidFill>
                    </a:ln>
                  </pic:spPr>
                </pic:pic>
              </a:graphicData>
            </a:graphic>
          </wp:inline>
        </w:drawing>
      </w:r>
    </w:p>
    <w:p w14:paraId="52141EC2" w14:textId="77777777" w:rsidR="00950881" w:rsidRDefault="00950881" w:rsidP="00950881">
      <w:pPr>
        <w:spacing w:before="120" w:after="120"/>
        <w:jc w:val="center"/>
        <w:rPr>
          <w:b/>
          <w:bCs/>
          <w:sz w:val="20"/>
          <w:szCs w:val="20"/>
        </w:rPr>
      </w:pPr>
      <w:r w:rsidRPr="00950881">
        <w:rPr>
          <w:b/>
          <w:bCs/>
          <w:sz w:val="20"/>
          <w:szCs w:val="20"/>
        </w:rPr>
        <w:t xml:space="preserve">Figura 3: Análise do tamanho das fontes utilizadas em embalagens de dipirona 1g.  Fonte: </w:t>
      </w:r>
      <w:r w:rsidRPr="00C71280">
        <w:rPr>
          <w:b/>
          <w:bCs/>
          <w:sz w:val="20"/>
          <w:szCs w:val="20"/>
        </w:rPr>
        <w:t>Elaborada pela autora com base em pesquisa de campo (2025).</w:t>
      </w:r>
    </w:p>
    <w:p w14:paraId="731F53EF" w14:textId="77777777" w:rsidR="00950881" w:rsidRDefault="00950881" w:rsidP="00950881">
      <w:pPr>
        <w:spacing w:before="120" w:after="120"/>
        <w:jc w:val="center"/>
        <w:rPr>
          <w:b/>
          <w:bCs/>
          <w:sz w:val="20"/>
          <w:szCs w:val="20"/>
        </w:rPr>
      </w:pPr>
    </w:p>
    <w:p w14:paraId="6F2355F4" w14:textId="36EF84A6" w:rsidR="00950881" w:rsidRDefault="00E348D5" w:rsidP="00086061">
      <w:pPr>
        <w:spacing w:before="120" w:after="120"/>
        <w:ind w:firstLine="284"/>
      </w:pPr>
      <w:r>
        <w:t xml:space="preserve">No que tange às recomendações para legibilidade, todos os textos referentes ao princípio ativo (dipirona) e à quantidade (1g) estão em tamanho igual ou maior que 16pt. Apenas o medicamento da empresa EMS apresenta a quantidade </w:t>
      </w:r>
      <w:r w:rsidR="00950881">
        <w:t xml:space="preserve">1g </w:t>
      </w:r>
      <w:r>
        <w:t xml:space="preserve">em corpo 11pt. Uma decisão </w:t>
      </w:r>
      <w:r w:rsidR="00086061">
        <w:t xml:space="preserve">de design </w:t>
      </w:r>
      <w:r>
        <w:t>descuidada, pois há espaço para a ampliação de um dado tão importante para o usuário.</w:t>
      </w:r>
      <w:r w:rsidR="00086061">
        <w:t xml:space="preserve"> Quanto ao texto “medicamento genérico” na tarja amarela, identificou-se divergências no tamanho, sendo a mais legível os textos da embalagem da Medley e o menos legível novamente o da empresa EMS. </w:t>
      </w:r>
      <w:r w:rsidR="00950881">
        <w:t>Nos medicamentos bioequivalentes</w:t>
      </w:r>
      <w:r w:rsidR="00086061">
        <w:t>,</w:t>
      </w:r>
      <w:r w:rsidR="00950881">
        <w:t xml:space="preserve"> há mais destaque no tamanho da fonte para alguns textos não obrigatórios de cunho apelativo, as palavras </w:t>
      </w:r>
      <w:r w:rsidR="00086061">
        <w:t>“dor” e “</w:t>
      </w:r>
      <w:r w:rsidR="00950881">
        <w:t>enxaqueca</w:t>
      </w:r>
      <w:r w:rsidR="00086061">
        <w:t>”</w:t>
      </w:r>
      <w:r w:rsidR="00950881">
        <w:t xml:space="preserve"> aparece</w:t>
      </w:r>
      <w:r w:rsidR="00086061">
        <w:t>m</w:t>
      </w:r>
      <w:r w:rsidR="00950881">
        <w:t xml:space="preserve"> em alguns casos maior que o nome do </w:t>
      </w:r>
      <w:r w:rsidR="00086061">
        <w:t>princípio</w:t>
      </w:r>
      <w:r w:rsidR="00950881">
        <w:t xml:space="preserve"> ativo</w:t>
      </w:r>
      <w:r w:rsidR="00086061">
        <w:t>.</w:t>
      </w:r>
    </w:p>
    <w:p w14:paraId="011F9310" w14:textId="380A2EC9" w:rsidR="00086061" w:rsidRDefault="00086061" w:rsidP="00086061">
      <w:pPr>
        <w:spacing w:before="120" w:after="120"/>
        <w:ind w:firstLine="284"/>
      </w:pPr>
      <w:r>
        <w:lastRenderedPageBreak/>
        <w:t>Para análise das embalagens sob o ponto de vista da deficiência visual para cores (daltonismo), optou-se por utilizar um simulador digital (</w:t>
      </w:r>
      <w:r w:rsidRPr="00252DF4">
        <w:t>COLORLITELENS</w:t>
      </w:r>
      <w:r>
        <w:t xml:space="preserve">, 2025) para realizar versões da vista de uma gôndola de medicamento pelos olhos de daltônicos. Sendo eles </w:t>
      </w:r>
      <w:r w:rsidRPr="00086061">
        <w:t>deuteranopia</w:t>
      </w:r>
      <w:r>
        <w:t xml:space="preserve">, </w:t>
      </w:r>
      <w:proofErr w:type="spellStart"/>
      <w:r w:rsidRPr="00086061">
        <w:t>protanopia</w:t>
      </w:r>
      <w:proofErr w:type="spellEnd"/>
      <w:r w:rsidRPr="00086061">
        <w:t xml:space="preserve"> e </w:t>
      </w:r>
      <w:proofErr w:type="spellStart"/>
      <w:r w:rsidRPr="00086061">
        <w:t>tritanopia</w:t>
      </w:r>
      <w:proofErr w:type="spellEnd"/>
      <w:r>
        <w:t xml:space="preserve">, a dificuldade de identificar os tons de vermelho, verde e azul respectivamente. </w:t>
      </w:r>
      <w:r w:rsidR="006A181A">
        <w:t xml:space="preserve">As figuras 4 e 5 demonstram a baixa distintividade entre os medicamentos concorrentes, em especial pelo fato da maioria utilizar as cores diretamente relacionadas à deficiência. </w:t>
      </w:r>
    </w:p>
    <w:p w14:paraId="6A124BB8" w14:textId="77777777" w:rsidR="00934992" w:rsidRPr="00596A62" w:rsidRDefault="00934992" w:rsidP="00193226">
      <w:pPr>
        <w:spacing w:after="120"/>
        <w:rPr>
          <w:sz w:val="20"/>
          <w:szCs w:val="20"/>
        </w:rPr>
      </w:pPr>
    </w:p>
    <w:p w14:paraId="78F275FA" w14:textId="0EC55040" w:rsidR="00644A87" w:rsidRDefault="0087293A" w:rsidP="0087293A">
      <w:pPr>
        <w:spacing w:after="120"/>
      </w:pPr>
      <w:r w:rsidRPr="0087293A">
        <w:rPr>
          <w:noProof/>
        </w:rPr>
        <w:drawing>
          <wp:inline distT="0" distB="0" distL="0" distR="0" wp14:anchorId="42A471F4" wp14:editId="364026F1">
            <wp:extent cx="5760000" cy="2111751"/>
            <wp:effectExtent l="19050" t="19050" r="12700" b="22225"/>
            <wp:docPr id="21067368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36833" name=""/>
                    <pic:cNvPicPr/>
                  </pic:nvPicPr>
                  <pic:blipFill rotWithShape="1">
                    <a:blip r:embed="rId11"/>
                    <a:srcRect l="-1521" t="-4430" r="-1124" b="-5169"/>
                    <a:stretch/>
                  </pic:blipFill>
                  <pic:spPr bwMode="auto">
                    <a:xfrm>
                      <a:off x="0" y="0"/>
                      <a:ext cx="5760000" cy="2111751"/>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528CEE" w14:textId="77777777" w:rsidR="00EC6EE7" w:rsidRPr="00A8546D" w:rsidRDefault="00EC6EE7" w:rsidP="00EC6EE7">
      <w:pPr>
        <w:spacing w:before="120" w:after="120"/>
        <w:jc w:val="center"/>
        <w:rPr>
          <w:b/>
          <w:bCs/>
          <w:sz w:val="20"/>
          <w:szCs w:val="20"/>
        </w:rPr>
      </w:pPr>
      <w:r w:rsidRPr="00A8546D">
        <w:rPr>
          <w:b/>
          <w:bCs/>
          <w:sz w:val="20"/>
          <w:szCs w:val="20"/>
        </w:rPr>
        <w:t>Figura 3: Embalagens de medicamentos para dor e febre e simulações de daltonismo.   Fonte: Elaborada pela autora com base em simulador de imagens (2024).</w:t>
      </w:r>
    </w:p>
    <w:p w14:paraId="2FB48365" w14:textId="48461C79" w:rsidR="00012D03" w:rsidRDefault="00A94D36" w:rsidP="007D3037">
      <w:pPr>
        <w:spacing w:after="120"/>
      </w:pPr>
      <w:r w:rsidRPr="00A94D36">
        <w:rPr>
          <w:noProof/>
        </w:rPr>
        <w:drawing>
          <wp:inline distT="0" distB="0" distL="0" distR="0" wp14:anchorId="44BF1A9C" wp14:editId="54D7E02F">
            <wp:extent cx="5760720" cy="1430020"/>
            <wp:effectExtent l="0" t="0" r="0" b="0"/>
            <wp:docPr id="580105200" name="Imagem 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5200" name="Imagem 1" descr="Interface gráfica do usuário&#10;&#10;O conteúdo gerado por IA pode estar incorreto."/>
                    <pic:cNvPicPr/>
                  </pic:nvPicPr>
                  <pic:blipFill>
                    <a:blip r:embed="rId12"/>
                    <a:stretch>
                      <a:fillRect/>
                    </a:stretch>
                  </pic:blipFill>
                  <pic:spPr>
                    <a:xfrm>
                      <a:off x="0" y="0"/>
                      <a:ext cx="5760720" cy="1430020"/>
                    </a:xfrm>
                    <a:prstGeom prst="rect">
                      <a:avLst/>
                    </a:prstGeom>
                  </pic:spPr>
                </pic:pic>
              </a:graphicData>
            </a:graphic>
          </wp:inline>
        </w:drawing>
      </w:r>
    </w:p>
    <w:p w14:paraId="542B2B3E" w14:textId="6D8D45F0" w:rsidR="007D3037" w:rsidRPr="00A8546D" w:rsidRDefault="00A8546D" w:rsidP="00EC6EE7">
      <w:pPr>
        <w:spacing w:before="120" w:after="120"/>
        <w:jc w:val="center"/>
        <w:rPr>
          <w:b/>
          <w:bCs/>
          <w:sz w:val="20"/>
          <w:szCs w:val="20"/>
        </w:rPr>
      </w:pPr>
      <w:r w:rsidRPr="00A8546D">
        <w:rPr>
          <w:b/>
          <w:bCs/>
          <w:sz w:val="20"/>
          <w:szCs w:val="20"/>
        </w:rPr>
        <w:t xml:space="preserve">Figura </w:t>
      </w:r>
      <w:r w:rsidR="00AD18B0">
        <w:rPr>
          <w:b/>
          <w:bCs/>
          <w:sz w:val="20"/>
          <w:szCs w:val="20"/>
        </w:rPr>
        <w:t>4</w:t>
      </w:r>
      <w:r w:rsidRPr="00A8546D">
        <w:rPr>
          <w:b/>
          <w:bCs/>
          <w:sz w:val="20"/>
          <w:szCs w:val="20"/>
        </w:rPr>
        <w:t xml:space="preserve">: Embalagens de medicamentos para dor e febre e simulações de daltonismo.   </w:t>
      </w:r>
      <w:r w:rsidR="007D3037" w:rsidRPr="00A8546D">
        <w:rPr>
          <w:b/>
          <w:bCs/>
          <w:sz w:val="20"/>
          <w:szCs w:val="20"/>
        </w:rPr>
        <w:t>Fonte: Elaborada pela autora com base em simulador de imagens (2024).</w:t>
      </w:r>
    </w:p>
    <w:p w14:paraId="5BEEA6FD" w14:textId="77777777" w:rsidR="00A94D36" w:rsidRDefault="00A94D36" w:rsidP="00550A36">
      <w:pPr>
        <w:spacing w:after="120"/>
        <w:ind w:firstLine="284"/>
      </w:pPr>
    </w:p>
    <w:p w14:paraId="131CDAF5" w14:textId="23AA0C51" w:rsidR="009556AB" w:rsidRDefault="00000000" w:rsidP="00644A87">
      <w:pPr>
        <w:numPr>
          <w:ilvl w:val="0"/>
          <w:numId w:val="2"/>
        </w:numPr>
        <w:pBdr>
          <w:top w:val="nil"/>
          <w:left w:val="nil"/>
          <w:bottom w:val="nil"/>
          <w:right w:val="nil"/>
          <w:between w:val="nil"/>
        </w:pBdr>
        <w:spacing w:after="120"/>
        <w:ind w:left="284"/>
        <w:rPr>
          <w:b/>
          <w:color w:val="000000"/>
        </w:rPr>
      </w:pPr>
      <w:r>
        <w:rPr>
          <w:b/>
          <w:color w:val="000000"/>
        </w:rPr>
        <w:t>Considerações Finais</w:t>
      </w:r>
    </w:p>
    <w:p w14:paraId="714A1171" w14:textId="77777777" w:rsidR="0058285A" w:rsidRDefault="006A181A" w:rsidP="00D975EE">
      <w:pPr>
        <w:spacing w:after="120"/>
        <w:ind w:firstLine="360"/>
      </w:pPr>
      <w:r w:rsidRPr="00D975EE">
        <w:t xml:space="preserve">O estudo realizado explorou a contribuição dos elementos visuais em complementação à informação verbal contida nas embalagens de medicamentos isentos de prescrição. Os resultados </w:t>
      </w:r>
      <w:r w:rsidR="00D975EE" w:rsidRPr="00D975EE">
        <w:t xml:space="preserve">demonstram que a composição visual pode auxiliar no processo de decisão de compra e usabilidade, mas também podem dificultar esse processo; especialmente no caso de pessoas em situação de vulnerabilidade como deficientes visuais e idosos. </w:t>
      </w:r>
      <w:r w:rsidRPr="00D975EE">
        <w:t xml:space="preserve">Tendo em vista o crescente hábito da automedicação no país, bem como o envelhecimento populacional, o presente trabalho é apenas uma pequena amostra de um campo de pesquisa que necessita ser explorado e questionado tanto por designers quanto profissionais interessados no tema. </w:t>
      </w:r>
    </w:p>
    <w:p w14:paraId="2E7A3785" w14:textId="0EB1CEFB" w:rsidR="006A181A" w:rsidRDefault="006A181A" w:rsidP="00D975EE">
      <w:pPr>
        <w:spacing w:after="120"/>
        <w:ind w:firstLine="360"/>
      </w:pPr>
      <w:r w:rsidRPr="00D975EE">
        <w:t xml:space="preserve">Como desmembramento dessa pesquisa, sugere-se a investigação de </w:t>
      </w:r>
      <w:r>
        <w:t xml:space="preserve">outros princípios ativos tanto para uma análise visual quanto para pesquisa com usuários. </w:t>
      </w:r>
      <w:r w:rsidR="0058285A">
        <w:t>Bem como, novas pesquisas que incluam</w:t>
      </w:r>
      <w:r w:rsidR="007A51A8">
        <w:t xml:space="preserve"> estudos</w:t>
      </w:r>
      <w:r w:rsidR="0058285A">
        <w:t xml:space="preserve"> a</w:t>
      </w:r>
      <w:r w:rsidR="007A51A8">
        <w:t>cerca</w:t>
      </w:r>
      <w:r w:rsidR="0058285A">
        <w:t xml:space="preserve"> </w:t>
      </w:r>
      <w:r w:rsidR="007A51A8">
        <w:t xml:space="preserve">da </w:t>
      </w:r>
      <w:r w:rsidR="0058285A">
        <w:t xml:space="preserve">eficácia </w:t>
      </w:r>
      <w:r w:rsidR="007A51A8">
        <w:t xml:space="preserve">ou mesmo necessidade do uso </w:t>
      </w:r>
      <w:r w:rsidR="0058285A">
        <w:t>d</w:t>
      </w:r>
      <w:r w:rsidR="007A51A8">
        <w:t>e</w:t>
      </w:r>
      <w:r w:rsidR="0058285A">
        <w:t xml:space="preserve"> bulas</w:t>
      </w:r>
      <w:r w:rsidR="0058285A" w:rsidRPr="0058285A">
        <w:t xml:space="preserve"> </w:t>
      </w:r>
      <w:r w:rsidR="007A51A8">
        <w:t xml:space="preserve">e </w:t>
      </w:r>
      <w:r w:rsidR="0058285A" w:rsidRPr="0058285A">
        <w:t>embalage</w:t>
      </w:r>
      <w:r w:rsidR="007A51A8">
        <w:t xml:space="preserve">ns </w:t>
      </w:r>
      <w:r w:rsidR="0058285A" w:rsidRPr="0058285A">
        <w:t>secundária</w:t>
      </w:r>
      <w:r w:rsidR="007A51A8">
        <w:t>s</w:t>
      </w:r>
      <w:r w:rsidR="0058285A" w:rsidRPr="0058285A">
        <w:t xml:space="preserve"> em </w:t>
      </w:r>
      <w:r w:rsidR="007A51A8">
        <w:t>medicamentos</w:t>
      </w:r>
      <w:r w:rsidR="007A51A8">
        <w:t xml:space="preserve"> isentos de </w:t>
      </w:r>
      <w:r w:rsidR="0058285A" w:rsidRPr="0058285A">
        <w:t>prescrição médica</w:t>
      </w:r>
      <w:r w:rsidR="007A51A8">
        <w:t xml:space="preserve">; tendo em vista que já </w:t>
      </w:r>
      <w:r w:rsidR="007A51A8">
        <w:lastRenderedPageBreak/>
        <w:t>existe a prática de venda de comprimidos apenas na embalagem primária (blisters) de forma avulsa</w:t>
      </w:r>
      <w:r w:rsidR="0058285A" w:rsidRPr="0058285A">
        <w:t>.</w:t>
      </w:r>
      <w:r w:rsidR="007A51A8">
        <w:t xml:space="preserve"> </w:t>
      </w:r>
    </w:p>
    <w:p w14:paraId="0709E10E" w14:textId="42C73F02" w:rsidR="00D975EE" w:rsidRPr="00D975EE" w:rsidRDefault="00D975EE" w:rsidP="00D975EE">
      <w:pPr>
        <w:spacing w:after="120"/>
        <w:ind w:firstLine="360"/>
      </w:pPr>
      <w:r w:rsidRPr="00D975EE">
        <w:t>Espera-se que o artigo contribua para o aprimoramento das práticas de design de embalagens de medicamentos, com foco na criação de soluções que atendam às necessidades de uma população diversificada. Por meio de uma análise detalhada dos aspectos legais, econômicos e sociais envolvidos na produção e consumo de medicamentos, argumenta-se a importância do design para sustentabilidade, contribuindo para a melhoria da segurança e acessibilidade dos produtos farmacêuticos e promovendo um sistema de saúde mais inclusivo e eficiente.</w:t>
      </w:r>
      <w:r w:rsidR="0058285A" w:rsidRPr="0058285A">
        <w:t xml:space="preserve"> </w:t>
      </w:r>
    </w:p>
    <w:p w14:paraId="36E3C5AC" w14:textId="77777777" w:rsidR="009556AB" w:rsidRDefault="009556AB">
      <w:pPr>
        <w:spacing w:after="120"/>
        <w:rPr>
          <w:b/>
        </w:rPr>
      </w:pPr>
    </w:p>
    <w:p w14:paraId="71321FD0" w14:textId="77777777" w:rsidR="00886EFB" w:rsidRDefault="00886EFB" w:rsidP="00886EFB">
      <w:pPr>
        <w:spacing w:after="120"/>
        <w:rPr>
          <w:b/>
        </w:rPr>
      </w:pPr>
      <w:r>
        <w:rPr>
          <w:b/>
        </w:rPr>
        <w:t>Referências</w:t>
      </w:r>
    </w:p>
    <w:p w14:paraId="2AFB5990" w14:textId="77777777" w:rsidR="00886EFB" w:rsidRPr="00A050B3" w:rsidRDefault="00886EFB" w:rsidP="00886EFB">
      <w:pPr>
        <w:spacing w:after="240"/>
        <w:ind w:left="284"/>
      </w:pPr>
      <w:r w:rsidRPr="00C9752E">
        <w:rPr>
          <w:b/>
          <w:bCs/>
        </w:rPr>
        <w:t>A HISTÓRIA da embalagem no Brasil</w:t>
      </w:r>
      <w:r w:rsidRPr="00A050B3">
        <w:t xml:space="preserve">. Produção: Fernanda Carvalho. Roteiro e Montagem: Felipe </w:t>
      </w:r>
      <w:proofErr w:type="spellStart"/>
      <w:r w:rsidRPr="00A050B3">
        <w:t>Tomazelli</w:t>
      </w:r>
      <w:proofErr w:type="spellEnd"/>
      <w:r w:rsidRPr="00A050B3">
        <w:t xml:space="preserve"> e Ricardo Martensen. São Paulo: Canal Curta TV, 2015. 1 DVD (52 min.).</w:t>
      </w:r>
    </w:p>
    <w:p w14:paraId="3086B13C" w14:textId="4CA75E9D" w:rsidR="00D70CCD" w:rsidRDefault="00D70CCD" w:rsidP="00D70CCD">
      <w:pPr>
        <w:spacing w:after="120"/>
        <w:ind w:left="284"/>
        <w:rPr>
          <w:color w:val="000000" w:themeColor="text1"/>
        </w:rPr>
      </w:pPr>
      <w:r>
        <w:rPr>
          <w:color w:val="000000" w:themeColor="text1"/>
        </w:rPr>
        <w:t xml:space="preserve">Anvisa. </w:t>
      </w:r>
      <w:r w:rsidRPr="00754BA5">
        <w:rPr>
          <w:color w:val="000000" w:themeColor="text1"/>
        </w:rPr>
        <w:t>Agência Nacional de Vigilância Sanitária</w:t>
      </w:r>
      <w:r>
        <w:rPr>
          <w:color w:val="000000" w:themeColor="text1"/>
        </w:rPr>
        <w:t xml:space="preserve">. </w:t>
      </w:r>
      <w:r w:rsidRPr="009D1C56">
        <w:rPr>
          <w:b/>
          <w:bCs/>
        </w:rPr>
        <w:t>Conceitos e definições</w:t>
      </w:r>
      <w:r>
        <w:rPr>
          <w:b/>
          <w:bCs/>
        </w:rPr>
        <w:t xml:space="preserve">. </w:t>
      </w:r>
      <w:r w:rsidRPr="00D70CCD">
        <w:t xml:space="preserve">Disponível em: </w:t>
      </w:r>
      <w:r w:rsidRPr="00A05870">
        <w:t>https://www.gov.br/anvisa/pt-br/acessoainformacao/perguntasfrequentes/</w:t>
      </w:r>
      <w:r>
        <w:t xml:space="preserve"> </w:t>
      </w:r>
      <w:r w:rsidRPr="00A05870">
        <w:t>medicamentos/</w:t>
      </w:r>
      <w:r>
        <w:t xml:space="preserve"> </w:t>
      </w:r>
      <w:r w:rsidRPr="00A05870">
        <w:t>conceitos-e-</w:t>
      </w:r>
      <w:proofErr w:type="spellStart"/>
      <w:r w:rsidRPr="00A05870">
        <w:t>definicoes</w:t>
      </w:r>
      <w:proofErr w:type="spellEnd"/>
      <w:r>
        <w:t xml:space="preserve">. Acesso em: </w:t>
      </w:r>
      <w:r>
        <w:rPr>
          <w:color w:val="000000" w:themeColor="text1"/>
        </w:rPr>
        <w:t>02 mar. 2025a.</w:t>
      </w:r>
    </w:p>
    <w:p w14:paraId="04F2535C" w14:textId="3A88269D" w:rsidR="00754BA5" w:rsidRDefault="00754BA5" w:rsidP="0015399F">
      <w:pPr>
        <w:spacing w:after="120"/>
        <w:ind w:left="284"/>
        <w:rPr>
          <w:color w:val="000000" w:themeColor="text1"/>
        </w:rPr>
      </w:pPr>
      <w:r>
        <w:rPr>
          <w:color w:val="000000" w:themeColor="text1"/>
        </w:rPr>
        <w:t xml:space="preserve">Anvisa. </w:t>
      </w:r>
      <w:r w:rsidRPr="00754BA5">
        <w:rPr>
          <w:color w:val="000000" w:themeColor="text1"/>
        </w:rPr>
        <w:t>Agência Nacional de Vigilância Sanitária</w:t>
      </w:r>
      <w:r>
        <w:rPr>
          <w:color w:val="000000" w:themeColor="text1"/>
        </w:rPr>
        <w:t xml:space="preserve">. </w:t>
      </w:r>
      <w:r w:rsidRPr="0015399F">
        <w:rPr>
          <w:b/>
          <w:bCs/>
          <w:color w:val="000000" w:themeColor="text1"/>
        </w:rPr>
        <w:t>Rotulagem de Medicamentos</w:t>
      </w:r>
      <w:r>
        <w:rPr>
          <w:color w:val="000000" w:themeColor="text1"/>
        </w:rPr>
        <w:t>. Disponível em</w:t>
      </w:r>
      <w:r w:rsidR="0015399F">
        <w:rPr>
          <w:color w:val="000000" w:themeColor="text1"/>
        </w:rPr>
        <w:t>:</w:t>
      </w:r>
      <w:r w:rsidR="00D70CCD">
        <w:rPr>
          <w:color w:val="000000" w:themeColor="text1"/>
        </w:rPr>
        <w:t xml:space="preserve"> </w:t>
      </w:r>
      <w:r w:rsidRPr="005D4829">
        <w:rPr>
          <w:color w:val="000000" w:themeColor="text1"/>
        </w:rPr>
        <w:t>https://www.gov.br/anvisa/pt-br/setorregulado/regularizacao/</w:t>
      </w:r>
      <w:r w:rsidR="002B2154">
        <w:rPr>
          <w:color w:val="000000" w:themeColor="text1"/>
        </w:rPr>
        <w:t xml:space="preserve"> </w:t>
      </w:r>
      <w:r w:rsidRPr="005D4829">
        <w:rPr>
          <w:color w:val="000000" w:themeColor="text1"/>
        </w:rPr>
        <w:t>medicamentos/bulas-rotulos-e-nome-comercial/rotulagem-de-medicamentos</w:t>
      </w:r>
      <w:r w:rsidR="0015399F">
        <w:rPr>
          <w:color w:val="000000" w:themeColor="text1"/>
        </w:rPr>
        <w:t>. Acesso em: 02 mar. 2025</w:t>
      </w:r>
      <w:r w:rsidR="00EA191C">
        <w:rPr>
          <w:color w:val="000000" w:themeColor="text1"/>
        </w:rPr>
        <w:t>b</w:t>
      </w:r>
      <w:r w:rsidR="0015399F">
        <w:rPr>
          <w:color w:val="000000" w:themeColor="text1"/>
        </w:rPr>
        <w:t>.</w:t>
      </w:r>
    </w:p>
    <w:p w14:paraId="07A7AB7A" w14:textId="49D1C3C1" w:rsidR="00886EFB" w:rsidRPr="00203165" w:rsidRDefault="00886EFB" w:rsidP="00886EFB">
      <w:pPr>
        <w:spacing w:after="240"/>
        <w:ind w:left="284"/>
      </w:pPr>
      <w:r w:rsidRPr="00203165">
        <w:t xml:space="preserve">Bertoldi et al. </w:t>
      </w:r>
      <w:r w:rsidRPr="00C9752E">
        <w:rPr>
          <w:b/>
          <w:bCs/>
        </w:rPr>
        <w:t>Perfil sociodemográfico dos usuários de medicamentos no Brasil</w:t>
      </w:r>
      <w:r w:rsidRPr="00203165">
        <w:t xml:space="preserve">: resultados da PNAUM 2014. </w:t>
      </w:r>
      <w:proofErr w:type="spellStart"/>
      <w:r w:rsidRPr="00203165">
        <w:t>Rev</w:t>
      </w:r>
      <w:proofErr w:type="spellEnd"/>
      <w:r w:rsidRPr="00203165">
        <w:t xml:space="preserve"> Saúde Pública. 2016;50(</w:t>
      </w:r>
      <w:proofErr w:type="spellStart"/>
      <w:r w:rsidRPr="00203165">
        <w:t>supl</w:t>
      </w:r>
      <w:proofErr w:type="spellEnd"/>
      <w:r w:rsidRPr="00203165">
        <w:t xml:space="preserve"> 2):5s.</w:t>
      </w:r>
    </w:p>
    <w:p w14:paraId="466A29B5" w14:textId="77777777" w:rsidR="00886EFB" w:rsidRPr="00C4109D" w:rsidRDefault="00886EFB" w:rsidP="00886EFB">
      <w:pPr>
        <w:spacing w:after="240"/>
        <w:ind w:left="284"/>
      </w:pPr>
      <w:r w:rsidRPr="00C4109D">
        <w:t xml:space="preserve">BRASIL. 1996. </w:t>
      </w:r>
      <w:r w:rsidRPr="00C9752E">
        <w:rPr>
          <w:b/>
          <w:bCs/>
        </w:rPr>
        <w:t>Lei nº 9.279</w:t>
      </w:r>
      <w:r w:rsidRPr="00C4109D">
        <w:t>, de 14 de maio de 1996. Regula direitos e obrigações relativos à propriedade industrial. Disponível em: https://www.planalto.gov.br/ccivil_03/leis/</w:t>
      </w:r>
      <w:r>
        <w:t xml:space="preserve"> </w:t>
      </w:r>
      <w:r w:rsidRPr="00C4109D">
        <w:t>l9279.htm. Acesso em: 9 nov. 2023.</w:t>
      </w:r>
    </w:p>
    <w:p w14:paraId="71CEDC0B" w14:textId="77777777" w:rsidR="00886EFB" w:rsidRDefault="00886EFB" w:rsidP="00886EFB">
      <w:pPr>
        <w:ind w:left="284"/>
      </w:pPr>
      <w:r w:rsidRPr="008C7C9F">
        <w:t xml:space="preserve">BRASIL. 2022. </w:t>
      </w:r>
      <w:r w:rsidRPr="00C9752E">
        <w:rPr>
          <w:b/>
          <w:bCs/>
        </w:rPr>
        <w:t>RDC nº 768</w:t>
      </w:r>
      <w:r w:rsidRPr="008C7C9F">
        <w:t xml:space="preserve">, de 12 de dezembro de 2022. </w:t>
      </w:r>
      <w:r w:rsidRPr="009455A2">
        <w:t>Estabelece as regras para a rotulagem de medicamentos</w:t>
      </w:r>
      <w:r w:rsidRPr="008C7C9F">
        <w:t xml:space="preserve">. Disponível em: </w:t>
      </w:r>
      <w:hyperlink r:id="rId13" w:history="1">
        <w:r w:rsidRPr="008C7C9F">
          <w:rPr>
            <w:rStyle w:val="Hyperlink"/>
            <w:color w:val="auto"/>
            <w:u w:val="none"/>
          </w:rPr>
          <w:t>https://in.gov.br/en/web/dou/-/resolucao-rdc-n-768-de-12-de-dezembro-de-2022-450312757</w:t>
        </w:r>
      </w:hyperlink>
      <w:r w:rsidRPr="008C7C9F">
        <w:t>. Acesso em: 8 fev. 2025.</w:t>
      </w:r>
      <w:r>
        <w:t xml:space="preserve"> </w:t>
      </w:r>
    </w:p>
    <w:p w14:paraId="27DC834A" w14:textId="77777777" w:rsidR="00886EFB" w:rsidRDefault="00886EFB" w:rsidP="00886EFB">
      <w:pPr>
        <w:ind w:left="284"/>
      </w:pPr>
    </w:p>
    <w:p w14:paraId="51A579EF" w14:textId="77777777" w:rsidR="00886EFB" w:rsidRPr="00873D1C" w:rsidRDefault="00886EFB" w:rsidP="00886EFB">
      <w:pPr>
        <w:spacing w:after="120"/>
        <w:ind w:left="284"/>
      </w:pPr>
      <w:r w:rsidRPr="00873D1C">
        <w:t xml:space="preserve">Bueno, E., </w:t>
      </w:r>
      <w:proofErr w:type="spellStart"/>
      <w:r w:rsidRPr="00873D1C">
        <w:t>Taitelbaum</w:t>
      </w:r>
      <w:proofErr w:type="spellEnd"/>
      <w:r w:rsidRPr="00873D1C">
        <w:t xml:space="preserve">, P. </w:t>
      </w:r>
      <w:r w:rsidRPr="00873D1C">
        <w:rPr>
          <w:b/>
          <w:bCs/>
        </w:rPr>
        <w:t>Vendendo Saúde</w:t>
      </w:r>
      <w:r w:rsidRPr="00873D1C">
        <w:t>: história da propaganda de medicamentos no Brasil. Brasília: ANVISA, 2008. Disponível em: https://www.gov.br/anvisa/pt-br/</w:t>
      </w:r>
      <w:r w:rsidRPr="00873D1C">
        <w:br/>
        <w:t>centraisdeconteudo/publicacoes/educacao-e-pesquisa/publicacoes-sobre-educacao-e-pesquisa/vendendo-saude-a-historia-da-propaganda-de-medicamentos-no-brasil.pdf/view. Acesso em: 20 jun. 2023</w:t>
      </w:r>
    </w:p>
    <w:p w14:paraId="5443ADAD" w14:textId="77777777" w:rsidR="00886EFB" w:rsidRPr="00825009" w:rsidRDefault="00886EFB" w:rsidP="00886EFB">
      <w:pPr>
        <w:spacing w:after="240"/>
        <w:ind w:left="284"/>
      </w:pPr>
      <w:r w:rsidRPr="008E4C5F">
        <w:t xml:space="preserve">Cavalcanti, Pedro; Chagas, Carmo. </w:t>
      </w:r>
      <w:r w:rsidRPr="008E4C5F">
        <w:rPr>
          <w:b/>
          <w:bCs/>
        </w:rPr>
        <w:t>História da Embalagem no Brasil</w:t>
      </w:r>
      <w:r w:rsidRPr="008E4C5F">
        <w:t>. São Paulo: ABRE, 2006.</w:t>
      </w:r>
    </w:p>
    <w:p w14:paraId="169DD1C6" w14:textId="36FE77A1" w:rsidR="001646CA" w:rsidRPr="00252DF4" w:rsidRDefault="001646CA" w:rsidP="001646CA">
      <w:pPr>
        <w:spacing w:after="240"/>
        <w:ind w:left="284"/>
      </w:pPr>
      <w:r w:rsidRPr="00252DF4">
        <w:t>COLORLITELENS</w:t>
      </w:r>
      <w:r>
        <w:t xml:space="preserve">. </w:t>
      </w:r>
      <w:r w:rsidRPr="00252DF4">
        <w:t>Simulador de Daltonismo. Disponível em: https://www.pt.color</w:t>
      </w:r>
      <w:r w:rsidR="00D975EE">
        <w:t xml:space="preserve"> </w:t>
      </w:r>
      <w:r w:rsidRPr="00252DF4">
        <w:t>litelens.com/</w:t>
      </w:r>
      <w:r w:rsidR="00D975EE">
        <w:t xml:space="preserve"> </w:t>
      </w:r>
      <w:proofErr w:type="spellStart"/>
      <w:r w:rsidRPr="00252DF4">
        <w:t>images</w:t>
      </w:r>
      <w:proofErr w:type="spellEnd"/>
      <w:r w:rsidRPr="00252DF4">
        <w:t>/</w:t>
      </w:r>
      <w:proofErr w:type="spellStart"/>
      <w:r w:rsidRPr="00252DF4">
        <w:t>tesztek</w:t>
      </w:r>
      <w:proofErr w:type="spellEnd"/>
      <w:r w:rsidRPr="00252DF4">
        <w:t xml:space="preserve"> /</w:t>
      </w:r>
      <w:proofErr w:type="spellStart"/>
      <w:r w:rsidRPr="00252DF4">
        <w:t>simulator</w:t>
      </w:r>
      <w:proofErr w:type="spellEnd"/>
      <w:r w:rsidRPr="00252DF4">
        <w:t>/index.html. Acesso em: 02 fev. 2025.</w:t>
      </w:r>
    </w:p>
    <w:p w14:paraId="23625226" w14:textId="77777777" w:rsidR="00117CFB" w:rsidRPr="00117CFB" w:rsidRDefault="00117CFB" w:rsidP="00117CFB">
      <w:pPr>
        <w:spacing w:after="240"/>
        <w:ind w:left="284"/>
      </w:pPr>
      <w:r w:rsidRPr="00117CFB">
        <w:t xml:space="preserve">CONSUMO SUSTENTÁVEL: Manual de educação. Brasília: </w:t>
      </w:r>
      <w:proofErr w:type="spellStart"/>
      <w:r w:rsidRPr="00117CFB">
        <w:t>Consumers</w:t>
      </w:r>
      <w:proofErr w:type="spellEnd"/>
      <w:r w:rsidRPr="00117CFB">
        <w:t xml:space="preserve"> </w:t>
      </w:r>
      <w:proofErr w:type="spellStart"/>
      <w:r w:rsidRPr="00117CFB">
        <w:t>International</w:t>
      </w:r>
      <w:proofErr w:type="spellEnd"/>
      <w:r w:rsidRPr="00117CFB">
        <w:t>/ MMA/ MEC/ IDEC, 2005. Disponível em: https://semil.sp.gov.br/educacaoambiental /prateleira-ambiental/manual-de-educacao-para-o-consumo-sustentavel/. Acesso em: 08 fev. 2025.</w:t>
      </w:r>
    </w:p>
    <w:p w14:paraId="436A963F" w14:textId="6665AF09" w:rsidR="00886EFB" w:rsidRDefault="00886EFB" w:rsidP="00886EFB">
      <w:pPr>
        <w:spacing w:after="120"/>
        <w:ind w:left="284"/>
      </w:pPr>
      <w:r w:rsidRPr="0058347F">
        <w:lastRenderedPageBreak/>
        <w:t xml:space="preserve">IBGE. </w:t>
      </w:r>
      <w:r w:rsidRPr="0058347F">
        <w:rPr>
          <w:b/>
          <w:bCs/>
        </w:rPr>
        <w:t>PNS 2019</w:t>
      </w:r>
      <w:r w:rsidRPr="0058347F">
        <w:t>: país tem 17,3 milhões de pessoas com algum tipo de deficiência. Disponível em: https://agenciadenoticias.ibge.gov.br/agencia-sala-de-imprensa/2013-agencia-de-noticias/releases/31445-pns-2019-pais-tem-17-3-milhoes-de-pessoas-com-algum-tipo-de-deficiencia. Acesso em: 01 jul. 2024.</w:t>
      </w:r>
    </w:p>
    <w:p w14:paraId="1B795CC4" w14:textId="77777777" w:rsidR="00886EFB" w:rsidRPr="0058347F" w:rsidRDefault="00886EFB" w:rsidP="00886EFB">
      <w:pPr>
        <w:spacing w:after="240"/>
        <w:ind w:left="284"/>
      </w:pPr>
      <w:r w:rsidRPr="0058347F">
        <w:t>ICTQ. Pesquisa: automedicação no Brasil. Disponível em: https://www.ictq.com.br/pesquisa-do-ictq/871-pesquisa-automedicacao-no-brasil-2018. Acesso em: 7 dez. 2023.</w:t>
      </w:r>
    </w:p>
    <w:p w14:paraId="773D9203" w14:textId="77777777" w:rsidR="00D53CA5" w:rsidRPr="00D53CA5" w:rsidRDefault="00D53CA5" w:rsidP="00D53CA5">
      <w:pPr>
        <w:spacing w:after="240"/>
        <w:ind w:left="284"/>
      </w:pPr>
      <w:r w:rsidRPr="00D53CA5">
        <w:t xml:space="preserve">ISMP Brasil. Instituto para Práticas Seguras no Uso de Medicamentos. </w:t>
      </w:r>
      <w:r w:rsidRPr="00D53CA5">
        <w:rPr>
          <w:b/>
          <w:bCs/>
        </w:rPr>
        <w:t xml:space="preserve">Segurança de rótulos e embalagens de medicamentos. </w:t>
      </w:r>
      <w:r w:rsidRPr="00D53CA5">
        <w:t xml:space="preserve">v. 12. n.1. </w:t>
      </w:r>
      <w:proofErr w:type="gramStart"/>
      <w:r w:rsidRPr="00D53CA5">
        <w:t>Abril</w:t>
      </w:r>
      <w:proofErr w:type="gramEnd"/>
      <w:r w:rsidRPr="00D53CA5">
        <w:t>, 2023. ISSN: 2317-2312. Disponível em: https://www.ismp-brasil.org/site/wp-content/uploads/2023/04/ Boletim_ ISMP_ Brasil_Rotulos-e-embalagens.pdf.  Acesso em: 07 mar. 2025.</w:t>
      </w:r>
    </w:p>
    <w:p w14:paraId="70F3FB69" w14:textId="769615D3" w:rsidR="00FA32AB" w:rsidRDefault="00FA32AB" w:rsidP="00FA32AB">
      <w:pPr>
        <w:spacing w:after="120"/>
        <w:ind w:left="284"/>
        <w:rPr>
          <w:color w:val="000000" w:themeColor="text1"/>
        </w:rPr>
      </w:pPr>
      <w:r w:rsidRPr="00C707EA">
        <w:rPr>
          <w:color w:val="000000" w:themeColor="text1"/>
        </w:rPr>
        <w:t>Gasparetto</w:t>
      </w:r>
      <w:r w:rsidRPr="00FA32AB">
        <w:rPr>
          <w:color w:val="000000" w:themeColor="text1"/>
        </w:rPr>
        <w:t xml:space="preserve">, </w:t>
      </w:r>
      <w:r w:rsidRPr="00C707EA">
        <w:rPr>
          <w:color w:val="000000" w:themeColor="text1"/>
        </w:rPr>
        <w:t>Maria Elisabete R</w:t>
      </w:r>
      <w:r w:rsidRPr="00FA32AB">
        <w:rPr>
          <w:color w:val="000000" w:themeColor="text1"/>
        </w:rPr>
        <w:t xml:space="preserve">. </w:t>
      </w:r>
      <w:r w:rsidRPr="00C707EA">
        <w:rPr>
          <w:color w:val="000000" w:themeColor="text1"/>
        </w:rPr>
        <w:t>F</w:t>
      </w:r>
      <w:r w:rsidRPr="00FA32AB">
        <w:rPr>
          <w:color w:val="000000" w:themeColor="text1"/>
        </w:rPr>
        <w:t>.</w:t>
      </w:r>
      <w:r>
        <w:rPr>
          <w:color w:val="000000" w:themeColor="text1"/>
        </w:rPr>
        <w:t xml:space="preserve"> </w:t>
      </w:r>
      <w:r w:rsidRPr="00C707EA">
        <w:rPr>
          <w:b/>
          <w:bCs/>
          <w:color w:val="000000" w:themeColor="text1"/>
        </w:rPr>
        <w:t>Perda visual em idosos</w:t>
      </w:r>
      <w:r w:rsidRPr="00FA32AB">
        <w:rPr>
          <w:b/>
          <w:bCs/>
          <w:color w:val="000000" w:themeColor="text1"/>
        </w:rPr>
        <w:t>.</w:t>
      </w:r>
      <w:r>
        <w:rPr>
          <w:color w:val="000000" w:themeColor="text1"/>
        </w:rPr>
        <w:t xml:space="preserve"> </w:t>
      </w:r>
      <w:r w:rsidRPr="00C707EA">
        <w:rPr>
          <w:color w:val="000000" w:themeColor="text1"/>
        </w:rPr>
        <w:t>CEPRE</w:t>
      </w:r>
      <w:r>
        <w:rPr>
          <w:color w:val="000000" w:themeColor="text1"/>
        </w:rPr>
        <w:t xml:space="preserve">. </w:t>
      </w:r>
      <w:r w:rsidRPr="00C707EA">
        <w:rPr>
          <w:color w:val="000000" w:themeColor="text1"/>
        </w:rPr>
        <w:t>FCM</w:t>
      </w:r>
      <w:r>
        <w:rPr>
          <w:color w:val="000000" w:themeColor="text1"/>
        </w:rPr>
        <w:t xml:space="preserve">. </w:t>
      </w:r>
      <w:r w:rsidRPr="00C707EA">
        <w:rPr>
          <w:color w:val="000000" w:themeColor="text1"/>
        </w:rPr>
        <w:t>UNICAMP</w:t>
      </w:r>
      <w:r>
        <w:rPr>
          <w:color w:val="000000" w:themeColor="text1"/>
        </w:rPr>
        <w:t xml:space="preserve">. Disponível em: </w:t>
      </w:r>
      <w:r w:rsidRPr="009E498E">
        <w:rPr>
          <w:color w:val="000000" w:themeColor="text1"/>
        </w:rPr>
        <w:t>https://www.fcm.unicamp.br/auxilios-opticos/perda-visual-em-idosos</w:t>
      </w:r>
      <w:r>
        <w:rPr>
          <w:color w:val="000000" w:themeColor="text1"/>
        </w:rPr>
        <w:t>. Acesso em: 07 fev. 2025</w:t>
      </w:r>
    </w:p>
    <w:p w14:paraId="08815D2E" w14:textId="34E25A0E" w:rsidR="00886EFB" w:rsidRPr="004E1510" w:rsidRDefault="00886EFB" w:rsidP="00886EFB">
      <w:pPr>
        <w:spacing w:after="240"/>
        <w:ind w:left="284"/>
      </w:pPr>
      <w:r w:rsidRPr="00026C01">
        <w:t xml:space="preserve">Kotler, Philip.; Keller, Kevin L. </w:t>
      </w:r>
      <w:r w:rsidRPr="00026C01">
        <w:rPr>
          <w:b/>
          <w:bCs/>
        </w:rPr>
        <w:t xml:space="preserve">Administração de marketing. </w:t>
      </w:r>
      <w:r w:rsidRPr="004E1510">
        <w:t xml:space="preserve">15. ed. São Paulo: Pearson </w:t>
      </w:r>
      <w:proofErr w:type="spellStart"/>
      <w:r w:rsidRPr="004E1510">
        <w:t>Education</w:t>
      </w:r>
      <w:proofErr w:type="spellEnd"/>
      <w:r w:rsidRPr="004E1510">
        <w:t xml:space="preserve"> do Brasil, 2018.</w:t>
      </w:r>
    </w:p>
    <w:p w14:paraId="69B2DA7D" w14:textId="61E8CD16" w:rsidR="00886EFB" w:rsidRPr="001925FF" w:rsidRDefault="00886EFB" w:rsidP="00886EFB">
      <w:pPr>
        <w:spacing w:after="240"/>
        <w:ind w:left="284"/>
      </w:pPr>
      <w:r w:rsidRPr="001925FF">
        <w:t xml:space="preserve">Mestriner, Fábio. </w:t>
      </w:r>
      <w:r w:rsidRPr="00C9752E">
        <w:rPr>
          <w:b/>
          <w:bCs/>
        </w:rPr>
        <w:t>Design de embalagens</w:t>
      </w:r>
      <w:r w:rsidRPr="001925FF">
        <w:t>. Disponível em: https://www.mestriner.</w:t>
      </w:r>
      <w:r w:rsidR="00D975EE">
        <w:t xml:space="preserve"> </w:t>
      </w:r>
      <w:r w:rsidRPr="001925FF">
        <w:t>com.br/</w:t>
      </w:r>
      <w:r w:rsidR="00D975EE">
        <w:t xml:space="preserve"> </w:t>
      </w:r>
      <w:proofErr w:type="gramStart"/>
      <w:r w:rsidRPr="001925FF">
        <w:t>ebook/guia-design-de-embalagens.pdf .</w:t>
      </w:r>
      <w:proofErr w:type="gramEnd"/>
      <w:r w:rsidRPr="001925FF">
        <w:t xml:space="preserve"> Acesso em: 20 jun. 2024.</w:t>
      </w:r>
    </w:p>
    <w:p w14:paraId="0D74E9DF" w14:textId="77777777" w:rsidR="00886EFB" w:rsidRPr="009F2E93" w:rsidRDefault="00886EFB" w:rsidP="00886EFB">
      <w:pPr>
        <w:spacing w:after="240"/>
        <w:ind w:left="284"/>
      </w:pPr>
      <w:r w:rsidRPr="009F2E93">
        <w:t xml:space="preserve">NAÇÕES Unidas Brasil. </w:t>
      </w:r>
      <w:r w:rsidRPr="00C9752E">
        <w:rPr>
          <w:b/>
          <w:bCs/>
        </w:rPr>
        <w:t>Objetivos de Desenvolvimento Sustentável</w:t>
      </w:r>
      <w:r w:rsidRPr="009F2E93">
        <w:t xml:space="preserve">. Disponível:  https://brasil.un.org/pt-br/sdgs. Acesso em: </w:t>
      </w:r>
      <w:r>
        <w:t>3</w:t>
      </w:r>
      <w:r w:rsidRPr="009F2E93">
        <w:t xml:space="preserve"> </w:t>
      </w:r>
      <w:r>
        <w:t>fev</w:t>
      </w:r>
      <w:r w:rsidRPr="009F2E93">
        <w:t>. 202</w:t>
      </w:r>
      <w:r>
        <w:t>5</w:t>
      </w:r>
      <w:r w:rsidRPr="009F2E93">
        <w:t>.</w:t>
      </w:r>
    </w:p>
    <w:p w14:paraId="593CB82C" w14:textId="77777777" w:rsidR="00886EFB" w:rsidRPr="00B015CB" w:rsidRDefault="00886EFB" w:rsidP="00886EFB">
      <w:pPr>
        <w:spacing w:after="240"/>
        <w:ind w:left="284"/>
      </w:pPr>
      <w:r w:rsidRPr="00B015CB">
        <w:t xml:space="preserve">Negrão, Celso; Camargo, </w:t>
      </w:r>
      <w:proofErr w:type="spellStart"/>
      <w:r w:rsidRPr="00B015CB">
        <w:t>Eleida</w:t>
      </w:r>
      <w:proofErr w:type="spellEnd"/>
      <w:r w:rsidRPr="00B015CB">
        <w:t xml:space="preserve"> P. </w:t>
      </w:r>
      <w:r w:rsidRPr="00B015CB">
        <w:rPr>
          <w:b/>
          <w:bCs/>
        </w:rPr>
        <w:t>Design de embalagem</w:t>
      </w:r>
      <w:r w:rsidRPr="00B015CB">
        <w:t xml:space="preserve">: do marketing à produção. São Paulo: </w:t>
      </w:r>
      <w:proofErr w:type="spellStart"/>
      <w:r w:rsidRPr="00B015CB">
        <w:t>Novatec</w:t>
      </w:r>
      <w:proofErr w:type="spellEnd"/>
      <w:r w:rsidRPr="00B015CB">
        <w:t xml:space="preserve">, 2008. </w:t>
      </w:r>
    </w:p>
    <w:p w14:paraId="6AD82A08" w14:textId="479A7D3D" w:rsidR="00886EFB" w:rsidRPr="00644F2A" w:rsidRDefault="00886EFB" w:rsidP="00886EFB">
      <w:pPr>
        <w:spacing w:after="240"/>
        <w:ind w:left="284"/>
      </w:pPr>
      <w:r w:rsidRPr="00644F2A">
        <w:t xml:space="preserve">OMS. Organização Mundial de Saúde. Envelhecimento ativo: uma política de </w:t>
      </w:r>
      <w:proofErr w:type="gramStart"/>
      <w:r w:rsidRPr="00644F2A">
        <w:t>saúde .</w:t>
      </w:r>
      <w:proofErr w:type="gramEnd"/>
      <w:r w:rsidRPr="00644F2A">
        <w:t xml:space="preserve"> Brasília:</w:t>
      </w:r>
      <w:r w:rsidR="006138D4" w:rsidRPr="00644F2A">
        <w:t xml:space="preserve">  </w:t>
      </w:r>
      <w:r w:rsidRPr="00644F2A">
        <w:t>OPAS, 2005. Disponível em: http://bvsms.saude.gov.br/bvs/publicacoes/ envelhecimento_ativo.pdf. Acesso em: 01 jul. 2024</w:t>
      </w:r>
    </w:p>
    <w:p w14:paraId="01D15BDD" w14:textId="77777777" w:rsidR="00886EFB" w:rsidRPr="006138D4" w:rsidRDefault="00886EFB" w:rsidP="00886EFB">
      <w:pPr>
        <w:spacing w:after="240"/>
        <w:ind w:left="284"/>
      </w:pPr>
      <w:r w:rsidRPr="006138D4">
        <w:t>PANORAMA FARMACÊUTICO. Disponível em: https://panoramafarmaceutico.com.br/ ranking-maiores-empresas-do-varejo. Acesso em: 9 nov. 2023</w:t>
      </w:r>
    </w:p>
    <w:p w14:paraId="27F78673" w14:textId="1EF5960B" w:rsidR="00886EFB" w:rsidRPr="00A050B3" w:rsidRDefault="00886EFB" w:rsidP="00886EFB">
      <w:pPr>
        <w:spacing w:after="240"/>
        <w:ind w:left="284"/>
      </w:pPr>
      <w:r w:rsidRPr="00A050B3">
        <w:t xml:space="preserve">SCMED. Secretaria Executiva da Câmara de Regulação do Mercado de Medicamentos. </w:t>
      </w:r>
      <w:r w:rsidRPr="00886EFB">
        <w:rPr>
          <w:b/>
          <w:bCs/>
        </w:rPr>
        <w:t>Anuário Estatístico do Mercado Farmacêutico 2022</w:t>
      </w:r>
      <w:r w:rsidRPr="00A050B3">
        <w:t>. Disponível em: https://www.gov.br/anvisa/pt-br/centraisdeconteudo/publicacoes/medicamentos/cmed/</w:t>
      </w:r>
      <w:r>
        <w:t xml:space="preserve"> </w:t>
      </w:r>
      <w:r w:rsidRPr="00A050B3">
        <w:t xml:space="preserve">anuario-estatistico-2022. Acesso em 8 nov. 2023.   </w:t>
      </w:r>
    </w:p>
    <w:p w14:paraId="5DEDBB99" w14:textId="77777777" w:rsidR="00886EFB" w:rsidRPr="00FA32AB" w:rsidRDefault="00886EFB" w:rsidP="00886EFB">
      <w:pPr>
        <w:spacing w:after="240"/>
        <w:ind w:left="284"/>
      </w:pPr>
      <w:r w:rsidRPr="00FA32AB">
        <w:t>SECOM. Secretaria de Comunicação Social. Políticas Públicas. 2023. Disponível em: https://www.gov.br/secom/pt-br/assuntos/noticias/2023/10/censo-2022-numero-de-idosos-na-populacao-do-pais-cresceu-57-4-em-12-anos. Acesso em: 01 jul. 2024.</w:t>
      </w:r>
    </w:p>
    <w:p w14:paraId="3E582E41" w14:textId="77777777" w:rsidR="00644F2A" w:rsidRPr="00853E9F" w:rsidRDefault="00644F2A" w:rsidP="00644F2A">
      <w:pPr>
        <w:spacing w:after="240"/>
        <w:ind w:left="284"/>
      </w:pPr>
      <w:r w:rsidRPr="00C410AD">
        <w:t xml:space="preserve">Mateus, Samuel. </w:t>
      </w:r>
      <w:r w:rsidRPr="00C410AD">
        <w:rPr>
          <w:b/>
          <w:bCs/>
        </w:rPr>
        <w:t xml:space="preserve">Introdução à retórica no séc. XXI. </w:t>
      </w:r>
      <w:proofErr w:type="spellStart"/>
      <w:r w:rsidRPr="00C410AD">
        <w:t>Covilhã</w:t>
      </w:r>
      <w:proofErr w:type="spellEnd"/>
      <w:r w:rsidRPr="00C410AD">
        <w:t xml:space="preserve">: 2018. Disponível em: https://www.researchgate.net/publication/324841048_INTRODUCAO_A_RETORICA_NO_SEC_XXI. </w:t>
      </w:r>
      <w:r w:rsidRPr="00853E9F">
        <w:t>Acesso em: 15 jun. 2019.</w:t>
      </w:r>
    </w:p>
    <w:p w14:paraId="106287A1" w14:textId="6C2CF1F8" w:rsidR="00886EFB" w:rsidRPr="007E0E62" w:rsidRDefault="00886EFB" w:rsidP="00886EFB">
      <w:pPr>
        <w:spacing w:after="240"/>
        <w:ind w:left="284"/>
      </w:pPr>
      <w:r w:rsidRPr="00644F2A">
        <w:rPr>
          <w:b/>
          <w:bCs/>
        </w:rPr>
        <w:t>Objetivos de Desenvolvimento Sustentável</w:t>
      </w:r>
      <w:r w:rsidR="00D975EE">
        <w:rPr>
          <w:b/>
          <w:bCs/>
        </w:rPr>
        <w:t xml:space="preserve"> </w:t>
      </w:r>
      <w:r w:rsidRPr="007E0E62">
        <w:t>(ODS). Ministério das Relações Exteriores. Disponível em: https://www.gov.br/mre/pt-br/assuntos/desenvolvimento-sustentavel-e-</w:t>
      </w:r>
      <w:r w:rsidRPr="007E0E62">
        <w:lastRenderedPageBreak/>
        <w:t>meio-ambiente/desenvolvimento-sustentavel/objetivos-de-desenvolvimento-sustentavel-ods</w:t>
      </w:r>
      <w:r w:rsidR="00644F2A">
        <w:t>.</w:t>
      </w:r>
    </w:p>
    <w:p w14:paraId="06C831F6" w14:textId="77777777" w:rsidR="00886EFB" w:rsidRPr="00C410AD" w:rsidRDefault="00886EFB" w:rsidP="00886EFB">
      <w:pPr>
        <w:spacing w:after="240"/>
        <w:ind w:left="284"/>
      </w:pPr>
      <w:r w:rsidRPr="00C410AD">
        <w:t xml:space="preserve">Santaella, Lúcia. </w:t>
      </w:r>
      <w:r w:rsidRPr="00C410AD">
        <w:rPr>
          <w:b/>
          <w:bCs/>
        </w:rPr>
        <w:t>Matrizes da Linguagem e Pensamento</w:t>
      </w:r>
      <w:r w:rsidRPr="00C410AD">
        <w:t>. São Paulo: Iluminuras, 2001.</w:t>
      </w:r>
    </w:p>
    <w:p w14:paraId="49314CFC" w14:textId="77777777" w:rsidR="00886EFB" w:rsidRPr="00A050B3" w:rsidRDefault="00886EFB" w:rsidP="00886EFB">
      <w:pPr>
        <w:spacing w:after="240"/>
        <w:ind w:left="284"/>
        <w:rPr>
          <w:lang w:val="en-US"/>
        </w:rPr>
      </w:pPr>
      <w:proofErr w:type="spellStart"/>
      <w:r w:rsidRPr="00A050B3">
        <w:t>Pilditch</w:t>
      </w:r>
      <w:proofErr w:type="spellEnd"/>
      <w:r w:rsidRPr="00A050B3">
        <w:t xml:space="preserve">, James. </w:t>
      </w:r>
      <w:r w:rsidRPr="00C410AD">
        <w:rPr>
          <w:b/>
          <w:bCs/>
          <w:lang w:val="en-US"/>
        </w:rPr>
        <w:t>The silent salesman</w:t>
      </w:r>
      <w:r w:rsidRPr="00A050B3">
        <w:rPr>
          <w:lang w:val="en-US"/>
        </w:rPr>
        <w:t>. London: Harper &amp; Row, 1961.</w:t>
      </w:r>
    </w:p>
    <w:p w14:paraId="52068A04" w14:textId="77777777" w:rsidR="00886EFB" w:rsidRPr="00C9752E" w:rsidRDefault="00886EFB" w:rsidP="00886EFB">
      <w:pPr>
        <w:spacing w:after="240"/>
        <w:ind w:left="284"/>
      </w:pPr>
      <w:proofErr w:type="spellStart"/>
      <w:r w:rsidRPr="00C9752E">
        <w:t>Woloszyn</w:t>
      </w:r>
      <w:proofErr w:type="spellEnd"/>
      <w:r w:rsidRPr="00C9752E">
        <w:t xml:space="preserve">, Maíra; </w:t>
      </w:r>
      <w:proofErr w:type="spellStart"/>
      <w:r w:rsidRPr="00C9752E">
        <w:t>Meürer</w:t>
      </w:r>
      <w:proofErr w:type="spellEnd"/>
      <w:r w:rsidRPr="00C9752E">
        <w:t xml:space="preserve">, Mary </w:t>
      </w:r>
      <w:proofErr w:type="spellStart"/>
      <w:r w:rsidRPr="00C9752E">
        <w:t>Vonni</w:t>
      </w:r>
      <w:proofErr w:type="spellEnd"/>
      <w:r w:rsidRPr="00C9752E">
        <w:t>; "Recomendações para aplicação da tipografia no contexto da baixa visão: uma avaliação com usuários", p. 1063-</w:t>
      </w:r>
      <w:proofErr w:type="gramStart"/>
      <w:r w:rsidRPr="00C9752E">
        <w:t>1076 .</w:t>
      </w:r>
      <w:proofErr w:type="gramEnd"/>
      <w:r w:rsidRPr="00C9752E">
        <w:t xml:space="preserve"> In: </w:t>
      </w:r>
      <w:r w:rsidRPr="00C9752E">
        <w:rPr>
          <w:b/>
          <w:bCs/>
        </w:rPr>
        <w:t>Anais do 10º CIDI | Congresso Internacional de Design da Informação, edição 2021 e do 10º CONGIC | Congresso Nacional de Iniciação Científica em Design da Informação</w:t>
      </w:r>
      <w:r w:rsidRPr="00C9752E">
        <w:t>. São Paulo: Blucher, 2021. ISSN 2318-6968</w:t>
      </w:r>
    </w:p>
    <w:sectPr w:rsidR="00886EFB" w:rsidRPr="00C9752E">
      <w:headerReference w:type="default" r:id="rId14"/>
      <w:footerReference w:type="even" r:id="rId15"/>
      <w:footerReference w:type="default" r:id="rId16"/>
      <w:footerReference w:type="first" r:id="rId17"/>
      <w:pgSz w:w="11907" w:h="16840"/>
      <w:pgMar w:top="1701" w:right="1134" w:bottom="1134" w:left="1701" w:header="57" w:footer="22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BF73F" w14:textId="77777777" w:rsidR="001E5E2B" w:rsidRDefault="001E5E2B">
      <w:r>
        <w:separator/>
      </w:r>
    </w:p>
  </w:endnote>
  <w:endnote w:type="continuationSeparator" w:id="0">
    <w:p w14:paraId="530D98F2" w14:textId="77777777" w:rsidR="001E5E2B" w:rsidRDefault="001E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TDRO R+ Bulldog">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3DB0" w14:textId="77777777" w:rsidR="009556AB" w:rsidRDefault="009556AB">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6658756F" w14:textId="77777777" w:rsidR="009556AB" w:rsidRDefault="00000000">
    <w:pPr>
      <w:widowControl w:val="0"/>
      <w:rPr>
        <w:sz w:val="22"/>
        <w:szCs w:val="22"/>
      </w:rPr>
    </w:pPr>
    <w:r>
      <w:rPr>
        <w:rFonts w:ascii="Arial" w:eastAsia="Arial" w:hAnsi="Arial" w:cs="Arial"/>
        <w:b/>
        <w:sz w:val="18"/>
        <w:szCs w:val="18"/>
      </w:rPr>
      <w:t xml:space="preserve">Estudos em Design </w:t>
    </w:r>
    <w:r>
      <w:rPr>
        <w:rFonts w:ascii="Arial" w:eastAsia="Arial" w:hAnsi="Arial" w:cs="Arial"/>
        <w:sz w:val="18"/>
        <w:szCs w:val="18"/>
      </w:rPr>
      <w:t xml:space="preserve">| Revista (online). Rio de Janeiro: v. </w:t>
    </w:r>
    <w:r>
      <w:rPr>
        <w:rFonts w:ascii="Arial" w:eastAsia="Arial" w:hAnsi="Arial" w:cs="Arial"/>
        <w:color w:val="FF0000"/>
        <w:sz w:val="18"/>
        <w:szCs w:val="18"/>
      </w:rPr>
      <w:t>X</w:t>
    </w:r>
    <w:r>
      <w:rPr>
        <w:rFonts w:ascii="Arial" w:eastAsia="Arial" w:hAnsi="Arial" w:cs="Arial"/>
        <w:sz w:val="18"/>
        <w:szCs w:val="18"/>
      </w:rPr>
      <w:t xml:space="preserve"> | n. </w:t>
    </w:r>
    <w:r>
      <w:rPr>
        <w:rFonts w:ascii="Arial" w:eastAsia="Arial" w:hAnsi="Arial" w:cs="Arial"/>
        <w:color w:val="FF0000"/>
        <w:sz w:val="18"/>
        <w:szCs w:val="18"/>
      </w:rPr>
      <w:t>X</w:t>
    </w:r>
    <w:r>
      <w:rPr>
        <w:rFonts w:ascii="Arial" w:eastAsia="Arial" w:hAnsi="Arial" w:cs="Arial"/>
        <w:sz w:val="18"/>
        <w:szCs w:val="18"/>
      </w:rPr>
      <w:t xml:space="preserve"> [</w:t>
    </w:r>
    <w:r>
      <w:rPr>
        <w:rFonts w:ascii="Arial" w:eastAsia="Arial" w:hAnsi="Arial" w:cs="Arial"/>
        <w:color w:val="FF0000"/>
        <w:sz w:val="18"/>
        <w:szCs w:val="18"/>
      </w:rPr>
      <w:t>ANO</w:t>
    </w:r>
    <w:r>
      <w:rPr>
        <w:rFonts w:ascii="Arial" w:eastAsia="Arial" w:hAnsi="Arial" w:cs="Arial"/>
        <w:sz w:val="18"/>
        <w:szCs w:val="18"/>
      </w:rPr>
      <w:t xml:space="preserve">], p. </w:t>
    </w:r>
    <w:r>
      <w:rPr>
        <w:rFonts w:ascii="Arial" w:eastAsia="Arial" w:hAnsi="Arial" w:cs="Arial"/>
        <w:color w:val="FF0000"/>
        <w:sz w:val="18"/>
        <w:szCs w:val="18"/>
      </w:rPr>
      <w:t>X – X</w:t>
    </w:r>
    <w:r>
      <w:rPr>
        <w:rFonts w:ascii="Arial" w:eastAsia="Arial" w:hAnsi="Arial" w:cs="Arial"/>
        <w:sz w:val="18"/>
        <w:szCs w:val="18"/>
      </w:rPr>
      <w:t xml:space="preserve"> | ISSN </w:t>
    </w:r>
    <w:r>
      <w:rPr>
        <w:rFonts w:ascii="Verdana" w:eastAsia="Verdana" w:hAnsi="Verdana" w:cs="Verdana"/>
        <w:sz w:val="17"/>
        <w:szCs w:val="17"/>
      </w:rPr>
      <w:t>1983-196X</w:t>
    </w:r>
  </w:p>
  <w:p w14:paraId="6A9DFDC3" w14:textId="77777777" w:rsidR="009556AB" w:rsidRDefault="009556A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4A1D04E5" w14:textId="77777777" w:rsidR="009556AB" w:rsidRDefault="009556AB">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5651A3FA" w14:textId="77777777" w:rsidR="009556AB" w:rsidRDefault="009556A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EF1" w14:textId="77777777" w:rsidR="009556AB" w:rsidRDefault="009556AB">
    <w:pPr>
      <w:widowControl w:val="0"/>
      <w:rPr>
        <w:sz w:val="22"/>
        <w:szCs w:val="22"/>
      </w:rPr>
    </w:pPr>
  </w:p>
  <w:p w14:paraId="17484424" w14:textId="77777777" w:rsidR="009556AB" w:rsidRDefault="00000000">
    <w:pPr>
      <w:widowControl w:val="0"/>
      <w:jc w:val="center"/>
      <w:rPr>
        <w:sz w:val="17"/>
        <w:szCs w:val="17"/>
      </w:rPr>
    </w:pPr>
    <w:r>
      <w:rPr>
        <w:rFonts w:ascii="Arial" w:eastAsia="Arial" w:hAnsi="Arial" w:cs="Arial"/>
        <w:color w:val="7F7F7F"/>
        <w:sz w:val="17"/>
        <w:szCs w:val="17"/>
      </w:rPr>
      <w:t xml:space="preserve">UFSC – Florianópolis – 30, 31 de </w:t>
    </w:r>
    <w:proofErr w:type="gramStart"/>
    <w:r>
      <w:rPr>
        <w:rFonts w:ascii="Arial" w:eastAsia="Arial" w:hAnsi="Arial" w:cs="Arial"/>
        <w:color w:val="7F7F7F"/>
        <w:sz w:val="17"/>
        <w:szCs w:val="17"/>
      </w:rPr>
      <w:t>Julho</w:t>
    </w:r>
    <w:proofErr w:type="gramEnd"/>
    <w:r>
      <w:rPr>
        <w:rFonts w:ascii="Arial" w:eastAsia="Arial" w:hAnsi="Arial" w:cs="Arial"/>
        <w:color w:val="7F7F7F"/>
        <w:sz w:val="17"/>
        <w:szCs w:val="17"/>
      </w:rPr>
      <w:t xml:space="preserve"> e 1 de </w:t>
    </w:r>
    <w:proofErr w:type="gramStart"/>
    <w:r>
      <w:rPr>
        <w:rFonts w:ascii="Arial" w:eastAsia="Arial" w:hAnsi="Arial" w:cs="Arial"/>
        <w:color w:val="7F7F7F"/>
        <w:sz w:val="17"/>
        <w:szCs w:val="17"/>
      </w:rPr>
      <w:t>Agosto</w:t>
    </w:r>
    <w:proofErr w:type="gramEnd"/>
    <w:r>
      <w:rPr>
        <w:rFonts w:ascii="Arial" w:eastAsia="Arial" w:hAnsi="Arial" w:cs="Arial"/>
        <w:color w:val="7F7F7F"/>
        <w:sz w:val="17"/>
        <w:szCs w:val="17"/>
      </w:rPr>
      <w:t xml:space="preserve"> de 2025.</w:t>
    </w:r>
  </w:p>
  <w:p w14:paraId="4A6AE295" w14:textId="77777777" w:rsidR="009556AB" w:rsidRDefault="009556AB">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9A39" w14:textId="77777777" w:rsidR="009556AB" w:rsidRDefault="0000000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44C045FD" w14:textId="77777777" w:rsidR="009556AB" w:rsidRDefault="009556A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131E" w14:textId="77777777" w:rsidR="001E5E2B" w:rsidRDefault="001E5E2B">
      <w:r>
        <w:separator/>
      </w:r>
    </w:p>
  </w:footnote>
  <w:footnote w:type="continuationSeparator" w:id="0">
    <w:p w14:paraId="2E7EC320" w14:textId="77777777" w:rsidR="001E5E2B" w:rsidRDefault="001E5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90E8" w14:textId="77777777" w:rsidR="009556AB" w:rsidRDefault="00000000">
    <w:r>
      <w:rPr>
        <w:noProof/>
      </w:rPr>
      <w:drawing>
        <wp:anchor distT="0" distB="0" distL="114300" distR="114300" simplePos="0" relativeHeight="251658240" behindDoc="0" locked="0" layoutInCell="1" hidden="0" allowOverlap="1" wp14:anchorId="1D48FDAD" wp14:editId="1438AA98">
          <wp:simplePos x="0" y="0"/>
          <wp:positionH relativeFrom="column">
            <wp:posOffset>-1080134</wp:posOffset>
          </wp:positionH>
          <wp:positionV relativeFrom="paragraph">
            <wp:posOffset>-36194</wp:posOffset>
          </wp:positionV>
          <wp:extent cx="7543800" cy="758190"/>
          <wp:effectExtent l="0" t="0" r="0" b="0"/>
          <wp:wrapSquare wrapText="bothSides" distT="0" distB="0" distL="114300" distR="114300"/>
          <wp:docPr id="1069898155" name="image4.png" descr="C:\Users\maria\Downloads\Cópia de ensus xiii - encontro de sustentabilidade em projeto (15.059 x 3 cm) (15.059 x 3 cm) (15 x 2 cm) (20 x 1.5 cm) (15 x 1.5 cm) (2).png"/>
          <wp:cNvGraphicFramePr/>
          <a:graphic xmlns:a="http://schemas.openxmlformats.org/drawingml/2006/main">
            <a:graphicData uri="http://schemas.openxmlformats.org/drawingml/2006/picture">
              <pic:pic xmlns:pic="http://schemas.openxmlformats.org/drawingml/2006/picture">
                <pic:nvPicPr>
                  <pic:cNvPr id="0" name="image4.png" descr="C:\Users\maria\Downloads\Cópia de ensus xiii - encontro de sustentabilidade em projeto (15.059 x 3 cm) (15.059 x 3 cm) (15 x 2 cm) (20 x 1.5 cm) (15 x 1.5 cm) (2).png"/>
                  <pic:cNvPicPr preferRelativeResize="0"/>
                </pic:nvPicPr>
                <pic:blipFill>
                  <a:blip r:embed="rId1"/>
                  <a:srcRect/>
                  <a:stretch>
                    <a:fillRect/>
                  </a:stretch>
                </pic:blipFill>
                <pic:spPr>
                  <a:xfrm>
                    <a:off x="0" y="0"/>
                    <a:ext cx="7543800" cy="758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3815"/>
    <w:multiLevelType w:val="multilevel"/>
    <w:tmpl w:val="5C96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52EE6"/>
    <w:multiLevelType w:val="multilevel"/>
    <w:tmpl w:val="F098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1B9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9E00E5A"/>
    <w:multiLevelType w:val="multilevel"/>
    <w:tmpl w:val="916E96DC"/>
    <w:lvl w:ilvl="0">
      <w:start w:val="1"/>
      <w:numFmt w:val="decimal"/>
      <w:lvlText w:val="4.%1."/>
      <w:lvlJc w:val="left"/>
      <w:pPr>
        <w:ind w:left="72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D76AC6"/>
    <w:multiLevelType w:val="multilevel"/>
    <w:tmpl w:val="F46E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1936A2"/>
    <w:multiLevelType w:val="multilevel"/>
    <w:tmpl w:val="3B3CBE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1348224">
    <w:abstractNumId w:val="3"/>
  </w:num>
  <w:num w:numId="2" w16cid:durableId="926160538">
    <w:abstractNumId w:val="5"/>
  </w:num>
  <w:num w:numId="3" w16cid:durableId="1322125348">
    <w:abstractNumId w:val="4"/>
  </w:num>
  <w:num w:numId="4" w16cid:durableId="1041783520">
    <w:abstractNumId w:val="1"/>
  </w:num>
  <w:num w:numId="5" w16cid:durableId="478228350">
    <w:abstractNumId w:val="0"/>
  </w:num>
  <w:num w:numId="6" w16cid:durableId="1164783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AB"/>
    <w:rsid w:val="000009DE"/>
    <w:rsid w:val="000108A8"/>
    <w:rsid w:val="00012D03"/>
    <w:rsid w:val="00012D7F"/>
    <w:rsid w:val="000132D3"/>
    <w:rsid w:val="0001348C"/>
    <w:rsid w:val="0001650D"/>
    <w:rsid w:val="000206C5"/>
    <w:rsid w:val="00026C01"/>
    <w:rsid w:val="00030F6E"/>
    <w:rsid w:val="00032CD0"/>
    <w:rsid w:val="000336E7"/>
    <w:rsid w:val="00040D99"/>
    <w:rsid w:val="000442BC"/>
    <w:rsid w:val="00044943"/>
    <w:rsid w:val="000476A8"/>
    <w:rsid w:val="00047E28"/>
    <w:rsid w:val="00052853"/>
    <w:rsid w:val="000560EC"/>
    <w:rsid w:val="00067765"/>
    <w:rsid w:val="00070297"/>
    <w:rsid w:val="00070909"/>
    <w:rsid w:val="00073480"/>
    <w:rsid w:val="00081359"/>
    <w:rsid w:val="00083401"/>
    <w:rsid w:val="000836E7"/>
    <w:rsid w:val="0008390E"/>
    <w:rsid w:val="00086061"/>
    <w:rsid w:val="00086561"/>
    <w:rsid w:val="00095285"/>
    <w:rsid w:val="00095329"/>
    <w:rsid w:val="000A058F"/>
    <w:rsid w:val="000A4C0C"/>
    <w:rsid w:val="000A7078"/>
    <w:rsid w:val="000A76A9"/>
    <w:rsid w:val="000A7EE8"/>
    <w:rsid w:val="000C3686"/>
    <w:rsid w:val="000C5F0C"/>
    <w:rsid w:val="000D2B77"/>
    <w:rsid w:val="000E15C6"/>
    <w:rsid w:val="000E2744"/>
    <w:rsid w:val="000F3BC2"/>
    <w:rsid w:val="000F4CD7"/>
    <w:rsid w:val="000F73ED"/>
    <w:rsid w:val="00100418"/>
    <w:rsid w:val="001008F3"/>
    <w:rsid w:val="00100B4A"/>
    <w:rsid w:val="00111003"/>
    <w:rsid w:val="00115D0B"/>
    <w:rsid w:val="00117CFB"/>
    <w:rsid w:val="00130C90"/>
    <w:rsid w:val="00133D3C"/>
    <w:rsid w:val="00134B28"/>
    <w:rsid w:val="00135615"/>
    <w:rsid w:val="00142695"/>
    <w:rsid w:val="00142ECE"/>
    <w:rsid w:val="00145983"/>
    <w:rsid w:val="001500C6"/>
    <w:rsid w:val="0015399F"/>
    <w:rsid w:val="00153A95"/>
    <w:rsid w:val="00153BEF"/>
    <w:rsid w:val="00154098"/>
    <w:rsid w:val="0016262E"/>
    <w:rsid w:val="00162883"/>
    <w:rsid w:val="001633E1"/>
    <w:rsid w:val="001646CA"/>
    <w:rsid w:val="001702D9"/>
    <w:rsid w:val="0017041C"/>
    <w:rsid w:val="001716BF"/>
    <w:rsid w:val="001744DE"/>
    <w:rsid w:val="00183B73"/>
    <w:rsid w:val="00186AAC"/>
    <w:rsid w:val="00190117"/>
    <w:rsid w:val="0019206F"/>
    <w:rsid w:val="001925FF"/>
    <w:rsid w:val="00192A57"/>
    <w:rsid w:val="00192A66"/>
    <w:rsid w:val="00192C64"/>
    <w:rsid w:val="00193226"/>
    <w:rsid w:val="001A101F"/>
    <w:rsid w:val="001A12D6"/>
    <w:rsid w:val="001B65FA"/>
    <w:rsid w:val="001C1413"/>
    <w:rsid w:val="001C48F2"/>
    <w:rsid w:val="001C60B4"/>
    <w:rsid w:val="001C674D"/>
    <w:rsid w:val="001C78EC"/>
    <w:rsid w:val="001D08CE"/>
    <w:rsid w:val="001D290B"/>
    <w:rsid w:val="001D4C5F"/>
    <w:rsid w:val="001D5F3C"/>
    <w:rsid w:val="001D7ACD"/>
    <w:rsid w:val="001D7E21"/>
    <w:rsid w:val="001E5E2B"/>
    <w:rsid w:val="001E6879"/>
    <w:rsid w:val="001F661C"/>
    <w:rsid w:val="001F763A"/>
    <w:rsid w:val="00203165"/>
    <w:rsid w:val="0020681D"/>
    <w:rsid w:val="00207DD1"/>
    <w:rsid w:val="0022102B"/>
    <w:rsid w:val="00227B98"/>
    <w:rsid w:val="00230D3E"/>
    <w:rsid w:val="00231774"/>
    <w:rsid w:val="00232EE0"/>
    <w:rsid w:val="00234D10"/>
    <w:rsid w:val="002363AC"/>
    <w:rsid w:val="0024428C"/>
    <w:rsid w:val="00252DF4"/>
    <w:rsid w:val="00255977"/>
    <w:rsid w:val="00255DDF"/>
    <w:rsid w:val="00262D02"/>
    <w:rsid w:val="002639D1"/>
    <w:rsid w:val="00264384"/>
    <w:rsid w:val="00264B63"/>
    <w:rsid w:val="00272D1D"/>
    <w:rsid w:val="00272F6D"/>
    <w:rsid w:val="00273F65"/>
    <w:rsid w:val="0027634E"/>
    <w:rsid w:val="00276999"/>
    <w:rsid w:val="0028150E"/>
    <w:rsid w:val="002915B1"/>
    <w:rsid w:val="0029555D"/>
    <w:rsid w:val="00295699"/>
    <w:rsid w:val="002A0C25"/>
    <w:rsid w:val="002A2DC2"/>
    <w:rsid w:val="002A6242"/>
    <w:rsid w:val="002B2154"/>
    <w:rsid w:val="002B34FD"/>
    <w:rsid w:val="002B5EA8"/>
    <w:rsid w:val="002D6EB5"/>
    <w:rsid w:val="002D6FF4"/>
    <w:rsid w:val="002E02FD"/>
    <w:rsid w:val="002E09BD"/>
    <w:rsid w:val="002E1552"/>
    <w:rsid w:val="002E344F"/>
    <w:rsid w:val="002E43AA"/>
    <w:rsid w:val="002E53CE"/>
    <w:rsid w:val="002E5A84"/>
    <w:rsid w:val="002E5C2F"/>
    <w:rsid w:val="002E6407"/>
    <w:rsid w:val="002E7220"/>
    <w:rsid w:val="002E79A2"/>
    <w:rsid w:val="002F001B"/>
    <w:rsid w:val="002F2686"/>
    <w:rsid w:val="002F31FF"/>
    <w:rsid w:val="002F4D64"/>
    <w:rsid w:val="0030009D"/>
    <w:rsid w:val="003012C6"/>
    <w:rsid w:val="00301B8D"/>
    <w:rsid w:val="003022D3"/>
    <w:rsid w:val="00305B35"/>
    <w:rsid w:val="00307B41"/>
    <w:rsid w:val="00310938"/>
    <w:rsid w:val="00317F08"/>
    <w:rsid w:val="00322105"/>
    <w:rsid w:val="00325956"/>
    <w:rsid w:val="00327A66"/>
    <w:rsid w:val="00334F77"/>
    <w:rsid w:val="00336338"/>
    <w:rsid w:val="0033724A"/>
    <w:rsid w:val="00337959"/>
    <w:rsid w:val="00340F09"/>
    <w:rsid w:val="0034253A"/>
    <w:rsid w:val="003452B7"/>
    <w:rsid w:val="00355F64"/>
    <w:rsid w:val="00364A18"/>
    <w:rsid w:val="00370619"/>
    <w:rsid w:val="00374E1F"/>
    <w:rsid w:val="003771AD"/>
    <w:rsid w:val="003860D5"/>
    <w:rsid w:val="0038634E"/>
    <w:rsid w:val="00391C7A"/>
    <w:rsid w:val="00392B0E"/>
    <w:rsid w:val="003938E1"/>
    <w:rsid w:val="003A0128"/>
    <w:rsid w:val="003A125D"/>
    <w:rsid w:val="003A1342"/>
    <w:rsid w:val="003A3DBB"/>
    <w:rsid w:val="003A4312"/>
    <w:rsid w:val="003A45D8"/>
    <w:rsid w:val="003B3A60"/>
    <w:rsid w:val="003B5F60"/>
    <w:rsid w:val="003B60A4"/>
    <w:rsid w:val="003B7170"/>
    <w:rsid w:val="003C343D"/>
    <w:rsid w:val="003C4CBE"/>
    <w:rsid w:val="003D07DE"/>
    <w:rsid w:val="003D18DA"/>
    <w:rsid w:val="003E5A61"/>
    <w:rsid w:val="003E6222"/>
    <w:rsid w:val="003F1706"/>
    <w:rsid w:val="003F2611"/>
    <w:rsid w:val="003F3A9E"/>
    <w:rsid w:val="003F7277"/>
    <w:rsid w:val="00413FDD"/>
    <w:rsid w:val="00416956"/>
    <w:rsid w:val="0041759B"/>
    <w:rsid w:val="00427F1E"/>
    <w:rsid w:val="00430BA4"/>
    <w:rsid w:val="004311E8"/>
    <w:rsid w:val="00443D0D"/>
    <w:rsid w:val="004543B0"/>
    <w:rsid w:val="00460DE6"/>
    <w:rsid w:val="0046350D"/>
    <w:rsid w:val="00464667"/>
    <w:rsid w:val="004704CE"/>
    <w:rsid w:val="004718F0"/>
    <w:rsid w:val="00471D8E"/>
    <w:rsid w:val="004732E0"/>
    <w:rsid w:val="00474471"/>
    <w:rsid w:val="00474B1E"/>
    <w:rsid w:val="00481F87"/>
    <w:rsid w:val="004828AB"/>
    <w:rsid w:val="00484BCB"/>
    <w:rsid w:val="00485075"/>
    <w:rsid w:val="004858F9"/>
    <w:rsid w:val="00495535"/>
    <w:rsid w:val="00496B79"/>
    <w:rsid w:val="00496E22"/>
    <w:rsid w:val="004A3A19"/>
    <w:rsid w:val="004A3A6C"/>
    <w:rsid w:val="004A65F3"/>
    <w:rsid w:val="004A66AA"/>
    <w:rsid w:val="004A7765"/>
    <w:rsid w:val="004B6CF0"/>
    <w:rsid w:val="004C2640"/>
    <w:rsid w:val="004C2F26"/>
    <w:rsid w:val="004C3BCF"/>
    <w:rsid w:val="004D3234"/>
    <w:rsid w:val="004E1510"/>
    <w:rsid w:val="004E55F1"/>
    <w:rsid w:val="004F146C"/>
    <w:rsid w:val="004F48B1"/>
    <w:rsid w:val="005006DE"/>
    <w:rsid w:val="0050138D"/>
    <w:rsid w:val="005033E1"/>
    <w:rsid w:val="00512B0F"/>
    <w:rsid w:val="00512CC3"/>
    <w:rsid w:val="005201F5"/>
    <w:rsid w:val="0052258E"/>
    <w:rsid w:val="005253DE"/>
    <w:rsid w:val="00525D2D"/>
    <w:rsid w:val="00527884"/>
    <w:rsid w:val="00530BAB"/>
    <w:rsid w:val="005313A4"/>
    <w:rsid w:val="0054124F"/>
    <w:rsid w:val="00547070"/>
    <w:rsid w:val="00550A36"/>
    <w:rsid w:val="00556522"/>
    <w:rsid w:val="00557506"/>
    <w:rsid w:val="005613E0"/>
    <w:rsid w:val="005674B3"/>
    <w:rsid w:val="00567FB6"/>
    <w:rsid w:val="0058285A"/>
    <w:rsid w:val="0058347F"/>
    <w:rsid w:val="005853BB"/>
    <w:rsid w:val="0058775A"/>
    <w:rsid w:val="005931DA"/>
    <w:rsid w:val="00595A61"/>
    <w:rsid w:val="00596A62"/>
    <w:rsid w:val="005A4573"/>
    <w:rsid w:val="005B0BF3"/>
    <w:rsid w:val="005B581D"/>
    <w:rsid w:val="005B6E66"/>
    <w:rsid w:val="005B6F18"/>
    <w:rsid w:val="005C213A"/>
    <w:rsid w:val="005C5462"/>
    <w:rsid w:val="005C7D77"/>
    <w:rsid w:val="005D478F"/>
    <w:rsid w:val="005D4829"/>
    <w:rsid w:val="005D5B3F"/>
    <w:rsid w:val="005D5C38"/>
    <w:rsid w:val="005D5D49"/>
    <w:rsid w:val="005D5F47"/>
    <w:rsid w:val="005E1E84"/>
    <w:rsid w:val="005E3781"/>
    <w:rsid w:val="005E4F33"/>
    <w:rsid w:val="005F08FD"/>
    <w:rsid w:val="00601ACD"/>
    <w:rsid w:val="006118D4"/>
    <w:rsid w:val="006138D4"/>
    <w:rsid w:val="0061688B"/>
    <w:rsid w:val="006418B7"/>
    <w:rsid w:val="00644A87"/>
    <w:rsid w:val="00644F2A"/>
    <w:rsid w:val="006533BC"/>
    <w:rsid w:val="006538B3"/>
    <w:rsid w:val="006550C0"/>
    <w:rsid w:val="00655B42"/>
    <w:rsid w:val="0065756F"/>
    <w:rsid w:val="006619A4"/>
    <w:rsid w:val="00664F83"/>
    <w:rsid w:val="00670E1B"/>
    <w:rsid w:val="00671FFD"/>
    <w:rsid w:val="00675926"/>
    <w:rsid w:val="00676F88"/>
    <w:rsid w:val="00685C4C"/>
    <w:rsid w:val="006873B6"/>
    <w:rsid w:val="006916DC"/>
    <w:rsid w:val="00692DF8"/>
    <w:rsid w:val="00697075"/>
    <w:rsid w:val="006A181A"/>
    <w:rsid w:val="006A22E5"/>
    <w:rsid w:val="006A2566"/>
    <w:rsid w:val="006B05EB"/>
    <w:rsid w:val="006B22F2"/>
    <w:rsid w:val="006B3E60"/>
    <w:rsid w:val="006B45D5"/>
    <w:rsid w:val="006B4DEA"/>
    <w:rsid w:val="006B6214"/>
    <w:rsid w:val="006C0A29"/>
    <w:rsid w:val="006D2A86"/>
    <w:rsid w:val="006D52FF"/>
    <w:rsid w:val="006D570F"/>
    <w:rsid w:val="006D6191"/>
    <w:rsid w:val="006D7971"/>
    <w:rsid w:val="006E08B2"/>
    <w:rsid w:val="006E4802"/>
    <w:rsid w:val="006E737A"/>
    <w:rsid w:val="006E7BBD"/>
    <w:rsid w:val="006F5F21"/>
    <w:rsid w:val="006F6781"/>
    <w:rsid w:val="006F7BE0"/>
    <w:rsid w:val="0070477E"/>
    <w:rsid w:val="00707E44"/>
    <w:rsid w:val="007103F5"/>
    <w:rsid w:val="007139E5"/>
    <w:rsid w:val="00721423"/>
    <w:rsid w:val="00722C96"/>
    <w:rsid w:val="007232D9"/>
    <w:rsid w:val="00724AEC"/>
    <w:rsid w:val="00732771"/>
    <w:rsid w:val="007339D0"/>
    <w:rsid w:val="007342A2"/>
    <w:rsid w:val="00741917"/>
    <w:rsid w:val="00744EFA"/>
    <w:rsid w:val="00745A8C"/>
    <w:rsid w:val="00754BA5"/>
    <w:rsid w:val="00755DC0"/>
    <w:rsid w:val="00761B64"/>
    <w:rsid w:val="00764D17"/>
    <w:rsid w:val="007650EF"/>
    <w:rsid w:val="00766DD6"/>
    <w:rsid w:val="00767CA9"/>
    <w:rsid w:val="00775432"/>
    <w:rsid w:val="007771AC"/>
    <w:rsid w:val="007817E1"/>
    <w:rsid w:val="007821A1"/>
    <w:rsid w:val="007928F2"/>
    <w:rsid w:val="00795C6E"/>
    <w:rsid w:val="007A00C5"/>
    <w:rsid w:val="007A2D3F"/>
    <w:rsid w:val="007A3AAE"/>
    <w:rsid w:val="007A3BE2"/>
    <w:rsid w:val="007A51A8"/>
    <w:rsid w:val="007A70F6"/>
    <w:rsid w:val="007B011A"/>
    <w:rsid w:val="007B37EF"/>
    <w:rsid w:val="007B6477"/>
    <w:rsid w:val="007D3037"/>
    <w:rsid w:val="007D573C"/>
    <w:rsid w:val="007D590B"/>
    <w:rsid w:val="007D5CFD"/>
    <w:rsid w:val="007D61BA"/>
    <w:rsid w:val="007E0ADA"/>
    <w:rsid w:val="007E0E62"/>
    <w:rsid w:val="007E6436"/>
    <w:rsid w:val="007F05EE"/>
    <w:rsid w:val="007F35E8"/>
    <w:rsid w:val="007F57B8"/>
    <w:rsid w:val="007F7C8E"/>
    <w:rsid w:val="00800F49"/>
    <w:rsid w:val="008029AD"/>
    <w:rsid w:val="00816AA1"/>
    <w:rsid w:val="0081777D"/>
    <w:rsid w:val="00817B88"/>
    <w:rsid w:val="00822124"/>
    <w:rsid w:val="00825009"/>
    <w:rsid w:val="008314B3"/>
    <w:rsid w:val="00834496"/>
    <w:rsid w:val="008350DD"/>
    <w:rsid w:val="008352A1"/>
    <w:rsid w:val="0083537D"/>
    <w:rsid w:val="00835A89"/>
    <w:rsid w:val="008362AC"/>
    <w:rsid w:val="00842BB2"/>
    <w:rsid w:val="00843025"/>
    <w:rsid w:val="008461A8"/>
    <w:rsid w:val="00853E9F"/>
    <w:rsid w:val="008551A9"/>
    <w:rsid w:val="0085731A"/>
    <w:rsid w:val="008650FC"/>
    <w:rsid w:val="008675EA"/>
    <w:rsid w:val="0087293A"/>
    <w:rsid w:val="00873D1C"/>
    <w:rsid w:val="0087607C"/>
    <w:rsid w:val="00884FD2"/>
    <w:rsid w:val="00885EB4"/>
    <w:rsid w:val="00886EFB"/>
    <w:rsid w:val="00887968"/>
    <w:rsid w:val="008A1D9B"/>
    <w:rsid w:val="008C7C9F"/>
    <w:rsid w:val="008D0E91"/>
    <w:rsid w:val="008D4AB2"/>
    <w:rsid w:val="008D6203"/>
    <w:rsid w:val="008D7977"/>
    <w:rsid w:val="008E4C5F"/>
    <w:rsid w:val="008E5105"/>
    <w:rsid w:val="008F4FC1"/>
    <w:rsid w:val="008F5BAB"/>
    <w:rsid w:val="00902AAD"/>
    <w:rsid w:val="0091263D"/>
    <w:rsid w:val="009133D6"/>
    <w:rsid w:val="0091350B"/>
    <w:rsid w:val="00917843"/>
    <w:rsid w:val="009206E3"/>
    <w:rsid w:val="00922E51"/>
    <w:rsid w:val="009235D0"/>
    <w:rsid w:val="00934992"/>
    <w:rsid w:val="00936314"/>
    <w:rsid w:val="009431F6"/>
    <w:rsid w:val="00943CB7"/>
    <w:rsid w:val="00946FE2"/>
    <w:rsid w:val="00950881"/>
    <w:rsid w:val="00950D68"/>
    <w:rsid w:val="0095246B"/>
    <w:rsid w:val="00952F6E"/>
    <w:rsid w:val="0095442E"/>
    <w:rsid w:val="009556AB"/>
    <w:rsid w:val="00957AEF"/>
    <w:rsid w:val="00960DE5"/>
    <w:rsid w:val="00962625"/>
    <w:rsid w:val="00971E26"/>
    <w:rsid w:val="00972C1F"/>
    <w:rsid w:val="009755BD"/>
    <w:rsid w:val="009756DA"/>
    <w:rsid w:val="00981B24"/>
    <w:rsid w:val="00981F79"/>
    <w:rsid w:val="009838AA"/>
    <w:rsid w:val="009839AF"/>
    <w:rsid w:val="00983C4A"/>
    <w:rsid w:val="00985619"/>
    <w:rsid w:val="00992EF0"/>
    <w:rsid w:val="00997521"/>
    <w:rsid w:val="009A13C5"/>
    <w:rsid w:val="009A6ACD"/>
    <w:rsid w:val="009B16DA"/>
    <w:rsid w:val="009B3225"/>
    <w:rsid w:val="009C1A40"/>
    <w:rsid w:val="009C2872"/>
    <w:rsid w:val="009C7F6C"/>
    <w:rsid w:val="009D1C56"/>
    <w:rsid w:val="009E3570"/>
    <w:rsid w:val="009E498E"/>
    <w:rsid w:val="009E57F7"/>
    <w:rsid w:val="009F0D9B"/>
    <w:rsid w:val="009F2E93"/>
    <w:rsid w:val="00A050B3"/>
    <w:rsid w:val="00A05870"/>
    <w:rsid w:val="00A11A22"/>
    <w:rsid w:val="00A1297E"/>
    <w:rsid w:val="00A20574"/>
    <w:rsid w:val="00A2224E"/>
    <w:rsid w:val="00A23618"/>
    <w:rsid w:val="00A268C1"/>
    <w:rsid w:val="00A273AC"/>
    <w:rsid w:val="00A336E8"/>
    <w:rsid w:val="00A43D65"/>
    <w:rsid w:val="00A520F6"/>
    <w:rsid w:val="00A55247"/>
    <w:rsid w:val="00A56E11"/>
    <w:rsid w:val="00A62039"/>
    <w:rsid w:val="00A622B2"/>
    <w:rsid w:val="00A6561E"/>
    <w:rsid w:val="00A657D0"/>
    <w:rsid w:val="00A66A70"/>
    <w:rsid w:val="00A7234B"/>
    <w:rsid w:val="00A75220"/>
    <w:rsid w:val="00A761A7"/>
    <w:rsid w:val="00A83BFA"/>
    <w:rsid w:val="00A8546D"/>
    <w:rsid w:val="00A87142"/>
    <w:rsid w:val="00A94B8F"/>
    <w:rsid w:val="00A94D36"/>
    <w:rsid w:val="00A96EAC"/>
    <w:rsid w:val="00AA063E"/>
    <w:rsid w:val="00AA09EB"/>
    <w:rsid w:val="00AA14EA"/>
    <w:rsid w:val="00AA697D"/>
    <w:rsid w:val="00AA7ECF"/>
    <w:rsid w:val="00AB0015"/>
    <w:rsid w:val="00AB045C"/>
    <w:rsid w:val="00AB1458"/>
    <w:rsid w:val="00AB32AA"/>
    <w:rsid w:val="00AB3FE5"/>
    <w:rsid w:val="00AB62F1"/>
    <w:rsid w:val="00AD0B3F"/>
    <w:rsid w:val="00AD18B0"/>
    <w:rsid w:val="00AD23D0"/>
    <w:rsid w:val="00AD4589"/>
    <w:rsid w:val="00AE3F7F"/>
    <w:rsid w:val="00AE5C69"/>
    <w:rsid w:val="00AE6629"/>
    <w:rsid w:val="00AF2BFC"/>
    <w:rsid w:val="00AF63AA"/>
    <w:rsid w:val="00B015CB"/>
    <w:rsid w:val="00B02292"/>
    <w:rsid w:val="00B03C0A"/>
    <w:rsid w:val="00B07012"/>
    <w:rsid w:val="00B109E7"/>
    <w:rsid w:val="00B15694"/>
    <w:rsid w:val="00B17010"/>
    <w:rsid w:val="00B234C8"/>
    <w:rsid w:val="00B2483A"/>
    <w:rsid w:val="00B3129F"/>
    <w:rsid w:val="00B33907"/>
    <w:rsid w:val="00B33A88"/>
    <w:rsid w:val="00B33F62"/>
    <w:rsid w:val="00B35C38"/>
    <w:rsid w:val="00B371B6"/>
    <w:rsid w:val="00B44242"/>
    <w:rsid w:val="00B44FE2"/>
    <w:rsid w:val="00B47966"/>
    <w:rsid w:val="00B50761"/>
    <w:rsid w:val="00B513A6"/>
    <w:rsid w:val="00B52425"/>
    <w:rsid w:val="00B52916"/>
    <w:rsid w:val="00B55F5A"/>
    <w:rsid w:val="00B5634A"/>
    <w:rsid w:val="00B602B7"/>
    <w:rsid w:val="00B61767"/>
    <w:rsid w:val="00B67E2E"/>
    <w:rsid w:val="00B71222"/>
    <w:rsid w:val="00B72F13"/>
    <w:rsid w:val="00B768D1"/>
    <w:rsid w:val="00B81831"/>
    <w:rsid w:val="00B83B4C"/>
    <w:rsid w:val="00B84007"/>
    <w:rsid w:val="00B9197D"/>
    <w:rsid w:val="00B92222"/>
    <w:rsid w:val="00B943C5"/>
    <w:rsid w:val="00B95B33"/>
    <w:rsid w:val="00B97A66"/>
    <w:rsid w:val="00BA7920"/>
    <w:rsid w:val="00BB2D6A"/>
    <w:rsid w:val="00BC17C1"/>
    <w:rsid w:val="00BC3BE7"/>
    <w:rsid w:val="00BD6316"/>
    <w:rsid w:val="00BD6A6C"/>
    <w:rsid w:val="00BE10C9"/>
    <w:rsid w:val="00BE53B8"/>
    <w:rsid w:val="00BE70DF"/>
    <w:rsid w:val="00BF08AA"/>
    <w:rsid w:val="00BF1681"/>
    <w:rsid w:val="00BF5C14"/>
    <w:rsid w:val="00BF7179"/>
    <w:rsid w:val="00C04195"/>
    <w:rsid w:val="00C203C2"/>
    <w:rsid w:val="00C21344"/>
    <w:rsid w:val="00C22952"/>
    <w:rsid w:val="00C3040C"/>
    <w:rsid w:val="00C31B54"/>
    <w:rsid w:val="00C4109D"/>
    <w:rsid w:val="00C410AD"/>
    <w:rsid w:val="00C41AD2"/>
    <w:rsid w:val="00C452D8"/>
    <w:rsid w:val="00C50AD8"/>
    <w:rsid w:val="00C52301"/>
    <w:rsid w:val="00C54A29"/>
    <w:rsid w:val="00C55548"/>
    <w:rsid w:val="00C558DC"/>
    <w:rsid w:val="00C56D30"/>
    <w:rsid w:val="00C707EA"/>
    <w:rsid w:val="00C71280"/>
    <w:rsid w:val="00C73847"/>
    <w:rsid w:val="00C7635F"/>
    <w:rsid w:val="00C76BC5"/>
    <w:rsid w:val="00C84571"/>
    <w:rsid w:val="00C85CCC"/>
    <w:rsid w:val="00C85DE3"/>
    <w:rsid w:val="00C90F3B"/>
    <w:rsid w:val="00C955AA"/>
    <w:rsid w:val="00CA1234"/>
    <w:rsid w:val="00CA1D6A"/>
    <w:rsid w:val="00CB42F9"/>
    <w:rsid w:val="00CB7680"/>
    <w:rsid w:val="00CC18A2"/>
    <w:rsid w:val="00CC29F0"/>
    <w:rsid w:val="00CC448F"/>
    <w:rsid w:val="00CD251D"/>
    <w:rsid w:val="00CD4B81"/>
    <w:rsid w:val="00CE0F23"/>
    <w:rsid w:val="00CF0306"/>
    <w:rsid w:val="00CF62DF"/>
    <w:rsid w:val="00D101F6"/>
    <w:rsid w:val="00D1176B"/>
    <w:rsid w:val="00D1277B"/>
    <w:rsid w:val="00D15F2D"/>
    <w:rsid w:val="00D16748"/>
    <w:rsid w:val="00D22894"/>
    <w:rsid w:val="00D234CE"/>
    <w:rsid w:val="00D24BB3"/>
    <w:rsid w:val="00D25BD4"/>
    <w:rsid w:val="00D40731"/>
    <w:rsid w:val="00D41D7F"/>
    <w:rsid w:val="00D50E2B"/>
    <w:rsid w:val="00D531BD"/>
    <w:rsid w:val="00D53CA5"/>
    <w:rsid w:val="00D618A3"/>
    <w:rsid w:val="00D64CC5"/>
    <w:rsid w:val="00D65AF9"/>
    <w:rsid w:val="00D70CCD"/>
    <w:rsid w:val="00D728D2"/>
    <w:rsid w:val="00D72B05"/>
    <w:rsid w:val="00D74197"/>
    <w:rsid w:val="00D76BFA"/>
    <w:rsid w:val="00D8077A"/>
    <w:rsid w:val="00D818EC"/>
    <w:rsid w:val="00D85D38"/>
    <w:rsid w:val="00D871DC"/>
    <w:rsid w:val="00D90B22"/>
    <w:rsid w:val="00D90B9C"/>
    <w:rsid w:val="00D92EF1"/>
    <w:rsid w:val="00D948AF"/>
    <w:rsid w:val="00D94E4D"/>
    <w:rsid w:val="00D9504E"/>
    <w:rsid w:val="00D975EE"/>
    <w:rsid w:val="00DA2DDD"/>
    <w:rsid w:val="00DA4B70"/>
    <w:rsid w:val="00DA5BAE"/>
    <w:rsid w:val="00DB0543"/>
    <w:rsid w:val="00DB589F"/>
    <w:rsid w:val="00DC2F0A"/>
    <w:rsid w:val="00DC5657"/>
    <w:rsid w:val="00DC56B3"/>
    <w:rsid w:val="00DC763D"/>
    <w:rsid w:val="00DD0105"/>
    <w:rsid w:val="00DD091E"/>
    <w:rsid w:val="00DD0F36"/>
    <w:rsid w:val="00DD3AAE"/>
    <w:rsid w:val="00DD65CC"/>
    <w:rsid w:val="00DD6ED5"/>
    <w:rsid w:val="00DE4694"/>
    <w:rsid w:val="00DF50CD"/>
    <w:rsid w:val="00E010C4"/>
    <w:rsid w:val="00E02499"/>
    <w:rsid w:val="00E05C2C"/>
    <w:rsid w:val="00E05CB8"/>
    <w:rsid w:val="00E07A23"/>
    <w:rsid w:val="00E1224E"/>
    <w:rsid w:val="00E17EF8"/>
    <w:rsid w:val="00E22B6F"/>
    <w:rsid w:val="00E27691"/>
    <w:rsid w:val="00E304A9"/>
    <w:rsid w:val="00E348D5"/>
    <w:rsid w:val="00E36C45"/>
    <w:rsid w:val="00E36D53"/>
    <w:rsid w:val="00E43852"/>
    <w:rsid w:val="00E474F8"/>
    <w:rsid w:val="00E5555A"/>
    <w:rsid w:val="00E639AE"/>
    <w:rsid w:val="00E65BA2"/>
    <w:rsid w:val="00E70783"/>
    <w:rsid w:val="00E81119"/>
    <w:rsid w:val="00E826C3"/>
    <w:rsid w:val="00E836A0"/>
    <w:rsid w:val="00E84F67"/>
    <w:rsid w:val="00E86A50"/>
    <w:rsid w:val="00E8778A"/>
    <w:rsid w:val="00E96FCB"/>
    <w:rsid w:val="00EA1139"/>
    <w:rsid w:val="00EA1877"/>
    <w:rsid w:val="00EA191C"/>
    <w:rsid w:val="00EA27D2"/>
    <w:rsid w:val="00EA7A17"/>
    <w:rsid w:val="00EC5447"/>
    <w:rsid w:val="00EC69A7"/>
    <w:rsid w:val="00EC6EE7"/>
    <w:rsid w:val="00EC70EC"/>
    <w:rsid w:val="00ED5C2B"/>
    <w:rsid w:val="00EE680D"/>
    <w:rsid w:val="00EE7275"/>
    <w:rsid w:val="00EF046C"/>
    <w:rsid w:val="00EF3C65"/>
    <w:rsid w:val="00EF5987"/>
    <w:rsid w:val="00EF5B5C"/>
    <w:rsid w:val="00F05EC2"/>
    <w:rsid w:val="00F12BBA"/>
    <w:rsid w:val="00F1577C"/>
    <w:rsid w:val="00F15E7E"/>
    <w:rsid w:val="00F164CA"/>
    <w:rsid w:val="00F2162C"/>
    <w:rsid w:val="00F25B97"/>
    <w:rsid w:val="00F2657E"/>
    <w:rsid w:val="00F33A07"/>
    <w:rsid w:val="00F36F11"/>
    <w:rsid w:val="00F37176"/>
    <w:rsid w:val="00F46E00"/>
    <w:rsid w:val="00F50B04"/>
    <w:rsid w:val="00F53693"/>
    <w:rsid w:val="00F75365"/>
    <w:rsid w:val="00F75ACC"/>
    <w:rsid w:val="00F85AFA"/>
    <w:rsid w:val="00F951A6"/>
    <w:rsid w:val="00FA2580"/>
    <w:rsid w:val="00FA32AB"/>
    <w:rsid w:val="00FA6DDB"/>
    <w:rsid w:val="00FB03A0"/>
    <w:rsid w:val="00FB12F9"/>
    <w:rsid w:val="00FB6B56"/>
    <w:rsid w:val="00FB7AC4"/>
    <w:rsid w:val="00FC16AB"/>
    <w:rsid w:val="00FC68A3"/>
    <w:rsid w:val="00FC7A0E"/>
    <w:rsid w:val="00FC7B62"/>
    <w:rsid w:val="00FC7D93"/>
    <w:rsid w:val="00FD3E78"/>
    <w:rsid w:val="00FD40B8"/>
    <w:rsid w:val="00FD5288"/>
    <w:rsid w:val="00FD7005"/>
    <w:rsid w:val="00FE0959"/>
    <w:rsid w:val="00FE3BF9"/>
    <w:rsid w:val="00FE54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7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Tahoma" w:eastAsia="Tahoma" w:hAnsi="Tahoma" w:cs="Tahoma"/>
      <w:b/>
      <w:color w:val="0066FF"/>
      <w:sz w:val="28"/>
      <w:szCs w:val="28"/>
    </w:r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PargrafodaLista">
    <w:name w:val="List Paragraph"/>
    <w:basedOn w:val="Normal"/>
    <w:uiPriority w:val="34"/>
    <w:qFormat/>
    <w:rsid w:val="00842BB2"/>
    <w:pPr>
      <w:ind w:left="720"/>
      <w:contextualSpacing/>
    </w:pPr>
  </w:style>
  <w:style w:type="character" w:styleId="Hyperlink">
    <w:name w:val="Hyperlink"/>
    <w:basedOn w:val="Fontepargpadro"/>
    <w:uiPriority w:val="99"/>
    <w:unhideWhenUsed/>
    <w:rsid w:val="00B3129F"/>
    <w:rPr>
      <w:color w:val="0000FF" w:themeColor="hyperlink"/>
      <w:u w:val="single"/>
    </w:rPr>
  </w:style>
  <w:style w:type="character" w:styleId="MenoPendente">
    <w:name w:val="Unresolved Mention"/>
    <w:basedOn w:val="Fontepargpadro"/>
    <w:uiPriority w:val="99"/>
    <w:semiHidden/>
    <w:unhideWhenUsed/>
    <w:rsid w:val="00B3129F"/>
    <w:rPr>
      <w:color w:val="605E5C"/>
      <w:shd w:val="clear" w:color="auto" w:fill="E1DFDD"/>
    </w:rPr>
  </w:style>
  <w:style w:type="table" w:styleId="Tabelacomgrade">
    <w:name w:val="Table Grid"/>
    <w:basedOn w:val="Tabelanormal"/>
    <w:uiPriority w:val="39"/>
    <w:rsid w:val="00F05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E4694"/>
  </w:style>
  <w:style w:type="paragraph" w:customStyle="1" w:styleId="Default">
    <w:name w:val="Default"/>
    <w:rsid w:val="0091263D"/>
    <w:pPr>
      <w:autoSpaceDE w:val="0"/>
      <w:autoSpaceDN w:val="0"/>
      <w:adjustRightInd w:val="0"/>
      <w:jc w:val="left"/>
    </w:pPr>
    <w:rPr>
      <w:rFonts w:ascii="ITDRO R+ Bulldog" w:hAnsi="ITDRO R+ Bulldog" w:cs="ITDRO R+ Bulldog"/>
      <w:color w:val="000000"/>
    </w:rPr>
  </w:style>
  <w:style w:type="paragraph" w:customStyle="1" w:styleId="Pa14">
    <w:name w:val="Pa14"/>
    <w:basedOn w:val="Default"/>
    <w:next w:val="Default"/>
    <w:uiPriority w:val="99"/>
    <w:rsid w:val="0091263D"/>
    <w:pPr>
      <w:spacing w:line="221" w:lineRule="atLeast"/>
    </w:pPr>
    <w:rPr>
      <w:rFonts w:cs="Times New Roman"/>
      <w:color w:val="auto"/>
    </w:rPr>
  </w:style>
  <w:style w:type="character" w:customStyle="1" w:styleId="A20">
    <w:name w:val="A2"/>
    <w:uiPriority w:val="99"/>
    <w:rsid w:val="0091263D"/>
    <w:rPr>
      <w:rFonts w:cs="ITDRO R+ Bulldog"/>
      <w:color w:val="3F3F41"/>
      <w:sz w:val="26"/>
      <w:szCs w:val="26"/>
    </w:rPr>
  </w:style>
  <w:style w:type="paragraph" w:customStyle="1" w:styleId="Pa17">
    <w:name w:val="Pa17"/>
    <w:basedOn w:val="Default"/>
    <w:next w:val="Default"/>
    <w:uiPriority w:val="99"/>
    <w:rsid w:val="0091263D"/>
    <w:pPr>
      <w:spacing w:line="221" w:lineRule="atLeast"/>
    </w:pPr>
    <w:rPr>
      <w:rFonts w:cs="Times New Roman"/>
      <w:color w:val="auto"/>
    </w:rPr>
  </w:style>
  <w:style w:type="character" w:customStyle="1" w:styleId="SubttuloChar">
    <w:name w:val="Subtítulo Char"/>
    <w:basedOn w:val="Fontepargpadro"/>
    <w:link w:val="Subttulo"/>
    <w:uiPriority w:val="11"/>
    <w:rsid w:val="00B44FE2"/>
    <w:rPr>
      <w:rFonts w:ascii="Arial" w:eastAsia="Arial" w:hAnsi="Arial" w:cs="Arial"/>
      <w:b/>
    </w:rPr>
  </w:style>
  <w:style w:type="paragraph" w:styleId="Cabealho">
    <w:name w:val="header"/>
    <w:basedOn w:val="Normal"/>
    <w:link w:val="CabealhoChar"/>
    <w:uiPriority w:val="99"/>
    <w:unhideWhenUsed/>
    <w:rsid w:val="00950D68"/>
    <w:pPr>
      <w:tabs>
        <w:tab w:val="center" w:pos="4252"/>
        <w:tab w:val="right" w:pos="8504"/>
      </w:tabs>
    </w:pPr>
  </w:style>
  <w:style w:type="character" w:customStyle="1" w:styleId="CabealhoChar">
    <w:name w:val="Cabeçalho Char"/>
    <w:basedOn w:val="Fontepargpadro"/>
    <w:link w:val="Cabealho"/>
    <w:uiPriority w:val="99"/>
    <w:rsid w:val="00950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7886">
      <w:bodyDiv w:val="1"/>
      <w:marLeft w:val="0"/>
      <w:marRight w:val="0"/>
      <w:marTop w:val="0"/>
      <w:marBottom w:val="0"/>
      <w:divBdr>
        <w:top w:val="none" w:sz="0" w:space="0" w:color="auto"/>
        <w:left w:val="none" w:sz="0" w:space="0" w:color="auto"/>
        <w:bottom w:val="none" w:sz="0" w:space="0" w:color="auto"/>
        <w:right w:val="none" w:sz="0" w:space="0" w:color="auto"/>
      </w:divBdr>
    </w:div>
    <w:div w:id="103771527">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288317028">
      <w:bodyDiv w:val="1"/>
      <w:marLeft w:val="0"/>
      <w:marRight w:val="0"/>
      <w:marTop w:val="0"/>
      <w:marBottom w:val="0"/>
      <w:divBdr>
        <w:top w:val="none" w:sz="0" w:space="0" w:color="auto"/>
        <w:left w:val="none" w:sz="0" w:space="0" w:color="auto"/>
        <w:bottom w:val="none" w:sz="0" w:space="0" w:color="auto"/>
        <w:right w:val="none" w:sz="0" w:space="0" w:color="auto"/>
      </w:divBdr>
    </w:div>
    <w:div w:id="298922669">
      <w:bodyDiv w:val="1"/>
      <w:marLeft w:val="0"/>
      <w:marRight w:val="0"/>
      <w:marTop w:val="0"/>
      <w:marBottom w:val="0"/>
      <w:divBdr>
        <w:top w:val="none" w:sz="0" w:space="0" w:color="auto"/>
        <w:left w:val="none" w:sz="0" w:space="0" w:color="auto"/>
        <w:bottom w:val="none" w:sz="0" w:space="0" w:color="auto"/>
        <w:right w:val="none" w:sz="0" w:space="0" w:color="auto"/>
      </w:divBdr>
    </w:div>
    <w:div w:id="328295111">
      <w:bodyDiv w:val="1"/>
      <w:marLeft w:val="0"/>
      <w:marRight w:val="0"/>
      <w:marTop w:val="0"/>
      <w:marBottom w:val="0"/>
      <w:divBdr>
        <w:top w:val="none" w:sz="0" w:space="0" w:color="auto"/>
        <w:left w:val="none" w:sz="0" w:space="0" w:color="auto"/>
        <w:bottom w:val="none" w:sz="0" w:space="0" w:color="auto"/>
        <w:right w:val="none" w:sz="0" w:space="0" w:color="auto"/>
      </w:divBdr>
    </w:div>
    <w:div w:id="347415342">
      <w:bodyDiv w:val="1"/>
      <w:marLeft w:val="0"/>
      <w:marRight w:val="0"/>
      <w:marTop w:val="0"/>
      <w:marBottom w:val="0"/>
      <w:divBdr>
        <w:top w:val="none" w:sz="0" w:space="0" w:color="auto"/>
        <w:left w:val="none" w:sz="0" w:space="0" w:color="auto"/>
        <w:bottom w:val="none" w:sz="0" w:space="0" w:color="auto"/>
        <w:right w:val="none" w:sz="0" w:space="0" w:color="auto"/>
      </w:divBdr>
      <w:divsChild>
        <w:div w:id="302859006">
          <w:marLeft w:val="150"/>
          <w:marRight w:val="0"/>
          <w:marTop w:val="0"/>
          <w:marBottom w:val="0"/>
          <w:divBdr>
            <w:top w:val="none" w:sz="0" w:space="0" w:color="auto"/>
            <w:left w:val="none" w:sz="0" w:space="0" w:color="auto"/>
            <w:bottom w:val="none" w:sz="0" w:space="0" w:color="auto"/>
            <w:right w:val="none" w:sz="0" w:space="0" w:color="auto"/>
          </w:divBdr>
          <w:divsChild>
            <w:div w:id="20019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46561">
      <w:bodyDiv w:val="1"/>
      <w:marLeft w:val="0"/>
      <w:marRight w:val="0"/>
      <w:marTop w:val="0"/>
      <w:marBottom w:val="0"/>
      <w:divBdr>
        <w:top w:val="none" w:sz="0" w:space="0" w:color="auto"/>
        <w:left w:val="none" w:sz="0" w:space="0" w:color="auto"/>
        <w:bottom w:val="none" w:sz="0" w:space="0" w:color="auto"/>
        <w:right w:val="none" w:sz="0" w:space="0" w:color="auto"/>
      </w:divBdr>
    </w:div>
    <w:div w:id="390275257">
      <w:bodyDiv w:val="1"/>
      <w:marLeft w:val="0"/>
      <w:marRight w:val="0"/>
      <w:marTop w:val="0"/>
      <w:marBottom w:val="0"/>
      <w:divBdr>
        <w:top w:val="none" w:sz="0" w:space="0" w:color="auto"/>
        <w:left w:val="none" w:sz="0" w:space="0" w:color="auto"/>
        <w:bottom w:val="none" w:sz="0" w:space="0" w:color="auto"/>
        <w:right w:val="none" w:sz="0" w:space="0" w:color="auto"/>
      </w:divBdr>
    </w:div>
    <w:div w:id="478884811">
      <w:bodyDiv w:val="1"/>
      <w:marLeft w:val="0"/>
      <w:marRight w:val="0"/>
      <w:marTop w:val="0"/>
      <w:marBottom w:val="0"/>
      <w:divBdr>
        <w:top w:val="none" w:sz="0" w:space="0" w:color="auto"/>
        <w:left w:val="none" w:sz="0" w:space="0" w:color="auto"/>
        <w:bottom w:val="none" w:sz="0" w:space="0" w:color="auto"/>
        <w:right w:val="none" w:sz="0" w:space="0" w:color="auto"/>
      </w:divBdr>
      <w:divsChild>
        <w:div w:id="300428923">
          <w:marLeft w:val="0"/>
          <w:marRight w:val="0"/>
          <w:marTop w:val="0"/>
          <w:marBottom w:val="0"/>
          <w:divBdr>
            <w:top w:val="none" w:sz="0" w:space="0" w:color="auto"/>
            <w:left w:val="none" w:sz="0" w:space="0" w:color="auto"/>
            <w:bottom w:val="none" w:sz="0" w:space="0" w:color="auto"/>
            <w:right w:val="none" w:sz="0" w:space="0" w:color="auto"/>
          </w:divBdr>
          <w:divsChild>
            <w:div w:id="955798494">
              <w:marLeft w:val="0"/>
              <w:marRight w:val="0"/>
              <w:marTop w:val="0"/>
              <w:marBottom w:val="0"/>
              <w:divBdr>
                <w:top w:val="none" w:sz="0" w:space="0" w:color="auto"/>
                <w:left w:val="none" w:sz="0" w:space="0" w:color="auto"/>
                <w:bottom w:val="none" w:sz="0" w:space="0" w:color="auto"/>
                <w:right w:val="none" w:sz="0" w:space="0" w:color="auto"/>
              </w:divBdr>
            </w:div>
          </w:divsChild>
        </w:div>
        <w:div w:id="662900367">
          <w:marLeft w:val="0"/>
          <w:marRight w:val="0"/>
          <w:marTop w:val="0"/>
          <w:marBottom w:val="0"/>
          <w:divBdr>
            <w:top w:val="none" w:sz="0" w:space="0" w:color="auto"/>
            <w:left w:val="none" w:sz="0" w:space="0" w:color="auto"/>
            <w:bottom w:val="none" w:sz="0" w:space="0" w:color="auto"/>
            <w:right w:val="none" w:sz="0" w:space="0" w:color="auto"/>
          </w:divBdr>
          <w:divsChild>
            <w:div w:id="1531452435">
              <w:marLeft w:val="0"/>
              <w:marRight w:val="0"/>
              <w:marTop w:val="0"/>
              <w:marBottom w:val="0"/>
              <w:divBdr>
                <w:top w:val="none" w:sz="0" w:space="0" w:color="auto"/>
                <w:left w:val="none" w:sz="0" w:space="0" w:color="auto"/>
                <w:bottom w:val="none" w:sz="0" w:space="0" w:color="auto"/>
                <w:right w:val="none" w:sz="0" w:space="0" w:color="auto"/>
              </w:divBdr>
              <w:divsChild>
                <w:div w:id="90972198">
                  <w:marLeft w:val="0"/>
                  <w:marRight w:val="0"/>
                  <w:marTop w:val="150"/>
                  <w:marBottom w:val="0"/>
                  <w:divBdr>
                    <w:top w:val="none" w:sz="0" w:space="0" w:color="auto"/>
                    <w:left w:val="none" w:sz="0" w:space="0" w:color="auto"/>
                    <w:bottom w:val="none" w:sz="0" w:space="0" w:color="auto"/>
                    <w:right w:val="none" w:sz="0" w:space="0" w:color="auto"/>
                  </w:divBdr>
                  <w:divsChild>
                    <w:div w:id="11149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564800">
      <w:bodyDiv w:val="1"/>
      <w:marLeft w:val="0"/>
      <w:marRight w:val="0"/>
      <w:marTop w:val="0"/>
      <w:marBottom w:val="0"/>
      <w:divBdr>
        <w:top w:val="none" w:sz="0" w:space="0" w:color="auto"/>
        <w:left w:val="none" w:sz="0" w:space="0" w:color="auto"/>
        <w:bottom w:val="none" w:sz="0" w:space="0" w:color="auto"/>
        <w:right w:val="none" w:sz="0" w:space="0" w:color="auto"/>
      </w:divBdr>
    </w:div>
    <w:div w:id="642318699">
      <w:bodyDiv w:val="1"/>
      <w:marLeft w:val="0"/>
      <w:marRight w:val="0"/>
      <w:marTop w:val="0"/>
      <w:marBottom w:val="0"/>
      <w:divBdr>
        <w:top w:val="none" w:sz="0" w:space="0" w:color="auto"/>
        <w:left w:val="none" w:sz="0" w:space="0" w:color="auto"/>
        <w:bottom w:val="none" w:sz="0" w:space="0" w:color="auto"/>
        <w:right w:val="none" w:sz="0" w:space="0" w:color="auto"/>
      </w:divBdr>
    </w:div>
    <w:div w:id="665085952">
      <w:bodyDiv w:val="1"/>
      <w:marLeft w:val="0"/>
      <w:marRight w:val="0"/>
      <w:marTop w:val="0"/>
      <w:marBottom w:val="0"/>
      <w:divBdr>
        <w:top w:val="none" w:sz="0" w:space="0" w:color="auto"/>
        <w:left w:val="none" w:sz="0" w:space="0" w:color="auto"/>
        <w:bottom w:val="none" w:sz="0" w:space="0" w:color="auto"/>
        <w:right w:val="none" w:sz="0" w:space="0" w:color="auto"/>
      </w:divBdr>
    </w:div>
    <w:div w:id="680161585">
      <w:bodyDiv w:val="1"/>
      <w:marLeft w:val="0"/>
      <w:marRight w:val="0"/>
      <w:marTop w:val="0"/>
      <w:marBottom w:val="0"/>
      <w:divBdr>
        <w:top w:val="none" w:sz="0" w:space="0" w:color="auto"/>
        <w:left w:val="none" w:sz="0" w:space="0" w:color="auto"/>
        <w:bottom w:val="none" w:sz="0" w:space="0" w:color="auto"/>
        <w:right w:val="none" w:sz="0" w:space="0" w:color="auto"/>
      </w:divBdr>
    </w:div>
    <w:div w:id="734353847">
      <w:bodyDiv w:val="1"/>
      <w:marLeft w:val="0"/>
      <w:marRight w:val="0"/>
      <w:marTop w:val="0"/>
      <w:marBottom w:val="0"/>
      <w:divBdr>
        <w:top w:val="none" w:sz="0" w:space="0" w:color="auto"/>
        <w:left w:val="none" w:sz="0" w:space="0" w:color="auto"/>
        <w:bottom w:val="none" w:sz="0" w:space="0" w:color="auto"/>
        <w:right w:val="none" w:sz="0" w:space="0" w:color="auto"/>
      </w:divBdr>
    </w:div>
    <w:div w:id="746460820">
      <w:bodyDiv w:val="1"/>
      <w:marLeft w:val="0"/>
      <w:marRight w:val="0"/>
      <w:marTop w:val="0"/>
      <w:marBottom w:val="0"/>
      <w:divBdr>
        <w:top w:val="none" w:sz="0" w:space="0" w:color="auto"/>
        <w:left w:val="none" w:sz="0" w:space="0" w:color="auto"/>
        <w:bottom w:val="none" w:sz="0" w:space="0" w:color="auto"/>
        <w:right w:val="none" w:sz="0" w:space="0" w:color="auto"/>
      </w:divBdr>
    </w:div>
    <w:div w:id="753622371">
      <w:bodyDiv w:val="1"/>
      <w:marLeft w:val="0"/>
      <w:marRight w:val="0"/>
      <w:marTop w:val="0"/>
      <w:marBottom w:val="0"/>
      <w:divBdr>
        <w:top w:val="none" w:sz="0" w:space="0" w:color="auto"/>
        <w:left w:val="none" w:sz="0" w:space="0" w:color="auto"/>
        <w:bottom w:val="none" w:sz="0" w:space="0" w:color="auto"/>
        <w:right w:val="none" w:sz="0" w:space="0" w:color="auto"/>
      </w:divBdr>
    </w:div>
    <w:div w:id="756680264">
      <w:bodyDiv w:val="1"/>
      <w:marLeft w:val="0"/>
      <w:marRight w:val="0"/>
      <w:marTop w:val="0"/>
      <w:marBottom w:val="0"/>
      <w:divBdr>
        <w:top w:val="none" w:sz="0" w:space="0" w:color="auto"/>
        <w:left w:val="none" w:sz="0" w:space="0" w:color="auto"/>
        <w:bottom w:val="none" w:sz="0" w:space="0" w:color="auto"/>
        <w:right w:val="none" w:sz="0" w:space="0" w:color="auto"/>
      </w:divBdr>
      <w:divsChild>
        <w:div w:id="622617338">
          <w:marLeft w:val="150"/>
          <w:marRight w:val="0"/>
          <w:marTop w:val="0"/>
          <w:marBottom w:val="0"/>
          <w:divBdr>
            <w:top w:val="none" w:sz="0" w:space="0" w:color="auto"/>
            <w:left w:val="none" w:sz="0" w:space="0" w:color="auto"/>
            <w:bottom w:val="none" w:sz="0" w:space="0" w:color="auto"/>
            <w:right w:val="none" w:sz="0" w:space="0" w:color="auto"/>
          </w:divBdr>
          <w:divsChild>
            <w:div w:id="5834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8871">
      <w:bodyDiv w:val="1"/>
      <w:marLeft w:val="0"/>
      <w:marRight w:val="0"/>
      <w:marTop w:val="0"/>
      <w:marBottom w:val="0"/>
      <w:divBdr>
        <w:top w:val="none" w:sz="0" w:space="0" w:color="auto"/>
        <w:left w:val="none" w:sz="0" w:space="0" w:color="auto"/>
        <w:bottom w:val="none" w:sz="0" w:space="0" w:color="auto"/>
        <w:right w:val="none" w:sz="0" w:space="0" w:color="auto"/>
      </w:divBdr>
    </w:div>
    <w:div w:id="836649489">
      <w:bodyDiv w:val="1"/>
      <w:marLeft w:val="0"/>
      <w:marRight w:val="0"/>
      <w:marTop w:val="0"/>
      <w:marBottom w:val="0"/>
      <w:divBdr>
        <w:top w:val="none" w:sz="0" w:space="0" w:color="auto"/>
        <w:left w:val="none" w:sz="0" w:space="0" w:color="auto"/>
        <w:bottom w:val="none" w:sz="0" w:space="0" w:color="auto"/>
        <w:right w:val="none" w:sz="0" w:space="0" w:color="auto"/>
      </w:divBdr>
    </w:div>
    <w:div w:id="866599205">
      <w:bodyDiv w:val="1"/>
      <w:marLeft w:val="0"/>
      <w:marRight w:val="0"/>
      <w:marTop w:val="0"/>
      <w:marBottom w:val="0"/>
      <w:divBdr>
        <w:top w:val="none" w:sz="0" w:space="0" w:color="auto"/>
        <w:left w:val="none" w:sz="0" w:space="0" w:color="auto"/>
        <w:bottom w:val="none" w:sz="0" w:space="0" w:color="auto"/>
        <w:right w:val="none" w:sz="0" w:space="0" w:color="auto"/>
      </w:divBdr>
    </w:div>
    <w:div w:id="884755388">
      <w:bodyDiv w:val="1"/>
      <w:marLeft w:val="0"/>
      <w:marRight w:val="0"/>
      <w:marTop w:val="0"/>
      <w:marBottom w:val="0"/>
      <w:divBdr>
        <w:top w:val="none" w:sz="0" w:space="0" w:color="auto"/>
        <w:left w:val="none" w:sz="0" w:space="0" w:color="auto"/>
        <w:bottom w:val="none" w:sz="0" w:space="0" w:color="auto"/>
        <w:right w:val="none" w:sz="0" w:space="0" w:color="auto"/>
      </w:divBdr>
      <w:divsChild>
        <w:div w:id="1465074474">
          <w:marLeft w:val="150"/>
          <w:marRight w:val="0"/>
          <w:marTop w:val="0"/>
          <w:marBottom w:val="0"/>
          <w:divBdr>
            <w:top w:val="none" w:sz="0" w:space="0" w:color="auto"/>
            <w:left w:val="none" w:sz="0" w:space="0" w:color="auto"/>
            <w:bottom w:val="none" w:sz="0" w:space="0" w:color="auto"/>
            <w:right w:val="none" w:sz="0" w:space="0" w:color="auto"/>
          </w:divBdr>
          <w:divsChild>
            <w:div w:id="13054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8507">
      <w:bodyDiv w:val="1"/>
      <w:marLeft w:val="0"/>
      <w:marRight w:val="0"/>
      <w:marTop w:val="0"/>
      <w:marBottom w:val="0"/>
      <w:divBdr>
        <w:top w:val="none" w:sz="0" w:space="0" w:color="auto"/>
        <w:left w:val="none" w:sz="0" w:space="0" w:color="auto"/>
        <w:bottom w:val="none" w:sz="0" w:space="0" w:color="auto"/>
        <w:right w:val="none" w:sz="0" w:space="0" w:color="auto"/>
      </w:divBdr>
      <w:divsChild>
        <w:div w:id="181673053">
          <w:marLeft w:val="150"/>
          <w:marRight w:val="0"/>
          <w:marTop w:val="0"/>
          <w:marBottom w:val="0"/>
          <w:divBdr>
            <w:top w:val="none" w:sz="0" w:space="0" w:color="auto"/>
            <w:left w:val="none" w:sz="0" w:space="0" w:color="auto"/>
            <w:bottom w:val="none" w:sz="0" w:space="0" w:color="auto"/>
            <w:right w:val="none" w:sz="0" w:space="0" w:color="auto"/>
          </w:divBdr>
          <w:divsChild>
            <w:div w:id="74056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4292">
      <w:bodyDiv w:val="1"/>
      <w:marLeft w:val="0"/>
      <w:marRight w:val="0"/>
      <w:marTop w:val="0"/>
      <w:marBottom w:val="0"/>
      <w:divBdr>
        <w:top w:val="none" w:sz="0" w:space="0" w:color="auto"/>
        <w:left w:val="none" w:sz="0" w:space="0" w:color="auto"/>
        <w:bottom w:val="none" w:sz="0" w:space="0" w:color="auto"/>
        <w:right w:val="none" w:sz="0" w:space="0" w:color="auto"/>
      </w:divBdr>
    </w:div>
    <w:div w:id="970750330">
      <w:bodyDiv w:val="1"/>
      <w:marLeft w:val="0"/>
      <w:marRight w:val="0"/>
      <w:marTop w:val="0"/>
      <w:marBottom w:val="0"/>
      <w:divBdr>
        <w:top w:val="none" w:sz="0" w:space="0" w:color="auto"/>
        <w:left w:val="none" w:sz="0" w:space="0" w:color="auto"/>
        <w:bottom w:val="none" w:sz="0" w:space="0" w:color="auto"/>
        <w:right w:val="none" w:sz="0" w:space="0" w:color="auto"/>
      </w:divBdr>
    </w:div>
    <w:div w:id="1061950767">
      <w:bodyDiv w:val="1"/>
      <w:marLeft w:val="0"/>
      <w:marRight w:val="0"/>
      <w:marTop w:val="0"/>
      <w:marBottom w:val="0"/>
      <w:divBdr>
        <w:top w:val="none" w:sz="0" w:space="0" w:color="auto"/>
        <w:left w:val="none" w:sz="0" w:space="0" w:color="auto"/>
        <w:bottom w:val="none" w:sz="0" w:space="0" w:color="auto"/>
        <w:right w:val="none" w:sz="0" w:space="0" w:color="auto"/>
      </w:divBdr>
    </w:div>
    <w:div w:id="1071929861">
      <w:bodyDiv w:val="1"/>
      <w:marLeft w:val="0"/>
      <w:marRight w:val="0"/>
      <w:marTop w:val="0"/>
      <w:marBottom w:val="0"/>
      <w:divBdr>
        <w:top w:val="none" w:sz="0" w:space="0" w:color="auto"/>
        <w:left w:val="none" w:sz="0" w:space="0" w:color="auto"/>
        <w:bottom w:val="none" w:sz="0" w:space="0" w:color="auto"/>
        <w:right w:val="none" w:sz="0" w:space="0" w:color="auto"/>
      </w:divBdr>
    </w:div>
    <w:div w:id="1076823572">
      <w:bodyDiv w:val="1"/>
      <w:marLeft w:val="0"/>
      <w:marRight w:val="0"/>
      <w:marTop w:val="0"/>
      <w:marBottom w:val="0"/>
      <w:divBdr>
        <w:top w:val="none" w:sz="0" w:space="0" w:color="auto"/>
        <w:left w:val="none" w:sz="0" w:space="0" w:color="auto"/>
        <w:bottom w:val="none" w:sz="0" w:space="0" w:color="auto"/>
        <w:right w:val="none" w:sz="0" w:space="0" w:color="auto"/>
      </w:divBdr>
    </w:div>
    <w:div w:id="1128357387">
      <w:bodyDiv w:val="1"/>
      <w:marLeft w:val="0"/>
      <w:marRight w:val="0"/>
      <w:marTop w:val="0"/>
      <w:marBottom w:val="0"/>
      <w:divBdr>
        <w:top w:val="none" w:sz="0" w:space="0" w:color="auto"/>
        <w:left w:val="none" w:sz="0" w:space="0" w:color="auto"/>
        <w:bottom w:val="none" w:sz="0" w:space="0" w:color="auto"/>
        <w:right w:val="none" w:sz="0" w:space="0" w:color="auto"/>
      </w:divBdr>
    </w:div>
    <w:div w:id="1147094588">
      <w:bodyDiv w:val="1"/>
      <w:marLeft w:val="0"/>
      <w:marRight w:val="0"/>
      <w:marTop w:val="0"/>
      <w:marBottom w:val="0"/>
      <w:divBdr>
        <w:top w:val="none" w:sz="0" w:space="0" w:color="auto"/>
        <w:left w:val="none" w:sz="0" w:space="0" w:color="auto"/>
        <w:bottom w:val="none" w:sz="0" w:space="0" w:color="auto"/>
        <w:right w:val="none" w:sz="0" w:space="0" w:color="auto"/>
      </w:divBdr>
    </w:div>
    <w:div w:id="1187912000">
      <w:bodyDiv w:val="1"/>
      <w:marLeft w:val="0"/>
      <w:marRight w:val="0"/>
      <w:marTop w:val="0"/>
      <w:marBottom w:val="0"/>
      <w:divBdr>
        <w:top w:val="none" w:sz="0" w:space="0" w:color="auto"/>
        <w:left w:val="none" w:sz="0" w:space="0" w:color="auto"/>
        <w:bottom w:val="none" w:sz="0" w:space="0" w:color="auto"/>
        <w:right w:val="none" w:sz="0" w:space="0" w:color="auto"/>
      </w:divBdr>
    </w:div>
    <w:div w:id="1193884497">
      <w:bodyDiv w:val="1"/>
      <w:marLeft w:val="0"/>
      <w:marRight w:val="0"/>
      <w:marTop w:val="0"/>
      <w:marBottom w:val="0"/>
      <w:divBdr>
        <w:top w:val="none" w:sz="0" w:space="0" w:color="auto"/>
        <w:left w:val="none" w:sz="0" w:space="0" w:color="auto"/>
        <w:bottom w:val="none" w:sz="0" w:space="0" w:color="auto"/>
        <w:right w:val="none" w:sz="0" w:space="0" w:color="auto"/>
      </w:divBdr>
    </w:div>
    <w:div w:id="1194614387">
      <w:bodyDiv w:val="1"/>
      <w:marLeft w:val="0"/>
      <w:marRight w:val="0"/>
      <w:marTop w:val="0"/>
      <w:marBottom w:val="0"/>
      <w:divBdr>
        <w:top w:val="none" w:sz="0" w:space="0" w:color="auto"/>
        <w:left w:val="none" w:sz="0" w:space="0" w:color="auto"/>
        <w:bottom w:val="none" w:sz="0" w:space="0" w:color="auto"/>
        <w:right w:val="none" w:sz="0" w:space="0" w:color="auto"/>
      </w:divBdr>
      <w:divsChild>
        <w:div w:id="1972321750">
          <w:marLeft w:val="150"/>
          <w:marRight w:val="0"/>
          <w:marTop w:val="0"/>
          <w:marBottom w:val="0"/>
          <w:divBdr>
            <w:top w:val="none" w:sz="0" w:space="0" w:color="auto"/>
            <w:left w:val="none" w:sz="0" w:space="0" w:color="auto"/>
            <w:bottom w:val="none" w:sz="0" w:space="0" w:color="auto"/>
            <w:right w:val="none" w:sz="0" w:space="0" w:color="auto"/>
          </w:divBdr>
          <w:divsChild>
            <w:div w:id="18527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61766">
      <w:bodyDiv w:val="1"/>
      <w:marLeft w:val="0"/>
      <w:marRight w:val="0"/>
      <w:marTop w:val="0"/>
      <w:marBottom w:val="0"/>
      <w:divBdr>
        <w:top w:val="none" w:sz="0" w:space="0" w:color="auto"/>
        <w:left w:val="none" w:sz="0" w:space="0" w:color="auto"/>
        <w:bottom w:val="none" w:sz="0" w:space="0" w:color="auto"/>
        <w:right w:val="none" w:sz="0" w:space="0" w:color="auto"/>
      </w:divBdr>
    </w:div>
    <w:div w:id="1276594052">
      <w:bodyDiv w:val="1"/>
      <w:marLeft w:val="0"/>
      <w:marRight w:val="0"/>
      <w:marTop w:val="0"/>
      <w:marBottom w:val="0"/>
      <w:divBdr>
        <w:top w:val="none" w:sz="0" w:space="0" w:color="auto"/>
        <w:left w:val="none" w:sz="0" w:space="0" w:color="auto"/>
        <w:bottom w:val="none" w:sz="0" w:space="0" w:color="auto"/>
        <w:right w:val="none" w:sz="0" w:space="0" w:color="auto"/>
      </w:divBdr>
    </w:div>
    <w:div w:id="1318071652">
      <w:bodyDiv w:val="1"/>
      <w:marLeft w:val="0"/>
      <w:marRight w:val="0"/>
      <w:marTop w:val="0"/>
      <w:marBottom w:val="0"/>
      <w:divBdr>
        <w:top w:val="none" w:sz="0" w:space="0" w:color="auto"/>
        <w:left w:val="none" w:sz="0" w:space="0" w:color="auto"/>
        <w:bottom w:val="none" w:sz="0" w:space="0" w:color="auto"/>
        <w:right w:val="none" w:sz="0" w:space="0" w:color="auto"/>
      </w:divBdr>
    </w:div>
    <w:div w:id="1325086916">
      <w:bodyDiv w:val="1"/>
      <w:marLeft w:val="0"/>
      <w:marRight w:val="0"/>
      <w:marTop w:val="0"/>
      <w:marBottom w:val="0"/>
      <w:divBdr>
        <w:top w:val="none" w:sz="0" w:space="0" w:color="auto"/>
        <w:left w:val="none" w:sz="0" w:space="0" w:color="auto"/>
        <w:bottom w:val="none" w:sz="0" w:space="0" w:color="auto"/>
        <w:right w:val="none" w:sz="0" w:space="0" w:color="auto"/>
      </w:divBdr>
    </w:div>
    <w:div w:id="1338266510">
      <w:bodyDiv w:val="1"/>
      <w:marLeft w:val="0"/>
      <w:marRight w:val="0"/>
      <w:marTop w:val="0"/>
      <w:marBottom w:val="0"/>
      <w:divBdr>
        <w:top w:val="none" w:sz="0" w:space="0" w:color="auto"/>
        <w:left w:val="none" w:sz="0" w:space="0" w:color="auto"/>
        <w:bottom w:val="none" w:sz="0" w:space="0" w:color="auto"/>
        <w:right w:val="none" w:sz="0" w:space="0" w:color="auto"/>
      </w:divBdr>
      <w:divsChild>
        <w:div w:id="1438137190">
          <w:marLeft w:val="150"/>
          <w:marRight w:val="0"/>
          <w:marTop w:val="0"/>
          <w:marBottom w:val="0"/>
          <w:divBdr>
            <w:top w:val="none" w:sz="0" w:space="0" w:color="auto"/>
            <w:left w:val="none" w:sz="0" w:space="0" w:color="auto"/>
            <w:bottom w:val="none" w:sz="0" w:space="0" w:color="auto"/>
            <w:right w:val="none" w:sz="0" w:space="0" w:color="auto"/>
          </w:divBdr>
          <w:divsChild>
            <w:div w:id="6736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0792">
      <w:bodyDiv w:val="1"/>
      <w:marLeft w:val="0"/>
      <w:marRight w:val="0"/>
      <w:marTop w:val="0"/>
      <w:marBottom w:val="0"/>
      <w:divBdr>
        <w:top w:val="none" w:sz="0" w:space="0" w:color="auto"/>
        <w:left w:val="none" w:sz="0" w:space="0" w:color="auto"/>
        <w:bottom w:val="none" w:sz="0" w:space="0" w:color="auto"/>
        <w:right w:val="none" w:sz="0" w:space="0" w:color="auto"/>
      </w:divBdr>
    </w:div>
    <w:div w:id="1419325160">
      <w:bodyDiv w:val="1"/>
      <w:marLeft w:val="0"/>
      <w:marRight w:val="0"/>
      <w:marTop w:val="0"/>
      <w:marBottom w:val="0"/>
      <w:divBdr>
        <w:top w:val="none" w:sz="0" w:space="0" w:color="auto"/>
        <w:left w:val="none" w:sz="0" w:space="0" w:color="auto"/>
        <w:bottom w:val="none" w:sz="0" w:space="0" w:color="auto"/>
        <w:right w:val="none" w:sz="0" w:space="0" w:color="auto"/>
      </w:divBdr>
    </w:div>
    <w:div w:id="1436174986">
      <w:bodyDiv w:val="1"/>
      <w:marLeft w:val="0"/>
      <w:marRight w:val="0"/>
      <w:marTop w:val="0"/>
      <w:marBottom w:val="0"/>
      <w:divBdr>
        <w:top w:val="none" w:sz="0" w:space="0" w:color="auto"/>
        <w:left w:val="none" w:sz="0" w:space="0" w:color="auto"/>
        <w:bottom w:val="none" w:sz="0" w:space="0" w:color="auto"/>
        <w:right w:val="none" w:sz="0" w:space="0" w:color="auto"/>
      </w:divBdr>
    </w:div>
    <w:div w:id="1483040397">
      <w:bodyDiv w:val="1"/>
      <w:marLeft w:val="0"/>
      <w:marRight w:val="0"/>
      <w:marTop w:val="0"/>
      <w:marBottom w:val="0"/>
      <w:divBdr>
        <w:top w:val="none" w:sz="0" w:space="0" w:color="auto"/>
        <w:left w:val="none" w:sz="0" w:space="0" w:color="auto"/>
        <w:bottom w:val="none" w:sz="0" w:space="0" w:color="auto"/>
        <w:right w:val="none" w:sz="0" w:space="0" w:color="auto"/>
      </w:divBdr>
    </w:div>
    <w:div w:id="1489051468">
      <w:bodyDiv w:val="1"/>
      <w:marLeft w:val="0"/>
      <w:marRight w:val="0"/>
      <w:marTop w:val="0"/>
      <w:marBottom w:val="0"/>
      <w:divBdr>
        <w:top w:val="none" w:sz="0" w:space="0" w:color="auto"/>
        <w:left w:val="none" w:sz="0" w:space="0" w:color="auto"/>
        <w:bottom w:val="none" w:sz="0" w:space="0" w:color="auto"/>
        <w:right w:val="none" w:sz="0" w:space="0" w:color="auto"/>
      </w:divBdr>
      <w:divsChild>
        <w:div w:id="1953899425">
          <w:marLeft w:val="150"/>
          <w:marRight w:val="0"/>
          <w:marTop w:val="0"/>
          <w:marBottom w:val="0"/>
          <w:divBdr>
            <w:top w:val="none" w:sz="0" w:space="0" w:color="auto"/>
            <w:left w:val="none" w:sz="0" w:space="0" w:color="auto"/>
            <w:bottom w:val="none" w:sz="0" w:space="0" w:color="auto"/>
            <w:right w:val="none" w:sz="0" w:space="0" w:color="auto"/>
          </w:divBdr>
          <w:divsChild>
            <w:div w:id="1107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09820">
      <w:bodyDiv w:val="1"/>
      <w:marLeft w:val="0"/>
      <w:marRight w:val="0"/>
      <w:marTop w:val="0"/>
      <w:marBottom w:val="0"/>
      <w:divBdr>
        <w:top w:val="none" w:sz="0" w:space="0" w:color="auto"/>
        <w:left w:val="none" w:sz="0" w:space="0" w:color="auto"/>
        <w:bottom w:val="none" w:sz="0" w:space="0" w:color="auto"/>
        <w:right w:val="none" w:sz="0" w:space="0" w:color="auto"/>
      </w:divBdr>
      <w:divsChild>
        <w:div w:id="1890996329">
          <w:marLeft w:val="150"/>
          <w:marRight w:val="0"/>
          <w:marTop w:val="0"/>
          <w:marBottom w:val="0"/>
          <w:divBdr>
            <w:top w:val="none" w:sz="0" w:space="0" w:color="auto"/>
            <w:left w:val="none" w:sz="0" w:space="0" w:color="auto"/>
            <w:bottom w:val="none" w:sz="0" w:space="0" w:color="auto"/>
            <w:right w:val="none" w:sz="0" w:space="0" w:color="auto"/>
          </w:divBdr>
          <w:divsChild>
            <w:div w:id="4195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57103">
      <w:bodyDiv w:val="1"/>
      <w:marLeft w:val="0"/>
      <w:marRight w:val="0"/>
      <w:marTop w:val="0"/>
      <w:marBottom w:val="0"/>
      <w:divBdr>
        <w:top w:val="none" w:sz="0" w:space="0" w:color="auto"/>
        <w:left w:val="none" w:sz="0" w:space="0" w:color="auto"/>
        <w:bottom w:val="none" w:sz="0" w:space="0" w:color="auto"/>
        <w:right w:val="none" w:sz="0" w:space="0" w:color="auto"/>
      </w:divBdr>
    </w:div>
    <w:div w:id="1586038243">
      <w:bodyDiv w:val="1"/>
      <w:marLeft w:val="0"/>
      <w:marRight w:val="0"/>
      <w:marTop w:val="0"/>
      <w:marBottom w:val="0"/>
      <w:divBdr>
        <w:top w:val="none" w:sz="0" w:space="0" w:color="auto"/>
        <w:left w:val="none" w:sz="0" w:space="0" w:color="auto"/>
        <w:bottom w:val="none" w:sz="0" w:space="0" w:color="auto"/>
        <w:right w:val="none" w:sz="0" w:space="0" w:color="auto"/>
      </w:divBdr>
    </w:div>
    <w:div w:id="1620724562">
      <w:bodyDiv w:val="1"/>
      <w:marLeft w:val="0"/>
      <w:marRight w:val="0"/>
      <w:marTop w:val="0"/>
      <w:marBottom w:val="0"/>
      <w:divBdr>
        <w:top w:val="none" w:sz="0" w:space="0" w:color="auto"/>
        <w:left w:val="none" w:sz="0" w:space="0" w:color="auto"/>
        <w:bottom w:val="none" w:sz="0" w:space="0" w:color="auto"/>
        <w:right w:val="none" w:sz="0" w:space="0" w:color="auto"/>
      </w:divBdr>
      <w:divsChild>
        <w:div w:id="1064989670">
          <w:marLeft w:val="150"/>
          <w:marRight w:val="0"/>
          <w:marTop w:val="0"/>
          <w:marBottom w:val="0"/>
          <w:divBdr>
            <w:top w:val="none" w:sz="0" w:space="0" w:color="auto"/>
            <w:left w:val="none" w:sz="0" w:space="0" w:color="auto"/>
            <w:bottom w:val="none" w:sz="0" w:space="0" w:color="auto"/>
            <w:right w:val="none" w:sz="0" w:space="0" w:color="auto"/>
          </w:divBdr>
          <w:divsChild>
            <w:div w:id="13841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6718">
      <w:bodyDiv w:val="1"/>
      <w:marLeft w:val="0"/>
      <w:marRight w:val="0"/>
      <w:marTop w:val="0"/>
      <w:marBottom w:val="0"/>
      <w:divBdr>
        <w:top w:val="none" w:sz="0" w:space="0" w:color="auto"/>
        <w:left w:val="none" w:sz="0" w:space="0" w:color="auto"/>
        <w:bottom w:val="none" w:sz="0" w:space="0" w:color="auto"/>
        <w:right w:val="none" w:sz="0" w:space="0" w:color="auto"/>
      </w:divBdr>
      <w:divsChild>
        <w:div w:id="223225831">
          <w:marLeft w:val="150"/>
          <w:marRight w:val="0"/>
          <w:marTop w:val="0"/>
          <w:marBottom w:val="0"/>
          <w:divBdr>
            <w:top w:val="none" w:sz="0" w:space="0" w:color="auto"/>
            <w:left w:val="none" w:sz="0" w:space="0" w:color="auto"/>
            <w:bottom w:val="none" w:sz="0" w:space="0" w:color="auto"/>
            <w:right w:val="none" w:sz="0" w:space="0" w:color="auto"/>
          </w:divBdr>
          <w:divsChild>
            <w:div w:id="4726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2427">
      <w:bodyDiv w:val="1"/>
      <w:marLeft w:val="0"/>
      <w:marRight w:val="0"/>
      <w:marTop w:val="0"/>
      <w:marBottom w:val="0"/>
      <w:divBdr>
        <w:top w:val="none" w:sz="0" w:space="0" w:color="auto"/>
        <w:left w:val="none" w:sz="0" w:space="0" w:color="auto"/>
        <w:bottom w:val="none" w:sz="0" w:space="0" w:color="auto"/>
        <w:right w:val="none" w:sz="0" w:space="0" w:color="auto"/>
      </w:divBdr>
    </w:div>
    <w:div w:id="1725984303">
      <w:bodyDiv w:val="1"/>
      <w:marLeft w:val="0"/>
      <w:marRight w:val="0"/>
      <w:marTop w:val="0"/>
      <w:marBottom w:val="0"/>
      <w:divBdr>
        <w:top w:val="none" w:sz="0" w:space="0" w:color="auto"/>
        <w:left w:val="none" w:sz="0" w:space="0" w:color="auto"/>
        <w:bottom w:val="none" w:sz="0" w:space="0" w:color="auto"/>
        <w:right w:val="none" w:sz="0" w:space="0" w:color="auto"/>
      </w:divBdr>
    </w:div>
    <w:div w:id="1802460284">
      <w:bodyDiv w:val="1"/>
      <w:marLeft w:val="0"/>
      <w:marRight w:val="0"/>
      <w:marTop w:val="0"/>
      <w:marBottom w:val="0"/>
      <w:divBdr>
        <w:top w:val="none" w:sz="0" w:space="0" w:color="auto"/>
        <w:left w:val="none" w:sz="0" w:space="0" w:color="auto"/>
        <w:bottom w:val="none" w:sz="0" w:space="0" w:color="auto"/>
        <w:right w:val="none" w:sz="0" w:space="0" w:color="auto"/>
      </w:divBdr>
      <w:divsChild>
        <w:div w:id="1280334080">
          <w:marLeft w:val="0"/>
          <w:marRight w:val="0"/>
          <w:marTop w:val="0"/>
          <w:marBottom w:val="0"/>
          <w:divBdr>
            <w:top w:val="none" w:sz="0" w:space="0" w:color="auto"/>
            <w:left w:val="none" w:sz="0" w:space="0" w:color="auto"/>
            <w:bottom w:val="none" w:sz="0" w:space="0" w:color="auto"/>
            <w:right w:val="none" w:sz="0" w:space="0" w:color="auto"/>
          </w:divBdr>
          <w:divsChild>
            <w:div w:id="371882702">
              <w:marLeft w:val="0"/>
              <w:marRight w:val="0"/>
              <w:marTop w:val="0"/>
              <w:marBottom w:val="0"/>
              <w:divBdr>
                <w:top w:val="none" w:sz="0" w:space="0" w:color="auto"/>
                <w:left w:val="none" w:sz="0" w:space="0" w:color="auto"/>
                <w:bottom w:val="none" w:sz="0" w:space="0" w:color="auto"/>
                <w:right w:val="none" w:sz="0" w:space="0" w:color="auto"/>
              </w:divBdr>
            </w:div>
          </w:divsChild>
        </w:div>
        <w:div w:id="191187722">
          <w:marLeft w:val="0"/>
          <w:marRight w:val="0"/>
          <w:marTop w:val="0"/>
          <w:marBottom w:val="0"/>
          <w:divBdr>
            <w:top w:val="none" w:sz="0" w:space="0" w:color="auto"/>
            <w:left w:val="none" w:sz="0" w:space="0" w:color="auto"/>
            <w:bottom w:val="none" w:sz="0" w:space="0" w:color="auto"/>
            <w:right w:val="none" w:sz="0" w:space="0" w:color="auto"/>
          </w:divBdr>
          <w:divsChild>
            <w:div w:id="2136173953">
              <w:marLeft w:val="0"/>
              <w:marRight w:val="0"/>
              <w:marTop w:val="0"/>
              <w:marBottom w:val="0"/>
              <w:divBdr>
                <w:top w:val="none" w:sz="0" w:space="0" w:color="auto"/>
                <w:left w:val="none" w:sz="0" w:space="0" w:color="auto"/>
                <w:bottom w:val="none" w:sz="0" w:space="0" w:color="auto"/>
                <w:right w:val="none" w:sz="0" w:space="0" w:color="auto"/>
              </w:divBdr>
              <w:divsChild>
                <w:div w:id="1067993593">
                  <w:marLeft w:val="0"/>
                  <w:marRight w:val="0"/>
                  <w:marTop w:val="150"/>
                  <w:marBottom w:val="0"/>
                  <w:divBdr>
                    <w:top w:val="none" w:sz="0" w:space="0" w:color="auto"/>
                    <w:left w:val="none" w:sz="0" w:space="0" w:color="auto"/>
                    <w:bottom w:val="none" w:sz="0" w:space="0" w:color="auto"/>
                    <w:right w:val="none" w:sz="0" w:space="0" w:color="auto"/>
                  </w:divBdr>
                  <w:divsChild>
                    <w:div w:id="20858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340176">
      <w:bodyDiv w:val="1"/>
      <w:marLeft w:val="0"/>
      <w:marRight w:val="0"/>
      <w:marTop w:val="0"/>
      <w:marBottom w:val="0"/>
      <w:divBdr>
        <w:top w:val="none" w:sz="0" w:space="0" w:color="auto"/>
        <w:left w:val="none" w:sz="0" w:space="0" w:color="auto"/>
        <w:bottom w:val="none" w:sz="0" w:space="0" w:color="auto"/>
        <w:right w:val="none" w:sz="0" w:space="0" w:color="auto"/>
      </w:divBdr>
    </w:div>
    <w:div w:id="1938059103">
      <w:bodyDiv w:val="1"/>
      <w:marLeft w:val="0"/>
      <w:marRight w:val="0"/>
      <w:marTop w:val="0"/>
      <w:marBottom w:val="0"/>
      <w:divBdr>
        <w:top w:val="none" w:sz="0" w:space="0" w:color="auto"/>
        <w:left w:val="none" w:sz="0" w:space="0" w:color="auto"/>
        <w:bottom w:val="none" w:sz="0" w:space="0" w:color="auto"/>
        <w:right w:val="none" w:sz="0" w:space="0" w:color="auto"/>
      </w:divBdr>
    </w:div>
    <w:div w:id="1964263183">
      <w:bodyDiv w:val="1"/>
      <w:marLeft w:val="0"/>
      <w:marRight w:val="0"/>
      <w:marTop w:val="0"/>
      <w:marBottom w:val="0"/>
      <w:divBdr>
        <w:top w:val="none" w:sz="0" w:space="0" w:color="auto"/>
        <w:left w:val="none" w:sz="0" w:space="0" w:color="auto"/>
        <w:bottom w:val="none" w:sz="0" w:space="0" w:color="auto"/>
        <w:right w:val="none" w:sz="0" w:space="0" w:color="auto"/>
      </w:divBdr>
    </w:div>
    <w:div w:id="1968122662">
      <w:bodyDiv w:val="1"/>
      <w:marLeft w:val="0"/>
      <w:marRight w:val="0"/>
      <w:marTop w:val="0"/>
      <w:marBottom w:val="0"/>
      <w:divBdr>
        <w:top w:val="none" w:sz="0" w:space="0" w:color="auto"/>
        <w:left w:val="none" w:sz="0" w:space="0" w:color="auto"/>
        <w:bottom w:val="none" w:sz="0" w:space="0" w:color="auto"/>
        <w:right w:val="none" w:sz="0" w:space="0" w:color="auto"/>
      </w:divBdr>
    </w:div>
    <w:div w:id="1991010163">
      <w:bodyDiv w:val="1"/>
      <w:marLeft w:val="0"/>
      <w:marRight w:val="0"/>
      <w:marTop w:val="0"/>
      <w:marBottom w:val="0"/>
      <w:divBdr>
        <w:top w:val="none" w:sz="0" w:space="0" w:color="auto"/>
        <w:left w:val="none" w:sz="0" w:space="0" w:color="auto"/>
        <w:bottom w:val="none" w:sz="0" w:space="0" w:color="auto"/>
        <w:right w:val="none" w:sz="0" w:space="0" w:color="auto"/>
      </w:divBdr>
      <w:divsChild>
        <w:div w:id="784229660">
          <w:marLeft w:val="0"/>
          <w:marRight w:val="0"/>
          <w:marTop w:val="0"/>
          <w:marBottom w:val="0"/>
          <w:divBdr>
            <w:top w:val="single" w:sz="2" w:space="0" w:color="E5E7EB"/>
            <w:left w:val="single" w:sz="2" w:space="0" w:color="E5E7EB"/>
            <w:bottom w:val="single" w:sz="2" w:space="0" w:color="E5E7EB"/>
            <w:right w:val="single" w:sz="2" w:space="0" w:color="E5E7EB"/>
          </w:divBdr>
          <w:divsChild>
            <w:div w:id="924343987">
              <w:marLeft w:val="0"/>
              <w:marRight w:val="0"/>
              <w:marTop w:val="0"/>
              <w:marBottom w:val="0"/>
              <w:divBdr>
                <w:top w:val="single" w:sz="2" w:space="0" w:color="E5E7EB"/>
                <w:left w:val="single" w:sz="2" w:space="0" w:color="E5E7EB"/>
                <w:bottom w:val="single" w:sz="2" w:space="0" w:color="E5E7EB"/>
                <w:right w:val="single" w:sz="2" w:space="0" w:color="E5E7EB"/>
              </w:divBdr>
            </w:div>
            <w:div w:id="7104260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3075952">
          <w:marLeft w:val="0"/>
          <w:marRight w:val="0"/>
          <w:marTop w:val="0"/>
          <w:marBottom w:val="0"/>
          <w:divBdr>
            <w:top w:val="single" w:sz="2" w:space="0" w:color="E5E7EB"/>
            <w:left w:val="single" w:sz="2" w:space="0" w:color="E5E7EB"/>
            <w:bottom w:val="single" w:sz="2" w:space="0" w:color="E5E7EB"/>
            <w:right w:val="single" w:sz="2" w:space="0" w:color="E5E7EB"/>
          </w:divBdr>
          <w:divsChild>
            <w:div w:id="245725639">
              <w:marLeft w:val="0"/>
              <w:marRight w:val="0"/>
              <w:marTop w:val="0"/>
              <w:marBottom w:val="0"/>
              <w:divBdr>
                <w:top w:val="single" w:sz="2" w:space="0" w:color="E5E7EB"/>
                <w:left w:val="single" w:sz="2" w:space="0" w:color="E5E7EB"/>
                <w:bottom w:val="single" w:sz="2" w:space="0" w:color="E5E7EB"/>
                <w:right w:val="single" w:sz="2" w:space="0" w:color="E5E7EB"/>
              </w:divBdr>
            </w:div>
            <w:div w:id="1722826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8590063">
          <w:marLeft w:val="0"/>
          <w:marRight w:val="0"/>
          <w:marTop w:val="0"/>
          <w:marBottom w:val="0"/>
          <w:divBdr>
            <w:top w:val="single" w:sz="2" w:space="0" w:color="E5E7EB"/>
            <w:left w:val="single" w:sz="2" w:space="0" w:color="E5E7EB"/>
            <w:bottom w:val="single" w:sz="2" w:space="0" w:color="E5E7EB"/>
            <w:right w:val="single" w:sz="2" w:space="0" w:color="E5E7EB"/>
          </w:divBdr>
          <w:divsChild>
            <w:div w:id="271018681">
              <w:marLeft w:val="0"/>
              <w:marRight w:val="0"/>
              <w:marTop w:val="0"/>
              <w:marBottom w:val="0"/>
              <w:divBdr>
                <w:top w:val="single" w:sz="2" w:space="0" w:color="E5E7EB"/>
                <w:left w:val="single" w:sz="2" w:space="0" w:color="E5E7EB"/>
                <w:bottom w:val="single" w:sz="2" w:space="0" w:color="E5E7EB"/>
                <w:right w:val="single" w:sz="2" w:space="0" w:color="E5E7EB"/>
              </w:divBdr>
            </w:div>
            <w:div w:id="1782265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1794604">
          <w:marLeft w:val="0"/>
          <w:marRight w:val="0"/>
          <w:marTop w:val="0"/>
          <w:marBottom w:val="0"/>
          <w:divBdr>
            <w:top w:val="single" w:sz="2" w:space="0" w:color="E5E7EB"/>
            <w:left w:val="single" w:sz="2" w:space="0" w:color="E5E7EB"/>
            <w:bottom w:val="single" w:sz="2" w:space="0" w:color="E5E7EB"/>
            <w:right w:val="single" w:sz="2" w:space="0" w:color="E5E7EB"/>
          </w:divBdr>
          <w:divsChild>
            <w:div w:id="1545406698">
              <w:marLeft w:val="0"/>
              <w:marRight w:val="0"/>
              <w:marTop w:val="0"/>
              <w:marBottom w:val="0"/>
              <w:divBdr>
                <w:top w:val="single" w:sz="2" w:space="0" w:color="E5E7EB"/>
                <w:left w:val="single" w:sz="2" w:space="0" w:color="E5E7EB"/>
                <w:bottom w:val="single" w:sz="2" w:space="0" w:color="E5E7EB"/>
                <w:right w:val="single" w:sz="2" w:space="0" w:color="E5E7EB"/>
              </w:divBdr>
            </w:div>
            <w:div w:id="2035030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4906225">
          <w:marLeft w:val="0"/>
          <w:marRight w:val="0"/>
          <w:marTop w:val="0"/>
          <w:marBottom w:val="0"/>
          <w:divBdr>
            <w:top w:val="single" w:sz="2" w:space="0" w:color="E5E7EB"/>
            <w:left w:val="single" w:sz="2" w:space="0" w:color="E5E7EB"/>
            <w:bottom w:val="single" w:sz="2" w:space="0" w:color="E5E7EB"/>
            <w:right w:val="single" w:sz="2" w:space="0" w:color="E5E7EB"/>
          </w:divBdr>
          <w:divsChild>
            <w:div w:id="864632002">
              <w:marLeft w:val="0"/>
              <w:marRight w:val="0"/>
              <w:marTop w:val="0"/>
              <w:marBottom w:val="0"/>
              <w:divBdr>
                <w:top w:val="single" w:sz="2" w:space="0" w:color="E5E7EB"/>
                <w:left w:val="single" w:sz="2" w:space="0" w:color="E5E7EB"/>
                <w:bottom w:val="single" w:sz="2" w:space="0" w:color="E5E7EB"/>
                <w:right w:val="single" w:sz="2" w:space="0" w:color="E5E7EB"/>
              </w:divBdr>
            </w:div>
            <w:div w:id="70391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884102">
          <w:marLeft w:val="0"/>
          <w:marRight w:val="0"/>
          <w:marTop w:val="0"/>
          <w:marBottom w:val="0"/>
          <w:divBdr>
            <w:top w:val="single" w:sz="2" w:space="0" w:color="E5E7EB"/>
            <w:left w:val="single" w:sz="2" w:space="0" w:color="E5E7EB"/>
            <w:bottom w:val="single" w:sz="2" w:space="0" w:color="E5E7EB"/>
            <w:right w:val="single" w:sz="2" w:space="0" w:color="E5E7EB"/>
          </w:divBdr>
          <w:divsChild>
            <w:div w:id="1668442659">
              <w:marLeft w:val="0"/>
              <w:marRight w:val="0"/>
              <w:marTop w:val="0"/>
              <w:marBottom w:val="0"/>
              <w:divBdr>
                <w:top w:val="single" w:sz="2" w:space="0" w:color="E5E7EB"/>
                <w:left w:val="single" w:sz="2" w:space="0" w:color="E5E7EB"/>
                <w:bottom w:val="single" w:sz="2" w:space="0" w:color="E5E7EB"/>
                <w:right w:val="single" w:sz="2" w:space="0" w:color="E5E7EB"/>
              </w:divBdr>
            </w:div>
            <w:div w:id="1562864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1640048">
          <w:marLeft w:val="0"/>
          <w:marRight w:val="0"/>
          <w:marTop w:val="0"/>
          <w:marBottom w:val="0"/>
          <w:divBdr>
            <w:top w:val="single" w:sz="2" w:space="0" w:color="E5E7EB"/>
            <w:left w:val="single" w:sz="2" w:space="0" w:color="E5E7EB"/>
            <w:bottom w:val="single" w:sz="2" w:space="0" w:color="E5E7EB"/>
            <w:right w:val="single" w:sz="2" w:space="0" w:color="E5E7EB"/>
          </w:divBdr>
          <w:divsChild>
            <w:div w:id="1775976267">
              <w:marLeft w:val="0"/>
              <w:marRight w:val="0"/>
              <w:marTop w:val="0"/>
              <w:marBottom w:val="0"/>
              <w:divBdr>
                <w:top w:val="single" w:sz="2" w:space="0" w:color="E5E7EB"/>
                <w:left w:val="single" w:sz="2" w:space="0" w:color="E5E7EB"/>
                <w:bottom w:val="single" w:sz="2" w:space="0" w:color="E5E7EB"/>
                <w:right w:val="single" w:sz="2" w:space="0" w:color="E5E7EB"/>
              </w:divBdr>
            </w:div>
            <w:div w:id="1129014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4101410">
          <w:marLeft w:val="0"/>
          <w:marRight w:val="0"/>
          <w:marTop w:val="0"/>
          <w:marBottom w:val="0"/>
          <w:divBdr>
            <w:top w:val="single" w:sz="2" w:space="0" w:color="E5E7EB"/>
            <w:left w:val="single" w:sz="2" w:space="0" w:color="E5E7EB"/>
            <w:bottom w:val="single" w:sz="2" w:space="0" w:color="E5E7EB"/>
            <w:right w:val="single" w:sz="2" w:space="0" w:color="E5E7EB"/>
          </w:divBdr>
          <w:divsChild>
            <w:div w:id="1173567882">
              <w:marLeft w:val="0"/>
              <w:marRight w:val="0"/>
              <w:marTop w:val="0"/>
              <w:marBottom w:val="0"/>
              <w:divBdr>
                <w:top w:val="single" w:sz="2" w:space="0" w:color="E5E7EB"/>
                <w:left w:val="single" w:sz="2" w:space="0" w:color="E5E7EB"/>
                <w:bottom w:val="single" w:sz="2" w:space="0" w:color="E5E7EB"/>
                <w:right w:val="single" w:sz="2" w:space="0" w:color="E5E7EB"/>
              </w:divBdr>
            </w:div>
            <w:div w:id="2144076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7359329">
          <w:marLeft w:val="0"/>
          <w:marRight w:val="0"/>
          <w:marTop w:val="0"/>
          <w:marBottom w:val="0"/>
          <w:divBdr>
            <w:top w:val="single" w:sz="2" w:space="0" w:color="E5E7EB"/>
            <w:left w:val="single" w:sz="2" w:space="0" w:color="E5E7EB"/>
            <w:bottom w:val="single" w:sz="2" w:space="0" w:color="E5E7EB"/>
            <w:right w:val="single" w:sz="2" w:space="0" w:color="E5E7EB"/>
          </w:divBdr>
          <w:divsChild>
            <w:div w:id="1953710747">
              <w:marLeft w:val="0"/>
              <w:marRight w:val="0"/>
              <w:marTop w:val="0"/>
              <w:marBottom w:val="0"/>
              <w:divBdr>
                <w:top w:val="single" w:sz="2" w:space="0" w:color="E5E7EB"/>
                <w:left w:val="single" w:sz="2" w:space="0" w:color="E5E7EB"/>
                <w:bottom w:val="single" w:sz="2" w:space="0" w:color="E5E7EB"/>
                <w:right w:val="single" w:sz="2" w:space="0" w:color="E5E7EB"/>
              </w:divBdr>
            </w:div>
            <w:div w:id="1128548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5902428">
          <w:marLeft w:val="0"/>
          <w:marRight w:val="0"/>
          <w:marTop w:val="0"/>
          <w:marBottom w:val="0"/>
          <w:divBdr>
            <w:top w:val="single" w:sz="2" w:space="0" w:color="E5E7EB"/>
            <w:left w:val="single" w:sz="2" w:space="0" w:color="E5E7EB"/>
            <w:bottom w:val="single" w:sz="2" w:space="0" w:color="E5E7EB"/>
            <w:right w:val="single" w:sz="2" w:space="0" w:color="E5E7EB"/>
          </w:divBdr>
          <w:divsChild>
            <w:div w:id="774666855">
              <w:marLeft w:val="0"/>
              <w:marRight w:val="0"/>
              <w:marTop w:val="0"/>
              <w:marBottom w:val="0"/>
              <w:divBdr>
                <w:top w:val="single" w:sz="2" w:space="0" w:color="E5E7EB"/>
                <w:left w:val="single" w:sz="2" w:space="0" w:color="E5E7EB"/>
                <w:bottom w:val="single" w:sz="2" w:space="0" w:color="E5E7EB"/>
                <w:right w:val="single" w:sz="2" w:space="0" w:color="E5E7EB"/>
              </w:divBdr>
            </w:div>
            <w:div w:id="1628273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7533071">
          <w:marLeft w:val="0"/>
          <w:marRight w:val="0"/>
          <w:marTop w:val="0"/>
          <w:marBottom w:val="0"/>
          <w:divBdr>
            <w:top w:val="single" w:sz="2" w:space="0" w:color="E5E7EB"/>
            <w:left w:val="single" w:sz="2" w:space="0" w:color="E5E7EB"/>
            <w:bottom w:val="single" w:sz="2" w:space="0" w:color="E5E7EB"/>
            <w:right w:val="single" w:sz="2" w:space="0" w:color="E5E7EB"/>
          </w:divBdr>
          <w:divsChild>
            <w:div w:id="449936010">
              <w:marLeft w:val="0"/>
              <w:marRight w:val="0"/>
              <w:marTop w:val="0"/>
              <w:marBottom w:val="0"/>
              <w:divBdr>
                <w:top w:val="single" w:sz="2" w:space="0" w:color="E5E7EB"/>
                <w:left w:val="single" w:sz="2" w:space="0" w:color="E5E7EB"/>
                <w:bottom w:val="single" w:sz="2" w:space="0" w:color="E5E7EB"/>
                <w:right w:val="single" w:sz="2" w:space="0" w:color="E5E7EB"/>
              </w:divBdr>
            </w:div>
            <w:div w:id="854031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7333013">
          <w:marLeft w:val="0"/>
          <w:marRight w:val="0"/>
          <w:marTop w:val="0"/>
          <w:marBottom w:val="0"/>
          <w:divBdr>
            <w:top w:val="single" w:sz="2" w:space="0" w:color="E5E7EB"/>
            <w:left w:val="single" w:sz="2" w:space="0" w:color="E5E7EB"/>
            <w:bottom w:val="single" w:sz="2" w:space="0" w:color="E5E7EB"/>
            <w:right w:val="single" w:sz="2" w:space="0" w:color="E5E7EB"/>
          </w:divBdr>
          <w:divsChild>
            <w:div w:id="1503352906">
              <w:marLeft w:val="0"/>
              <w:marRight w:val="0"/>
              <w:marTop w:val="0"/>
              <w:marBottom w:val="0"/>
              <w:divBdr>
                <w:top w:val="single" w:sz="2" w:space="0" w:color="E5E7EB"/>
                <w:left w:val="single" w:sz="2" w:space="0" w:color="E5E7EB"/>
                <w:bottom w:val="single" w:sz="2" w:space="0" w:color="E5E7EB"/>
                <w:right w:val="single" w:sz="2" w:space="0" w:color="E5E7EB"/>
              </w:divBdr>
            </w:div>
            <w:div w:id="789709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9154233">
          <w:marLeft w:val="0"/>
          <w:marRight w:val="0"/>
          <w:marTop w:val="0"/>
          <w:marBottom w:val="0"/>
          <w:divBdr>
            <w:top w:val="single" w:sz="2" w:space="0" w:color="E5E7EB"/>
            <w:left w:val="single" w:sz="2" w:space="0" w:color="E5E7EB"/>
            <w:bottom w:val="single" w:sz="2" w:space="0" w:color="E5E7EB"/>
            <w:right w:val="single" w:sz="2" w:space="0" w:color="E5E7EB"/>
          </w:divBdr>
          <w:divsChild>
            <w:div w:id="1604923206">
              <w:marLeft w:val="0"/>
              <w:marRight w:val="0"/>
              <w:marTop w:val="0"/>
              <w:marBottom w:val="0"/>
              <w:divBdr>
                <w:top w:val="single" w:sz="2" w:space="0" w:color="E5E7EB"/>
                <w:left w:val="single" w:sz="2" w:space="0" w:color="E5E7EB"/>
                <w:bottom w:val="single" w:sz="2" w:space="0" w:color="E5E7EB"/>
                <w:right w:val="single" w:sz="2" w:space="0" w:color="E5E7EB"/>
              </w:divBdr>
            </w:div>
            <w:div w:id="392507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7758720">
          <w:marLeft w:val="0"/>
          <w:marRight w:val="0"/>
          <w:marTop w:val="0"/>
          <w:marBottom w:val="0"/>
          <w:divBdr>
            <w:top w:val="single" w:sz="2" w:space="0" w:color="E5E7EB"/>
            <w:left w:val="single" w:sz="2" w:space="0" w:color="E5E7EB"/>
            <w:bottom w:val="single" w:sz="2" w:space="0" w:color="E5E7EB"/>
            <w:right w:val="single" w:sz="2" w:space="0" w:color="E5E7EB"/>
          </w:divBdr>
          <w:divsChild>
            <w:div w:id="1140000194">
              <w:marLeft w:val="0"/>
              <w:marRight w:val="0"/>
              <w:marTop w:val="0"/>
              <w:marBottom w:val="0"/>
              <w:divBdr>
                <w:top w:val="single" w:sz="2" w:space="0" w:color="E5E7EB"/>
                <w:left w:val="single" w:sz="2" w:space="0" w:color="E5E7EB"/>
                <w:bottom w:val="single" w:sz="2" w:space="0" w:color="E5E7EB"/>
                <w:right w:val="single" w:sz="2" w:space="0" w:color="E5E7EB"/>
              </w:divBdr>
            </w:div>
            <w:div w:id="1669168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4659429">
          <w:marLeft w:val="0"/>
          <w:marRight w:val="0"/>
          <w:marTop w:val="0"/>
          <w:marBottom w:val="0"/>
          <w:divBdr>
            <w:top w:val="single" w:sz="2" w:space="0" w:color="E5E7EB"/>
            <w:left w:val="single" w:sz="2" w:space="0" w:color="E5E7EB"/>
            <w:bottom w:val="single" w:sz="2" w:space="0" w:color="E5E7EB"/>
            <w:right w:val="single" w:sz="2" w:space="0" w:color="E5E7EB"/>
          </w:divBdr>
          <w:divsChild>
            <w:div w:id="1407144377">
              <w:marLeft w:val="0"/>
              <w:marRight w:val="0"/>
              <w:marTop w:val="0"/>
              <w:marBottom w:val="0"/>
              <w:divBdr>
                <w:top w:val="single" w:sz="2" w:space="0" w:color="E5E7EB"/>
                <w:left w:val="single" w:sz="2" w:space="0" w:color="E5E7EB"/>
                <w:bottom w:val="single" w:sz="2" w:space="0" w:color="E5E7EB"/>
                <w:right w:val="single" w:sz="2" w:space="0" w:color="E5E7EB"/>
              </w:divBdr>
            </w:div>
            <w:div w:id="1229731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5109555">
          <w:marLeft w:val="0"/>
          <w:marRight w:val="0"/>
          <w:marTop w:val="0"/>
          <w:marBottom w:val="0"/>
          <w:divBdr>
            <w:top w:val="single" w:sz="2" w:space="0" w:color="E5E7EB"/>
            <w:left w:val="single" w:sz="2" w:space="0" w:color="E5E7EB"/>
            <w:bottom w:val="single" w:sz="2" w:space="0" w:color="E5E7EB"/>
            <w:right w:val="single" w:sz="2" w:space="0" w:color="E5E7EB"/>
          </w:divBdr>
          <w:divsChild>
            <w:div w:id="1368066271">
              <w:marLeft w:val="0"/>
              <w:marRight w:val="0"/>
              <w:marTop w:val="0"/>
              <w:marBottom w:val="0"/>
              <w:divBdr>
                <w:top w:val="single" w:sz="2" w:space="0" w:color="E5E7EB"/>
                <w:left w:val="single" w:sz="2" w:space="0" w:color="E5E7EB"/>
                <w:bottom w:val="single" w:sz="2" w:space="0" w:color="E5E7EB"/>
                <w:right w:val="single" w:sz="2" w:space="0" w:color="E5E7EB"/>
              </w:divBdr>
            </w:div>
            <w:div w:id="1822428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408313">
          <w:marLeft w:val="0"/>
          <w:marRight w:val="0"/>
          <w:marTop w:val="0"/>
          <w:marBottom w:val="0"/>
          <w:divBdr>
            <w:top w:val="single" w:sz="2" w:space="0" w:color="E5E7EB"/>
            <w:left w:val="single" w:sz="2" w:space="0" w:color="E5E7EB"/>
            <w:bottom w:val="single" w:sz="2" w:space="0" w:color="E5E7EB"/>
            <w:right w:val="single" w:sz="2" w:space="0" w:color="E5E7EB"/>
          </w:divBdr>
          <w:divsChild>
            <w:div w:id="973172793">
              <w:marLeft w:val="0"/>
              <w:marRight w:val="0"/>
              <w:marTop w:val="0"/>
              <w:marBottom w:val="0"/>
              <w:divBdr>
                <w:top w:val="single" w:sz="2" w:space="0" w:color="E5E7EB"/>
                <w:left w:val="single" w:sz="2" w:space="0" w:color="E5E7EB"/>
                <w:bottom w:val="single" w:sz="2" w:space="0" w:color="E5E7EB"/>
                <w:right w:val="single" w:sz="2" w:space="0" w:color="E5E7EB"/>
              </w:divBdr>
            </w:div>
            <w:div w:id="1909878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6489610">
      <w:bodyDiv w:val="1"/>
      <w:marLeft w:val="0"/>
      <w:marRight w:val="0"/>
      <w:marTop w:val="0"/>
      <w:marBottom w:val="0"/>
      <w:divBdr>
        <w:top w:val="none" w:sz="0" w:space="0" w:color="auto"/>
        <w:left w:val="none" w:sz="0" w:space="0" w:color="auto"/>
        <w:bottom w:val="none" w:sz="0" w:space="0" w:color="auto"/>
        <w:right w:val="none" w:sz="0" w:space="0" w:color="auto"/>
      </w:divBdr>
    </w:div>
    <w:div w:id="2026051332">
      <w:bodyDiv w:val="1"/>
      <w:marLeft w:val="0"/>
      <w:marRight w:val="0"/>
      <w:marTop w:val="0"/>
      <w:marBottom w:val="0"/>
      <w:divBdr>
        <w:top w:val="none" w:sz="0" w:space="0" w:color="auto"/>
        <w:left w:val="none" w:sz="0" w:space="0" w:color="auto"/>
        <w:bottom w:val="none" w:sz="0" w:space="0" w:color="auto"/>
        <w:right w:val="none" w:sz="0" w:space="0" w:color="auto"/>
      </w:divBdr>
      <w:divsChild>
        <w:div w:id="1950311277">
          <w:marLeft w:val="150"/>
          <w:marRight w:val="0"/>
          <w:marTop w:val="0"/>
          <w:marBottom w:val="0"/>
          <w:divBdr>
            <w:top w:val="none" w:sz="0" w:space="0" w:color="auto"/>
            <w:left w:val="none" w:sz="0" w:space="0" w:color="auto"/>
            <w:bottom w:val="none" w:sz="0" w:space="0" w:color="auto"/>
            <w:right w:val="none" w:sz="0" w:space="0" w:color="auto"/>
          </w:divBdr>
          <w:divsChild>
            <w:div w:id="6627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364">
      <w:bodyDiv w:val="1"/>
      <w:marLeft w:val="0"/>
      <w:marRight w:val="0"/>
      <w:marTop w:val="0"/>
      <w:marBottom w:val="0"/>
      <w:divBdr>
        <w:top w:val="none" w:sz="0" w:space="0" w:color="auto"/>
        <w:left w:val="none" w:sz="0" w:space="0" w:color="auto"/>
        <w:bottom w:val="none" w:sz="0" w:space="0" w:color="auto"/>
        <w:right w:val="none" w:sz="0" w:space="0" w:color="auto"/>
      </w:divBdr>
      <w:divsChild>
        <w:div w:id="415175511">
          <w:marLeft w:val="150"/>
          <w:marRight w:val="0"/>
          <w:marTop w:val="0"/>
          <w:marBottom w:val="0"/>
          <w:divBdr>
            <w:top w:val="none" w:sz="0" w:space="0" w:color="auto"/>
            <w:left w:val="none" w:sz="0" w:space="0" w:color="auto"/>
            <w:bottom w:val="none" w:sz="0" w:space="0" w:color="auto"/>
            <w:right w:val="none" w:sz="0" w:space="0" w:color="auto"/>
          </w:divBdr>
          <w:divsChild>
            <w:div w:id="5263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10121">
      <w:bodyDiv w:val="1"/>
      <w:marLeft w:val="0"/>
      <w:marRight w:val="0"/>
      <w:marTop w:val="0"/>
      <w:marBottom w:val="0"/>
      <w:divBdr>
        <w:top w:val="none" w:sz="0" w:space="0" w:color="auto"/>
        <w:left w:val="none" w:sz="0" w:space="0" w:color="auto"/>
        <w:bottom w:val="none" w:sz="0" w:space="0" w:color="auto"/>
        <w:right w:val="none" w:sz="0" w:space="0" w:color="auto"/>
      </w:divBdr>
    </w:div>
    <w:div w:id="2047945947">
      <w:bodyDiv w:val="1"/>
      <w:marLeft w:val="0"/>
      <w:marRight w:val="0"/>
      <w:marTop w:val="0"/>
      <w:marBottom w:val="0"/>
      <w:divBdr>
        <w:top w:val="none" w:sz="0" w:space="0" w:color="auto"/>
        <w:left w:val="none" w:sz="0" w:space="0" w:color="auto"/>
        <w:bottom w:val="none" w:sz="0" w:space="0" w:color="auto"/>
        <w:right w:val="none" w:sz="0" w:space="0" w:color="auto"/>
      </w:divBdr>
    </w:div>
    <w:div w:id="2069956745">
      <w:bodyDiv w:val="1"/>
      <w:marLeft w:val="0"/>
      <w:marRight w:val="0"/>
      <w:marTop w:val="0"/>
      <w:marBottom w:val="0"/>
      <w:divBdr>
        <w:top w:val="none" w:sz="0" w:space="0" w:color="auto"/>
        <w:left w:val="none" w:sz="0" w:space="0" w:color="auto"/>
        <w:bottom w:val="none" w:sz="0" w:space="0" w:color="auto"/>
        <w:right w:val="none" w:sz="0" w:space="0" w:color="auto"/>
      </w:divBdr>
    </w:div>
    <w:div w:id="2113739579">
      <w:bodyDiv w:val="1"/>
      <w:marLeft w:val="0"/>
      <w:marRight w:val="0"/>
      <w:marTop w:val="0"/>
      <w:marBottom w:val="0"/>
      <w:divBdr>
        <w:top w:val="none" w:sz="0" w:space="0" w:color="auto"/>
        <w:left w:val="none" w:sz="0" w:space="0" w:color="auto"/>
        <w:bottom w:val="none" w:sz="0" w:space="0" w:color="auto"/>
        <w:right w:val="none" w:sz="0" w:space="0" w:color="auto"/>
      </w:divBdr>
      <w:divsChild>
        <w:div w:id="1442335432">
          <w:marLeft w:val="0"/>
          <w:marRight w:val="0"/>
          <w:marTop w:val="0"/>
          <w:marBottom w:val="0"/>
          <w:divBdr>
            <w:top w:val="single" w:sz="2" w:space="0" w:color="E5E7EB"/>
            <w:left w:val="single" w:sz="2" w:space="0" w:color="E5E7EB"/>
            <w:bottom w:val="single" w:sz="2" w:space="0" w:color="E5E7EB"/>
            <w:right w:val="single" w:sz="2" w:space="0" w:color="E5E7EB"/>
          </w:divBdr>
          <w:divsChild>
            <w:div w:id="203031857">
              <w:marLeft w:val="0"/>
              <w:marRight w:val="0"/>
              <w:marTop w:val="0"/>
              <w:marBottom w:val="0"/>
              <w:divBdr>
                <w:top w:val="single" w:sz="2" w:space="0" w:color="E5E7EB"/>
                <w:left w:val="single" w:sz="2" w:space="0" w:color="E5E7EB"/>
                <w:bottom w:val="single" w:sz="2" w:space="0" w:color="E5E7EB"/>
                <w:right w:val="single" w:sz="2" w:space="0" w:color="E5E7EB"/>
              </w:divBdr>
            </w:div>
            <w:div w:id="714281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1117491">
          <w:marLeft w:val="0"/>
          <w:marRight w:val="0"/>
          <w:marTop w:val="0"/>
          <w:marBottom w:val="0"/>
          <w:divBdr>
            <w:top w:val="single" w:sz="2" w:space="0" w:color="E5E7EB"/>
            <w:left w:val="single" w:sz="2" w:space="0" w:color="E5E7EB"/>
            <w:bottom w:val="single" w:sz="2" w:space="0" w:color="E5E7EB"/>
            <w:right w:val="single" w:sz="2" w:space="0" w:color="E5E7EB"/>
          </w:divBdr>
          <w:divsChild>
            <w:div w:id="1775978427">
              <w:marLeft w:val="0"/>
              <w:marRight w:val="0"/>
              <w:marTop w:val="0"/>
              <w:marBottom w:val="0"/>
              <w:divBdr>
                <w:top w:val="single" w:sz="2" w:space="0" w:color="E5E7EB"/>
                <w:left w:val="single" w:sz="2" w:space="0" w:color="E5E7EB"/>
                <w:bottom w:val="single" w:sz="2" w:space="0" w:color="E5E7EB"/>
                <w:right w:val="single" w:sz="2" w:space="0" w:color="E5E7EB"/>
              </w:divBdr>
            </w:div>
            <w:div w:id="2035379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1717284">
          <w:marLeft w:val="0"/>
          <w:marRight w:val="0"/>
          <w:marTop w:val="0"/>
          <w:marBottom w:val="0"/>
          <w:divBdr>
            <w:top w:val="single" w:sz="2" w:space="0" w:color="E5E7EB"/>
            <w:left w:val="single" w:sz="2" w:space="0" w:color="E5E7EB"/>
            <w:bottom w:val="single" w:sz="2" w:space="0" w:color="E5E7EB"/>
            <w:right w:val="single" w:sz="2" w:space="0" w:color="E5E7EB"/>
          </w:divBdr>
          <w:divsChild>
            <w:div w:id="1302880182">
              <w:marLeft w:val="0"/>
              <w:marRight w:val="0"/>
              <w:marTop w:val="0"/>
              <w:marBottom w:val="0"/>
              <w:divBdr>
                <w:top w:val="single" w:sz="2" w:space="0" w:color="E5E7EB"/>
                <w:left w:val="single" w:sz="2" w:space="0" w:color="E5E7EB"/>
                <w:bottom w:val="single" w:sz="2" w:space="0" w:color="E5E7EB"/>
                <w:right w:val="single" w:sz="2" w:space="0" w:color="E5E7EB"/>
              </w:divBdr>
            </w:div>
            <w:div w:id="1915048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8059476">
          <w:marLeft w:val="0"/>
          <w:marRight w:val="0"/>
          <w:marTop w:val="0"/>
          <w:marBottom w:val="0"/>
          <w:divBdr>
            <w:top w:val="single" w:sz="2" w:space="0" w:color="E5E7EB"/>
            <w:left w:val="single" w:sz="2" w:space="0" w:color="E5E7EB"/>
            <w:bottom w:val="single" w:sz="2" w:space="0" w:color="E5E7EB"/>
            <w:right w:val="single" w:sz="2" w:space="0" w:color="E5E7EB"/>
          </w:divBdr>
          <w:divsChild>
            <w:div w:id="1952282343">
              <w:marLeft w:val="0"/>
              <w:marRight w:val="0"/>
              <w:marTop w:val="0"/>
              <w:marBottom w:val="0"/>
              <w:divBdr>
                <w:top w:val="single" w:sz="2" w:space="0" w:color="E5E7EB"/>
                <w:left w:val="single" w:sz="2" w:space="0" w:color="E5E7EB"/>
                <w:bottom w:val="single" w:sz="2" w:space="0" w:color="E5E7EB"/>
                <w:right w:val="single" w:sz="2" w:space="0" w:color="E5E7EB"/>
              </w:divBdr>
            </w:div>
            <w:div w:id="5751708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7491728">
          <w:marLeft w:val="0"/>
          <w:marRight w:val="0"/>
          <w:marTop w:val="0"/>
          <w:marBottom w:val="0"/>
          <w:divBdr>
            <w:top w:val="single" w:sz="2" w:space="0" w:color="E5E7EB"/>
            <w:left w:val="single" w:sz="2" w:space="0" w:color="E5E7EB"/>
            <w:bottom w:val="single" w:sz="2" w:space="0" w:color="E5E7EB"/>
            <w:right w:val="single" w:sz="2" w:space="0" w:color="E5E7EB"/>
          </w:divBdr>
          <w:divsChild>
            <w:div w:id="1406492242">
              <w:marLeft w:val="0"/>
              <w:marRight w:val="0"/>
              <w:marTop w:val="0"/>
              <w:marBottom w:val="0"/>
              <w:divBdr>
                <w:top w:val="single" w:sz="2" w:space="0" w:color="E5E7EB"/>
                <w:left w:val="single" w:sz="2" w:space="0" w:color="E5E7EB"/>
                <w:bottom w:val="single" w:sz="2" w:space="0" w:color="E5E7EB"/>
                <w:right w:val="single" w:sz="2" w:space="0" w:color="E5E7EB"/>
              </w:divBdr>
            </w:div>
            <w:div w:id="343244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6777109">
          <w:marLeft w:val="0"/>
          <w:marRight w:val="0"/>
          <w:marTop w:val="0"/>
          <w:marBottom w:val="0"/>
          <w:divBdr>
            <w:top w:val="single" w:sz="2" w:space="0" w:color="E5E7EB"/>
            <w:left w:val="single" w:sz="2" w:space="0" w:color="E5E7EB"/>
            <w:bottom w:val="single" w:sz="2" w:space="0" w:color="E5E7EB"/>
            <w:right w:val="single" w:sz="2" w:space="0" w:color="E5E7EB"/>
          </w:divBdr>
          <w:divsChild>
            <w:div w:id="1297103636">
              <w:marLeft w:val="0"/>
              <w:marRight w:val="0"/>
              <w:marTop w:val="0"/>
              <w:marBottom w:val="0"/>
              <w:divBdr>
                <w:top w:val="single" w:sz="2" w:space="0" w:color="E5E7EB"/>
                <w:left w:val="single" w:sz="2" w:space="0" w:color="E5E7EB"/>
                <w:bottom w:val="single" w:sz="2" w:space="0" w:color="E5E7EB"/>
                <w:right w:val="single" w:sz="2" w:space="0" w:color="E5E7EB"/>
              </w:divBdr>
            </w:div>
            <w:div w:id="341443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0077555">
          <w:marLeft w:val="0"/>
          <w:marRight w:val="0"/>
          <w:marTop w:val="0"/>
          <w:marBottom w:val="0"/>
          <w:divBdr>
            <w:top w:val="single" w:sz="2" w:space="0" w:color="E5E7EB"/>
            <w:left w:val="single" w:sz="2" w:space="0" w:color="E5E7EB"/>
            <w:bottom w:val="single" w:sz="2" w:space="0" w:color="E5E7EB"/>
            <w:right w:val="single" w:sz="2" w:space="0" w:color="E5E7EB"/>
          </w:divBdr>
          <w:divsChild>
            <w:div w:id="10180885">
              <w:marLeft w:val="0"/>
              <w:marRight w:val="0"/>
              <w:marTop w:val="0"/>
              <w:marBottom w:val="0"/>
              <w:divBdr>
                <w:top w:val="single" w:sz="2" w:space="0" w:color="E5E7EB"/>
                <w:left w:val="single" w:sz="2" w:space="0" w:color="E5E7EB"/>
                <w:bottom w:val="single" w:sz="2" w:space="0" w:color="E5E7EB"/>
                <w:right w:val="single" w:sz="2" w:space="0" w:color="E5E7EB"/>
              </w:divBdr>
            </w:div>
            <w:div w:id="668406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860470">
          <w:marLeft w:val="0"/>
          <w:marRight w:val="0"/>
          <w:marTop w:val="0"/>
          <w:marBottom w:val="0"/>
          <w:divBdr>
            <w:top w:val="single" w:sz="2" w:space="0" w:color="E5E7EB"/>
            <w:left w:val="single" w:sz="2" w:space="0" w:color="E5E7EB"/>
            <w:bottom w:val="single" w:sz="2" w:space="0" w:color="E5E7EB"/>
            <w:right w:val="single" w:sz="2" w:space="0" w:color="E5E7EB"/>
          </w:divBdr>
          <w:divsChild>
            <w:div w:id="1163201122">
              <w:marLeft w:val="0"/>
              <w:marRight w:val="0"/>
              <w:marTop w:val="0"/>
              <w:marBottom w:val="0"/>
              <w:divBdr>
                <w:top w:val="single" w:sz="2" w:space="0" w:color="E5E7EB"/>
                <w:left w:val="single" w:sz="2" w:space="0" w:color="E5E7EB"/>
                <w:bottom w:val="single" w:sz="2" w:space="0" w:color="E5E7EB"/>
                <w:right w:val="single" w:sz="2" w:space="0" w:color="E5E7EB"/>
              </w:divBdr>
            </w:div>
            <w:div w:id="1665935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3145369">
          <w:marLeft w:val="0"/>
          <w:marRight w:val="0"/>
          <w:marTop w:val="0"/>
          <w:marBottom w:val="0"/>
          <w:divBdr>
            <w:top w:val="single" w:sz="2" w:space="0" w:color="E5E7EB"/>
            <w:left w:val="single" w:sz="2" w:space="0" w:color="E5E7EB"/>
            <w:bottom w:val="single" w:sz="2" w:space="0" w:color="E5E7EB"/>
            <w:right w:val="single" w:sz="2" w:space="0" w:color="E5E7EB"/>
          </w:divBdr>
          <w:divsChild>
            <w:div w:id="1591809698">
              <w:marLeft w:val="0"/>
              <w:marRight w:val="0"/>
              <w:marTop w:val="0"/>
              <w:marBottom w:val="0"/>
              <w:divBdr>
                <w:top w:val="single" w:sz="2" w:space="0" w:color="E5E7EB"/>
                <w:left w:val="single" w:sz="2" w:space="0" w:color="E5E7EB"/>
                <w:bottom w:val="single" w:sz="2" w:space="0" w:color="E5E7EB"/>
                <w:right w:val="single" w:sz="2" w:space="0" w:color="E5E7EB"/>
              </w:divBdr>
            </w:div>
            <w:div w:id="1685814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0640732">
          <w:marLeft w:val="0"/>
          <w:marRight w:val="0"/>
          <w:marTop w:val="0"/>
          <w:marBottom w:val="0"/>
          <w:divBdr>
            <w:top w:val="single" w:sz="2" w:space="0" w:color="E5E7EB"/>
            <w:left w:val="single" w:sz="2" w:space="0" w:color="E5E7EB"/>
            <w:bottom w:val="single" w:sz="2" w:space="0" w:color="E5E7EB"/>
            <w:right w:val="single" w:sz="2" w:space="0" w:color="E5E7EB"/>
          </w:divBdr>
          <w:divsChild>
            <w:div w:id="1936747920">
              <w:marLeft w:val="0"/>
              <w:marRight w:val="0"/>
              <w:marTop w:val="0"/>
              <w:marBottom w:val="0"/>
              <w:divBdr>
                <w:top w:val="single" w:sz="2" w:space="0" w:color="E5E7EB"/>
                <w:left w:val="single" w:sz="2" w:space="0" w:color="E5E7EB"/>
                <w:bottom w:val="single" w:sz="2" w:space="0" w:color="E5E7EB"/>
                <w:right w:val="single" w:sz="2" w:space="0" w:color="E5E7EB"/>
              </w:divBdr>
            </w:div>
            <w:div w:id="1622879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953950">
          <w:marLeft w:val="0"/>
          <w:marRight w:val="0"/>
          <w:marTop w:val="0"/>
          <w:marBottom w:val="0"/>
          <w:divBdr>
            <w:top w:val="single" w:sz="2" w:space="0" w:color="E5E7EB"/>
            <w:left w:val="single" w:sz="2" w:space="0" w:color="E5E7EB"/>
            <w:bottom w:val="single" w:sz="2" w:space="0" w:color="E5E7EB"/>
            <w:right w:val="single" w:sz="2" w:space="0" w:color="E5E7EB"/>
          </w:divBdr>
          <w:divsChild>
            <w:div w:id="1877614766">
              <w:marLeft w:val="0"/>
              <w:marRight w:val="0"/>
              <w:marTop w:val="0"/>
              <w:marBottom w:val="0"/>
              <w:divBdr>
                <w:top w:val="single" w:sz="2" w:space="0" w:color="E5E7EB"/>
                <w:left w:val="single" w:sz="2" w:space="0" w:color="E5E7EB"/>
                <w:bottom w:val="single" w:sz="2" w:space="0" w:color="E5E7EB"/>
                <w:right w:val="single" w:sz="2" w:space="0" w:color="E5E7EB"/>
              </w:divBdr>
            </w:div>
            <w:div w:id="10336576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3876977">
          <w:marLeft w:val="0"/>
          <w:marRight w:val="0"/>
          <w:marTop w:val="0"/>
          <w:marBottom w:val="0"/>
          <w:divBdr>
            <w:top w:val="single" w:sz="2" w:space="0" w:color="E5E7EB"/>
            <w:left w:val="single" w:sz="2" w:space="0" w:color="E5E7EB"/>
            <w:bottom w:val="single" w:sz="2" w:space="0" w:color="E5E7EB"/>
            <w:right w:val="single" w:sz="2" w:space="0" w:color="E5E7EB"/>
          </w:divBdr>
          <w:divsChild>
            <w:div w:id="410152955">
              <w:marLeft w:val="0"/>
              <w:marRight w:val="0"/>
              <w:marTop w:val="0"/>
              <w:marBottom w:val="0"/>
              <w:divBdr>
                <w:top w:val="single" w:sz="2" w:space="0" w:color="E5E7EB"/>
                <w:left w:val="single" w:sz="2" w:space="0" w:color="E5E7EB"/>
                <w:bottom w:val="single" w:sz="2" w:space="0" w:color="E5E7EB"/>
                <w:right w:val="single" w:sz="2" w:space="0" w:color="E5E7EB"/>
              </w:divBdr>
            </w:div>
            <w:div w:id="593174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2363068">
          <w:marLeft w:val="0"/>
          <w:marRight w:val="0"/>
          <w:marTop w:val="0"/>
          <w:marBottom w:val="0"/>
          <w:divBdr>
            <w:top w:val="single" w:sz="2" w:space="0" w:color="E5E7EB"/>
            <w:left w:val="single" w:sz="2" w:space="0" w:color="E5E7EB"/>
            <w:bottom w:val="single" w:sz="2" w:space="0" w:color="E5E7EB"/>
            <w:right w:val="single" w:sz="2" w:space="0" w:color="E5E7EB"/>
          </w:divBdr>
          <w:divsChild>
            <w:div w:id="1392465368">
              <w:marLeft w:val="0"/>
              <w:marRight w:val="0"/>
              <w:marTop w:val="0"/>
              <w:marBottom w:val="0"/>
              <w:divBdr>
                <w:top w:val="single" w:sz="2" w:space="0" w:color="E5E7EB"/>
                <w:left w:val="single" w:sz="2" w:space="0" w:color="E5E7EB"/>
                <w:bottom w:val="single" w:sz="2" w:space="0" w:color="E5E7EB"/>
                <w:right w:val="single" w:sz="2" w:space="0" w:color="E5E7EB"/>
              </w:divBdr>
            </w:div>
            <w:div w:id="1724476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7536462">
          <w:marLeft w:val="0"/>
          <w:marRight w:val="0"/>
          <w:marTop w:val="0"/>
          <w:marBottom w:val="0"/>
          <w:divBdr>
            <w:top w:val="single" w:sz="2" w:space="0" w:color="E5E7EB"/>
            <w:left w:val="single" w:sz="2" w:space="0" w:color="E5E7EB"/>
            <w:bottom w:val="single" w:sz="2" w:space="0" w:color="E5E7EB"/>
            <w:right w:val="single" w:sz="2" w:space="0" w:color="E5E7EB"/>
          </w:divBdr>
          <w:divsChild>
            <w:div w:id="938830645">
              <w:marLeft w:val="0"/>
              <w:marRight w:val="0"/>
              <w:marTop w:val="0"/>
              <w:marBottom w:val="0"/>
              <w:divBdr>
                <w:top w:val="single" w:sz="2" w:space="0" w:color="E5E7EB"/>
                <w:left w:val="single" w:sz="2" w:space="0" w:color="E5E7EB"/>
                <w:bottom w:val="single" w:sz="2" w:space="0" w:color="E5E7EB"/>
                <w:right w:val="single" w:sz="2" w:space="0" w:color="E5E7EB"/>
              </w:divBdr>
            </w:div>
            <w:div w:id="1844393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0384483">
          <w:marLeft w:val="0"/>
          <w:marRight w:val="0"/>
          <w:marTop w:val="0"/>
          <w:marBottom w:val="0"/>
          <w:divBdr>
            <w:top w:val="single" w:sz="2" w:space="0" w:color="E5E7EB"/>
            <w:left w:val="single" w:sz="2" w:space="0" w:color="E5E7EB"/>
            <w:bottom w:val="single" w:sz="2" w:space="0" w:color="E5E7EB"/>
            <w:right w:val="single" w:sz="2" w:space="0" w:color="E5E7EB"/>
          </w:divBdr>
          <w:divsChild>
            <w:div w:id="164102572">
              <w:marLeft w:val="0"/>
              <w:marRight w:val="0"/>
              <w:marTop w:val="0"/>
              <w:marBottom w:val="0"/>
              <w:divBdr>
                <w:top w:val="single" w:sz="2" w:space="0" w:color="E5E7EB"/>
                <w:left w:val="single" w:sz="2" w:space="0" w:color="E5E7EB"/>
                <w:bottom w:val="single" w:sz="2" w:space="0" w:color="E5E7EB"/>
                <w:right w:val="single" w:sz="2" w:space="0" w:color="E5E7EB"/>
              </w:divBdr>
            </w:div>
            <w:div w:id="530653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7963687">
          <w:marLeft w:val="0"/>
          <w:marRight w:val="0"/>
          <w:marTop w:val="0"/>
          <w:marBottom w:val="0"/>
          <w:divBdr>
            <w:top w:val="single" w:sz="2" w:space="0" w:color="E5E7EB"/>
            <w:left w:val="single" w:sz="2" w:space="0" w:color="E5E7EB"/>
            <w:bottom w:val="single" w:sz="2" w:space="0" w:color="E5E7EB"/>
            <w:right w:val="single" w:sz="2" w:space="0" w:color="E5E7EB"/>
          </w:divBdr>
          <w:divsChild>
            <w:div w:id="1081875893">
              <w:marLeft w:val="0"/>
              <w:marRight w:val="0"/>
              <w:marTop w:val="0"/>
              <w:marBottom w:val="0"/>
              <w:divBdr>
                <w:top w:val="single" w:sz="2" w:space="0" w:color="E5E7EB"/>
                <w:left w:val="single" w:sz="2" w:space="0" w:color="E5E7EB"/>
                <w:bottom w:val="single" w:sz="2" w:space="0" w:color="E5E7EB"/>
                <w:right w:val="single" w:sz="2" w:space="0" w:color="E5E7EB"/>
              </w:divBdr>
            </w:div>
            <w:div w:id="791478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107225">
          <w:marLeft w:val="0"/>
          <w:marRight w:val="0"/>
          <w:marTop w:val="0"/>
          <w:marBottom w:val="0"/>
          <w:divBdr>
            <w:top w:val="single" w:sz="2" w:space="0" w:color="E5E7EB"/>
            <w:left w:val="single" w:sz="2" w:space="0" w:color="E5E7EB"/>
            <w:bottom w:val="single" w:sz="2" w:space="0" w:color="E5E7EB"/>
            <w:right w:val="single" w:sz="2" w:space="0" w:color="E5E7EB"/>
          </w:divBdr>
          <w:divsChild>
            <w:div w:id="1043748782">
              <w:marLeft w:val="0"/>
              <w:marRight w:val="0"/>
              <w:marTop w:val="0"/>
              <w:marBottom w:val="0"/>
              <w:divBdr>
                <w:top w:val="single" w:sz="2" w:space="0" w:color="E5E7EB"/>
                <w:left w:val="single" w:sz="2" w:space="0" w:color="E5E7EB"/>
                <w:bottom w:val="single" w:sz="2" w:space="0" w:color="E5E7EB"/>
                <w:right w:val="single" w:sz="2" w:space="0" w:color="E5E7EB"/>
              </w:divBdr>
            </w:div>
            <w:div w:id="12659182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5267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gov.br/en/web/dou/-/resolucao-rdc-n-768-de-12-de-dezembro-de-2022-45031275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DEBA-DBB3-4C4D-8BE5-B9C40A939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5573</Words>
  <Characters>30096</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2025-04-19T03:57:00Z</dcterms:created>
  <dcterms:modified xsi:type="dcterms:W3CDTF">2025-04-19T03:57:00Z</dcterms:modified>
</cp:coreProperties>
</file>