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91B0" w14:textId="77777777" w:rsidR="00B745D0" w:rsidRPr="002A7C0D" w:rsidRDefault="00B745D0" w:rsidP="00426C18">
      <w:pPr>
        <w:spacing w:after="120"/>
        <w:rPr>
          <w:rStyle w:val="nfaseSutil"/>
        </w:rPr>
      </w:pPr>
    </w:p>
    <w:p w14:paraId="4F3DD33B" w14:textId="04FA2EB4" w:rsidR="00F96A96" w:rsidRPr="0049479C" w:rsidRDefault="00F96A96" w:rsidP="00F96A96">
      <w:pPr>
        <w:spacing w:after="120"/>
        <w:jc w:val="center"/>
        <w:rPr>
          <w:sz w:val="20"/>
          <w:lang w:val="pt-BR"/>
        </w:rPr>
      </w:pPr>
      <w:r>
        <w:rPr>
          <w:b/>
          <w:sz w:val="28"/>
          <w:szCs w:val="28"/>
          <w:lang w:val="pt-BR"/>
        </w:rPr>
        <w:t xml:space="preserve">Relatório de Sustentabilidade da Petrobrás e a influência de investimentos em educação, segurança do trabalho e capacitação na prevenção de acidentes </w:t>
      </w:r>
    </w:p>
    <w:p w14:paraId="381B02AD" w14:textId="77777777" w:rsidR="0046585F" w:rsidRPr="0046585F" w:rsidRDefault="0046585F" w:rsidP="0046585F">
      <w:pPr>
        <w:spacing w:after="120"/>
        <w:jc w:val="center"/>
        <w:rPr>
          <w:b/>
          <w:i/>
          <w:sz w:val="28"/>
          <w:szCs w:val="28"/>
          <w:lang w:val="pt-BR"/>
        </w:rPr>
      </w:pPr>
    </w:p>
    <w:p w14:paraId="110CB0B6" w14:textId="7F428015" w:rsidR="00AE319C" w:rsidRPr="0046585F" w:rsidRDefault="0046585F" w:rsidP="0046585F">
      <w:pPr>
        <w:spacing w:after="120"/>
        <w:jc w:val="center"/>
        <w:rPr>
          <w:b/>
          <w:i/>
          <w:sz w:val="28"/>
          <w:szCs w:val="28"/>
        </w:rPr>
      </w:pPr>
      <w:r w:rsidRPr="0046585F">
        <w:rPr>
          <w:b/>
          <w:i/>
          <w:sz w:val="28"/>
          <w:szCs w:val="28"/>
        </w:rPr>
        <w:t>Petrobrás Sustainability Report and the influence of investments in education, work safety and training in accident prevention</w:t>
      </w:r>
    </w:p>
    <w:p w14:paraId="711011AE" w14:textId="596AF1D1" w:rsidR="005272C1" w:rsidRPr="0046585F" w:rsidRDefault="005272C1" w:rsidP="00E97ED4">
      <w:pPr>
        <w:spacing w:after="120"/>
        <w:jc w:val="left"/>
        <w:rPr>
          <w:b/>
          <w:szCs w:val="24"/>
        </w:rPr>
      </w:pPr>
    </w:p>
    <w:p w14:paraId="00B9D623" w14:textId="3AC424C5" w:rsidR="00665288" w:rsidRPr="0049479C" w:rsidRDefault="00665288" w:rsidP="007A5842">
      <w:pPr>
        <w:spacing w:after="120"/>
        <w:rPr>
          <w:szCs w:val="24"/>
          <w:lang w:val="pt-BR"/>
        </w:rPr>
      </w:pPr>
      <w:bookmarkStart w:id="1" w:name="_Hlk190777412"/>
      <w:r>
        <w:rPr>
          <w:b/>
          <w:szCs w:val="24"/>
          <w:lang w:val="pt-BR"/>
        </w:rPr>
        <w:t xml:space="preserve">Laise Novellino Nunes de Souza. </w:t>
      </w:r>
      <w:r w:rsidR="00993127" w:rsidRPr="00993127">
        <w:rPr>
          <w:b/>
          <w:szCs w:val="24"/>
          <w:lang w:val="pt-BR"/>
        </w:rPr>
        <w:t>Doutora</w:t>
      </w:r>
      <w:r w:rsidR="00A66BCE">
        <w:rPr>
          <w:b/>
          <w:szCs w:val="24"/>
          <w:lang w:val="pt-BR"/>
        </w:rPr>
        <w:t xml:space="preserve"> e Mestre pelo</w:t>
      </w:r>
      <w:r w:rsidR="00993127">
        <w:rPr>
          <w:b/>
          <w:szCs w:val="24"/>
          <w:lang w:val="pt-BR"/>
        </w:rPr>
        <w:t xml:space="preserve"> Instituto Federal Fluminense (IFF).</w:t>
      </w:r>
      <w:r w:rsidR="00A66BCE">
        <w:rPr>
          <w:b/>
          <w:szCs w:val="24"/>
          <w:lang w:val="pt-BR"/>
        </w:rPr>
        <w:t xml:space="preserve"> </w:t>
      </w:r>
      <w:r w:rsidR="00993127">
        <w:rPr>
          <w:b/>
          <w:szCs w:val="24"/>
          <w:lang w:val="pt-BR"/>
        </w:rPr>
        <w:t>P</w:t>
      </w:r>
      <w:r w:rsidR="005B40D4">
        <w:rPr>
          <w:b/>
          <w:szCs w:val="24"/>
          <w:lang w:val="pt-BR"/>
        </w:rPr>
        <w:t>ó</w:t>
      </w:r>
      <w:r>
        <w:rPr>
          <w:b/>
          <w:szCs w:val="24"/>
          <w:lang w:val="pt-BR"/>
        </w:rPr>
        <w:t>s</w:t>
      </w:r>
      <w:r w:rsidR="005B40D4">
        <w:rPr>
          <w:b/>
          <w:szCs w:val="24"/>
          <w:lang w:val="pt-BR"/>
        </w:rPr>
        <w:t>-</w:t>
      </w:r>
      <w:r>
        <w:rPr>
          <w:b/>
          <w:szCs w:val="24"/>
          <w:lang w:val="pt-BR"/>
        </w:rPr>
        <w:t>graduação em Eng</w:t>
      </w:r>
      <w:r w:rsidR="005B40D4">
        <w:rPr>
          <w:b/>
          <w:szCs w:val="24"/>
          <w:lang w:val="pt-BR"/>
        </w:rPr>
        <w:t>enharia</w:t>
      </w:r>
      <w:r>
        <w:rPr>
          <w:b/>
          <w:szCs w:val="24"/>
          <w:lang w:val="pt-BR"/>
        </w:rPr>
        <w:t xml:space="preserve"> de Segurança do Trabalho</w:t>
      </w:r>
      <w:r w:rsidR="00A66BCE">
        <w:rPr>
          <w:b/>
          <w:szCs w:val="24"/>
          <w:lang w:val="pt-BR"/>
        </w:rPr>
        <w:t xml:space="preserve"> </w:t>
      </w:r>
      <w:r w:rsidR="00734CF1">
        <w:rPr>
          <w:b/>
          <w:szCs w:val="24"/>
          <w:lang w:val="pt-BR"/>
        </w:rPr>
        <w:t>pela</w:t>
      </w:r>
      <w:r w:rsidR="00A66BCE">
        <w:rPr>
          <w:b/>
          <w:szCs w:val="24"/>
          <w:lang w:val="pt-BR"/>
        </w:rPr>
        <w:t xml:space="preserve"> Faculdade Líbano</w:t>
      </w:r>
      <w:r>
        <w:rPr>
          <w:b/>
          <w:szCs w:val="24"/>
          <w:lang w:val="pt-BR"/>
        </w:rPr>
        <w:t>. Graduada em Engenharia Civil</w:t>
      </w:r>
      <w:r w:rsidR="00993127">
        <w:rPr>
          <w:b/>
          <w:szCs w:val="24"/>
          <w:lang w:val="pt-BR"/>
        </w:rPr>
        <w:t xml:space="preserve"> pela Universidade Federal do Rio de Janeiro (UFRJ)</w:t>
      </w:r>
      <w:r w:rsidR="00993127" w:rsidRPr="0049479C">
        <w:rPr>
          <w:b/>
          <w:szCs w:val="24"/>
          <w:lang w:val="pt-BR"/>
        </w:rPr>
        <w:t>.</w:t>
      </w:r>
      <w:r w:rsidR="00993127">
        <w:rPr>
          <w:b/>
          <w:szCs w:val="24"/>
          <w:lang w:val="pt-BR"/>
        </w:rPr>
        <w:t xml:space="preserve"> </w:t>
      </w:r>
    </w:p>
    <w:p w14:paraId="3430F7CD" w14:textId="59F09594" w:rsidR="00827839" w:rsidRPr="001D2A3B" w:rsidRDefault="001D2A3B" w:rsidP="007A5842">
      <w:pPr>
        <w:spacing w:after="120"/>
        <w:rPr>
          <w:szCs w:val="24"/>
        </w:rPr>
      </w:pPr>
      <w:r w:rsidRPr="001D2A3B">
        <w:rPr>
          <w:szCs w:val="24"/>
        </w:rPr>
        <w:t>lalanovellino@hotmail.co</w:t>
      </w:r>
      <w:r>
        <w:rPr>
          <w:szCs w:val="24"/>
        </w:rPr>
        <w:t>m</w:t>
      </w:r>
    </w:p>
    <w:p w14:paraId="2A141CE3" w14:textId="61C092CB" w:rsidR="00913BE8" w:rsidRPr="00370791" w:rsidRDefault="00913BE8" w:rsidP="007A5842">
      <w:pPr>
        <w:spacing w:after="120"/>
        <w:rPr>
          <w:b/>
          <w:szCs w:val="24"/>
          <w:lang w:val="pt-BR"/>
        </w:rPr>
      </w:pPr>
      <w:r w:rsidRPr="001D2A3B">
        <w:rPr>
          <w:b/>
          <w:szCs w:val="24"/>
        </w:rPr>
        <w:t>Habib Salomon Dumet</w:t>
      </w:r>
      <w:r w:rsidR="009E216D" w:rsidRPr="001D2A3B">
        <w:rPr>
          <w:b/>
          <w:szCs w:val="24"/>
        </w:rPr>
        <w:t>-</w:t>
      </w:r>
      <w:r w:rsidRPr="001D2A3B">
        <w:rPr>
          <w:b/>
          <w:szCs w:val="24"/>
        </w:rPr>
        <w:t xml:space="preserve">Montoya. </w:t>
      </w:r>
      <w:r>
        <w:rPr>
          <w:b/>
          <w:szCs w:val="24"/>
          <w:lang w:val="pt-BR"/>
        </w:rPr>
        <w:t>Pós-doutor</w:t>
      </w:r>
      <w:r w:rsidR="007C095C">
        <w:rPr>
          <w:b/>
          <w:szCs w:val="24"/>
          <w:lang w:val="pt-BR"/>
        </w:rPr>
        <w:t>ado</w:t>
      </w:r>
      <w:r>
        <w:rPr>
          <w:b/>
          <w:szCs w:val="24"/>
          <w:lang w:val="pt-BR"/>
        </w:rPr>
        <w:t xml:space="preserve">, </w:t>
      </w:r>
      <w:r w:rsidRPr="00370791">
        <w:rPr>
          <w:b/>
          <w:szCs w:val="24"/>
          <w:lang w:val="pt-BR"/>
        </w:rPr>
        <w:t>Doutor</w:t>
      </w:r>
      <w:r>
        <w:rPr>
          <w:b/>
          <w:szCs w:val="24"/>
          <w:lang w:val="pt-BR"/>
        </w:rPr>
        <w:t xml:space="preserve"> e Mestre</w:t>
      </w:r>
      <w:r w:rsidRPr="00370791">
        <w:rPr>
          <w:b/>
          <w:szCs w:val="24"/>
          <w:lang w:val="pt-BR"/>
        </w:rPr>
        <w:t xml:space="preserve"> em </w:t>
      </w:r>
      <w:r>
        <w:rPr>
          <w:b/>
          <w:szCs w:val="24"/>
          <w:lang w:val="pt-BR"/>
        </w:rPr>
        <w:t>Física pelo Centro Brasileiro de Pesquisas Físicas (CBPF)</w:t>
      </w:r>
      <w:r w:rsidRPr="00370791">
        <w:rPr>
          <w:b/>
          <w:szCs w:val="24"/>
          <w:lang w:val="pt-BR"/>
        </w:rPr>
        <w:t>.</w:t>
      </w:r>
      <w:r w:rsidRPr="0075773B">
        <w:rPr>
          <w:b/>
          <w:szCs w:val="24"/>
          <w:lang w:val="pt-BR"/>
        </w:rPr>
        <w:t xml:space="preserve"> Professor </w:t>
      </w:r>
      <w:r>
        <w:rPr>
          <w:b/>
          <w:szCs w:val="24"/>
          <w:lang w:val="pt-BR"/>
        </w:rPr>
        <w:t>associado</w:t>
      </w:r>
      <w:r w:rsidRPr="0075773B">
        <w:rPr>
          <w:b/>
          <w:szCs w:val="24"/>
          <w:lang w:val="pt-BR"/>
        </w:rPr>
        <w:t xml:space="preserve"> d</w:t>
      </w:r>
      <w:r>
        <w:rPr>
          <w:b/>
          <w:szCs w:val="24"/>
          <w:lang w:val="pt-BR"/>
        </w:rPr>
        <w:t>a UFRJ.</w:t>
      </w:r>
      <w:r w:rsidRPr="00370791">
        <w:rPr>
          <w:b/>
          <w:szCs w:val="24"/>
          <w:lang w:val="pt-BR"/>
        </w:rPr>
        <w:t xml:space="preserve"> </w:t>
      </w:r>
    </w:p>
    <w:p w14:paraId="60A4EEBB" w14:textId="6DAC3F8E" w:rsidR="00913BE8" w:rsidRPr="003C5C89" w:rsidRDefault="00C6750B" w:rsidP="007A5842">
      <w:pPr>
        <w:spacing w:after="120"/>
        <w:rPr>
          <w:bCs/>
          <w:sz w:val="20"/>
          <w:lang w:val="pt-BR"/>
        </w:rPr>
      </w:pPr>
      <w:r w:rsidRPr="003C5C89">
        <w:rPr>
          <w:bCs/>
          <w:szCs w:val="24"/>
          <w:lang w:val="pt-BR"/>
        </w:rPr>
        <w:t>habib@macae.ufrj.br</w:t>
      </w:r>
    </w:p>
    <w:bookmarkEnd w:id="1"/>
    <w:p w14:paraId="2D0D1EB7" w14:textId="20AD01CA" w:rsidR="001014D2" w:rsidRPr="00370791" w:rsidRDefault="001014D2" w:rsidP="007A5842">
      <w:pPr>
        <w:spacing w:after="120"/>
        <w:rPr>
          <w:b/>
          <w:szCs w:val="24"/>
          <w:lang w:val="pt-BR"/>
        </w:rPr>
      </w:pPr>
      <w:r w:rsidRPr="003C5C89">
        <w:rPr>
          <w:b/>
          <w:szCs w:val="24"/>
          <w:lang w:val="pt-BR"/>
        </w:rPr>
        <w:t xml:space="preserve">Jader Lugon Junior. </w:t>
      </w:r>
      <w:r>
        <w:rPr>
          <w:b/>
          <w:szCs w:val="24"/>
          <w:lang w:val="pt-BR"/>
        </w:rPr>
        <w:t>Pós-doutor</w:t>
      </w:r>
      <w:r w:rsidR="00315DFA">
        <w:rPr>
          <w:b/>
          <w:szCs w:val="24"/>
          <w:lang w:val="pt-BR"/>
        </w:rPr>
        <w:t>ado</w:t>
      </w:r>
      <w:r>
        <w:rPr>
          <w:b/>
          <w:szCs w:val="24"/>
          <w:lang w:val="pt-BR"/>
        </w:rPr>
        <w:t xml:space="preserve">, </w:t>
      </w:r>
      <w:r w:rsidRPr="00370791">
        <w:rPr>
          <w:b/>
          <w:szCs w:val="24"/>
          <w:lang w:val="pt-BR"/>
        </w:rPr>
        <w:t>Doutor</w:t>
      </w:r>
      <w:r>
        <w:rPr>
          <w:b/>
          <w:szCs w:val="24"/>
          <w:lang w:val="pt-BR"/>
        </w:rPr>
        <w:t xml:space="preserve"> e Mestre</w:t>
      </w:r>
      <w:r w:rsidRPr="00370791">
        <w:rPr>
          <w:b/>
          <w:szCs w:val="24"/>
          <w:lang w:val="pt-BR"/>
        </w:rPr>
        <w:t xml:space="preserve"> em modelagem Computacional</w:t>
      </w:r>
      <w:r>
        <w:rPr>
          <w:b/>
          <w:szCs w:val="24"/>
          <w:lang w:val="pt-BR"/>
        </w:rPr>
        <w:t xml:space="preserve"> pela </w:t>
      </w:r>
      <w:r w:rsidRPr="00370791">
        <w:rPr>
          <w:b/>
          <w:szCs w:val="24"/>
          <w:lang w:val="pt-BR"/>
        </w:rPr>
        <w:t>Universidade</w:t>
      </w:r>
      <w:r w:rsidRPr="0075773B">
        <w:rPr>
          <w:b/>
          <w:szCs w:val="24"/>
          <w:lang w:val="pt-BR"/>
        </w:rPr>
        <w:t xml:space="preserve"> do Estado do Rio de Janeiro</w:t>
      </w:r>
      <w:r>
        <w:rPr>
          <w:b/>
          <w:szCs w:val="24"/>
          <w:lang w:val="pt-BR"/>
        </w:rPr>
        <w:t xml:space="preserve"> (UERJ). </w:t>
      </w:r>
      <w:r w:rsidRPr="00370791">
        <w:rPr>
          <w:b/>
          <w:szCs w:val="24"/>
          <w:lang w:val="pt-BR"/>
        </w:rPr>
        <w:t>pós-graduado em Engenharia De Segurança do Trabalho</w:t>
      </w:r>
      <w:r>
        <w:rPr>
          <w:b/>
          <w:szCs w:val="24"/>
          <w:lang w:val="pt-BR"/>
        </w:rPr>
        <w:t xml:space="preserve"> pela</w:t>
      </w:r>
      <w:r w:rsidRPr="00370791">
        <w:rPr>
          <w:b/>
          <w:szCs w:val="24"/>
          <w:lang w:val="pt-BR"/>
        </w:rPr>
        <w:t xml:space="preserve"> </w:t>
      </w:r>
      <w:r w:rsidRPr="0075773B">
        <w:rPr>
          <w:b/>
          <w:szCs w:val="24"/>
          <w:lang w:val="pt-BR"/>
        </w:rPr>
        <w:t>Universidade Federal Fluminense</w:t>
      </w:r>
      <w:r>
        <w:rPr>
          <w:b/>
          <w:szCs w:val="24"/>
          <w:lang w:val="pt-BR"/>
        </w:rPr>
        <w:t xml:space="preserve"> (UFF). </w:t>
      </w:r>
      <w:r w:rsidRPr="00370791">
        <w:rPr>
          <w:b/>
          <w:szCs w:val="24"/>
          <w:lang w:val="pt-BR"/>
        </w:rPr>
        <w:t>Gra</w:t>
      </w:r>
      <w:r>
        <w:rPr>
          <w:b/>
          <w:szCs w:val="24"/>
          <w:lang w:val="pt-BR"/>
        </w:rPr>
        <w:t>d</w:t>
      </w:r>
      <w:r w:rsidRPr="00370791">
        <w:rPr>
          <w:b/>
          <w:szCs w:val="24"/>
          <w:lang w:val="pt-BR"/>
        </w:rPr>
        <w:t xml:space="preserve">uado em Engenharia Mecânica </w:t>
      </w:r>
      <w:r>
        <w:rPr>
          <w:b/>
          <w:szCs w:val="24"/>
          <w:lang w:val="pt-BR"/>
        </w:rPr>
        <w:t>pela</w:t>
      </w:r>
      <w:r w:rsidRPr="00370791">
        <w:rPr>
          <w:b/>
          <w:szCs w:val="24"/>
          <w:lang w:val="pt-BR"/>
        </w:rPr>
        <w:t xml:space="preserve"> </w:t>
      </w:r>
      <w:r>
        <w:rPr>
          <w:b/>
          <w:szCs w:val="24"/>
          <w:lang w:val="pt-BR"/>
        </w:rPr>
        <w:t>UFF</w:t>
      </w:r>
      <w:r w:rsidRPr="00370791">
        <w:rPr>
          <w:b/>
          <w:szCs w:val="24"/>
          <w:lang w:val="pt-BR"/>
        </w:rPr>
        <w:t>.</w:t>
      </w:r>
      <w:r w:rsidRPr="0075773B">
        <w:rPr>
          <w:b/>
          <w:szCs w:val="24"/>
          <w:lang w:val="pt-BR"/>
        </w:rPr>
        <w:t xml:space="preserve"> Professor Titular do </w:t>
      </w:r>
      <w:r>
        <w:rPr>
          <w:b/>
          <w:szCs w:val="24"/>
          <w:lang w:val="pt-BR"/>
        </w:rPr>
        <w:t>IFF.</w:t>
      </w:r>
      <w:r w:rsidRPr="00370791">
        <w:rPr>
          <w:b/>
          <w:szCs w:val="24"/>
          <w:lang w:val="pt-BR"/>
        </w:rPr>
        <w:t xml:space="preserve"> </w:t>
      </w:r>
    </w:p>
    <w:p w14:paraId="4213997B" w14:textId="144934E5" w:rsidR="001A619C" w:rsidRDefault="001D2A3B" w:rsidP="007A5842">
      <w:pPr>
        <w:spacing w:after="120"/>
        <w:rPr>
          <w:b/>
          <w:szCs w:val="24"/>
          <w:lang w:val="pt-BR"/>
        </w:rPr>
      </w:pPr>
      <w:r w:rsidRPr="001D2A3B">
        <w:rPr>
          <w:bCs/>
          <w:szCs w:val="24"/>
          <w:lang w:val="pt-BR"/>
        </w:rPr>
        <w:t>jlugonjr@gmail.com</w:t>
      </w:r>
    </w:p>
    <w:p w14:paraId="3AF2E252" w14:textId="77777777" w:rsidR="001D2A3B" w:rsidRDefault="001D2A3B" w:rsidP="001A619C">
      <w:pPr>
        <w:spacing w:after="120"/>
        <w:rPr>
          <w:b/>
          <w:szCs w:val="24"/>
          <w:lang w:val="pt-BR"/>
        </w:rPr>
      </w:pPr>
    </w:p>
    <w:p w14:paraId="3A9F9E7A" w14:textId="577EEA64" w:rsidR="00827839" w:rsidRPr="0049479C" w:rsidRDefault="00827839" w:rsidP="00C1545B">
      <w:pPr>
        <w:spacing w:after="120"/>
        <w:rPr>
          <w:b/>
          <w:sz w:val="22"/>
          <w:szCs w:val="22"/>
          <w:lang w:val="pt-BR"/>
        </w:rPr>
      </w:pPr>
      <w:r w:rsidRPr="0049479C">
        <w:rPr>
          <w:b/>
          <w:szCs w:val="24"/>
          <w:lang w:val="pt-BR"/>
        </w:rPr>
        <w:t>Resumo</w:t>
      </w:r>
    </w:p>
    <w:p w14:paraId="539B7342" w14:textId="180F50F7" w:rsidR="00321E9E" w:rsidRPr="0049479C" w:rsidRDefault="008D4B8D" w:rsidP="00C1545B">
      <w:pPr>
        <w:spacing w:after="120"/>
        <w:rPr>
          <w:color w:val="A6A6A6"/>
          <w:sz w:val="22"/>
          <w:szCs w:val="22"/>
          <w:lang w:val="pt-BR"/>
        </w:rPr>
      </w:pPr>
      <w:r w:rsidRPr="008D4B8D">
        <w:rPr>
          <w:sz w:val="22"/>
          <w:szCs w:val="22"/>
          <w:lang w:val="pt-BR"/>
        </w:rPr>
        <w:t xml:space="preserve">O objetivo desse trabalho </w:t>
      </w:r>
      <w:r w:rsidR="00AA2A73">
        <w:rPr>
          <w:sz w:val="22"/>
          <w:szCs w:val="22"/>
          <w:lang w:val="pt-BR"/>
        </w:rPr>
        <w:t>foi</w:t>
      </w:r>
      <w:r w:rsidRPr="008D4B8D">
        <w:rPr>
          <w:sz w:val="22"/>
          <w:szCs w:val="22"/>
          <w:lang w:val="pt-BR"/>
        </w:rPr>
        <w:t xml:space="preserve"> verificar a influência, via modelo de regressão linear, dos investimentos </w:t>
      </w:r>
      <w:r w:rsidR="00AA2A73">
        <w:rPr>
          <w:sz w:val="22"/>
          <w:szCs w:val="22"/>
          <w:lang w:val="pt-BR"/>
        </w:rPr>
        <w:t xml:space="preserve">da Petrobrás em relação ao número de acidentados com afastamento do trabalho em valores anuais, durante o período de 2001 a 2023 segundo relatórios da empresa. Foram considerados os investimentos em </w:t>
      </w:r>
      <w:r w:rsidRPr="008D4B8D">
        <w:rPr>
          <w:sz w:val="22"/>
          <w:szCs w:val="22"/>
          <w:lang w:val="pt-BR"/>
        </w:rPr>
        <w:t>educação; capacitação e desenvolvimento profissional; em Segurança e saúde no trabalho; na soma de capacitação e desenvolvimento profissional com segurança e saúde do trabalhador</w:t>
      </w:r>
      <w:r w:rsidR="00AA2A73">
        <w:rPr>
          <w:sz w:val="22"/>
          <w:szCs w:val="22"/>
          <w:lang w:val="pt-BR"/>
        </w:rPr>
        <w:t>;</w:t>
      </w:r>
      <w:r w:rsidRPr="008D4B8D">
        <w:rPr>
          <w:sz w:val="22"/>
          <w:szCs w:val="22"/>
          <w:lang w:val="pt-BR"/>
        </w:rPr>
        <w:t xml:space="preserve"> e na soma de educação com capacitação e desenvolvimento profissional com segurança e saúde do trabalhador</w:t>
      </w:r>
      <w:r w:rsidR="00AA2A73">
        <w:rPr>
          <w:sz w:val="22"/>
          <w:szCs w:val="22"/>
          <w:lang w:val="pt-BR"/>
        </w:rPr>
        <w:t>. As informações foram obtidas por meio da realização de</w:t>
      </w:r>
      <w:r w:rsidRPr="008D4B8D">
        <w:rPr>
          <w:sz w:val="22"/>
          <w:szCs w:val="22"/>
          <w:lang w:val="pt-BR"/>
        </w:rPr>
        <w:t xml:space="preserve"> uma busca, nos Relatórios de Sustentabilidade da Petrobras, de indicadores referentes à Segurança do Trabalho desde 2001 até 2023. </w:t>
      </w:r>
      <w:r w:rsidR="00AA2A73">
        <w:rPr>
          <w:sz w:val="22"/>
          <w:szCs w:val="22"/>
          <w:lang w:val="pt-BR"/>
        </w:rPr>
        <w:t>A análise dos resultados permite</w:t>
      </w:r>
      <w:r w:rsidR="0046585F" w:rsidRPr="0046585F">
        <w:rPr>
          <w:sz w:val="22"/>
          <w:szCs w:val="22"/>
          <w:lang w:val="pt-BR"/>
        </w:rPr>
        <w:t xml:space="preserve"> concluir que os investimentos conjuntos em educação, segurança e saúde do trabalho, e capacitação e desenvolvimento profissional, geraram uma redução n</w:t>
      </w:r>
      <w:r w:rsidR="004379B1">
        <w:rPr>
          <w:sz w:val="22"/>
          <w:szCs w:val="22"/>
          <w:lang w:val="pt-BR"/>
        </w:rPr>
        <w:t>o número</w:t>
      </w:r>
      <w:r w:rsidR="0046585F" w:rsidRPr="0046585F">
        <w:rPr>
          <w:sz w:val="22"/>
          <w:szCs w:val="22"/>
          <w:lang w:val="pt-BR"/>
        </w:rPr>
        <w:t xml:space="preserve"> de acidentes com afastamento no trabalho. Em particular, os investimentos em segurança e saúde do trabalho geraram o maior impacto na diminuição de acidentes.</w:t>
      </w:r>
    </w:p>
    <w:p w14:paraId="0DA18B90" w14:textId="661D8B3E" w:rsidR="00827839" w:rsidRPr="0049479C" w:rsidRDefault="00827839" w:rsidP="00C1545B">
      <w:pPr>
        <w:spacing w:after="120"/>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46585F" w:rsidRPr="0046585F">
        <w:rPr>
          <w:bCs/>
          <w:sz w:val="22"/>
          <w:szCs w:val="22"/>
          <w:lang w:val="pt-BR"/>
        </w:rPr>
        <w:t>Segurança do trabalho</w:t>
      </w:r>
      <w:r w:rsidR="00A77D24" w:rsidRPr="0049479C">
        <w:rPr>
          <w:sz w:val="22"/>
          <w:szCs w:val="22"/>
          <w:lang w:val="pt-BR"/>
        </w:rPr>
        <w:t>;</w:t>
      </w:r>
      <w:r w:rsidR="00321E9E" w:rsidRPr="0049479C">
        <w:rPr>
          <w:sz w:val="22"/>
          <w:szCs w:val="22"/>
          <w:lang w:val="pt-BR"/>
        </w:rPr>
        <w:t xml:space="preserve"> </w:t>
      </w:r>
      <w:r w:rsidR="0046585F">
        <w:rPr>
          <w:sz w:val="22"/>
          <w:szCs w:val="22"/>
          <w:lang w:val="pt-BR"/>
        </w:rPr>
        <w:t>Medicina do trabalho; Higiene ocupacional.</w:t>
      </w:r>
    </w:p>
    <w:p w14:paraId="0973CBF6" w14:textId="04F3D296" w:rsidR="007C087F" w:rsidRPr="0049479C" w:rsidRDefault="007C087F" w:rsidP="00C1545B">
      <w:pPr>
        <w:spacing w:after="120"/>
        <w:rPr>
          <w:color w:val="A6A6A6"/>
          <w:sz w:val="22"/>
          <w:szCs w:val="22"/>
          <w:lang w:val="pt-BR"/>
        </w:rPr>
      </w:pPr>
    </w:p>
    <w:p w14:paraId="3A645C22" w14:textId="77777777" w:rsidR="00827839" w:rsidRPr="004379B1" w:rsidRDefault="00827839" w:rsidP="00C1545B">
      <w:pPr>
        <w:spacing w:after="120"/>
        <w:rPr>
          <w:b/>
          <w:i/>
          <w:color w:val="A6A6A6"/>
          <w:sz w:val="22"/>
          <w:szCs w:val="22"/>
        </w:rPr>
      </w:pPr>
      <w:r w:rsidRPr="004379B1">
        <w:rPr>
          <w:b/>
          <w:i/>
          <w:szCs w:val="24"/>
        </w:rPr>
        <w:t>Abstrac</w:t>
      </w:r>
      <w:r w:rsidRPr="004379B1">
        <w:rPr>
          <w:b/>
          <w:i/>
          <w:sz w:val="22"/>
          <w:szCs w:val="22"/>
        </w:rPr>
        <w:t>t</w:t>
      </w:r>
    </w:p>
    <w:p w14:paraId="461AFA5D" w14:textId="26EACF2B" w:rsidR="008A2B13" w:rsidRDefault="008A2B13" w:rsidP="00C1545B">
      <w:pPr>
        <w:spacing w:after="120"/>
        <w:rPr>
          <w:i/>
          <w:sz w:val="22"/>
          <w:szCs w:val="22"/>
        </w:rPr>
      </w:pPr>
      <w:r w:rsidRPr="008A2B13">
        <w:rPr>
          <w:i/>
          <w:sz w:val="22"/>
          <w:szCs w:val="22"/>
        </w:rPr>
        <w:t xml:space="preserve">The objective of this study was to verify, via a linear regression model, the influence of Petrobras' investments in relation to the number of accidents with time away from work in annual values, during the period from 2001 to 2023 according to company reports. Investments in education; training and professional development; in occupational health and safety; in the sum of training and professional development with worker safety and health; and in the sum of education with training and professional development with worker safety and health were considered. The information was obtained by searching Petrobras' Sustainability Reports for indicators related to Occupational Safety from 2001 to 2023. The </w:t>
      </w:r>
      <w:r w:rsidRPr="008A2B13">
        <w:rPr>
          <w:i/>
          <w:sz w:val="22"/>
          <w:szCs w:val="22"/>
        </w:rPr>
        <w:lastRenderedPageBreak/>
        <w:t xml:space="preserve">analysis of the results allows us to conclude that joint investments in education, occupational health and safety, and training and professional development, generated a reduction in the </w:t>
      </w:r>
      <w:r>
        <w:rPr>
          <w:i/>
          <w:sz w:val="22"/>
          <w:szCs w:val="22"/>
        </w:rPr>
        <w:t>number</w:t>
      </w:r>
      <w:r w:rsidRPr="008A2B13">
        <w:rPr>
          <w:i/>
          <w:sz w:val="22"/>
          <w:szCs w:val="22"/>
        </w:rPr>
        <w:t xml:space="preserve"> of accidents with time away from work. In particular, investments in occupational health and safety generated the greatest impact on the reduction of accidents.</w:t>
      </w:r>
    </w:p>
    <w:p w14:paraId="646EEC12" w14:textId="2965EBFC" w:rsidR="00827839" w:rsidRPr="0046585F" w:rsidRDefault="00141364" w:rsidP="00C1545B">
      <w:pPr>
        <w:spacing w:after="120"/>
        <w:rPr>
          <w:i/>
          <w:sz w:val="22"/>
          <w:szCs w:val="22"/>
        </w:rPr>
      </w:pPr>
      <w:r w:rsidRPr="0046585F">
        <w:rPr>
          <w:b/>
          <w:i/>
          <w:szCs w:val="24"/>
        </w:rPr>
        <w:t>K</w:t>
      </w:r>
      <w:r w:rsidR="000F5978" w:rsidRPr="0046585F">
        <w:rPr>
          <w:b/>
          <w:i/>
          <w:szCs w:val="24"/>
        </w:rPr>
        <w:t>ey</w:t>
      </w:r>
      <w:r w:rsidR="00827839" w:rsidRPr="0046585F">
        <w:rPr>
          <w:b/>
          <w:i/>
          <w:szCs w:val="24"/>
        </w:rPr>
        <w:t>words:</w:t>
      </w:r>
      <w:r w:rsidR="00BF0F76" w:rsidRPr="0046585F">
        <w:rPr>
          <w:b/>
          <w:i/>
          <w:szCs w:val="24"/>
        </w:rPr>
        <w:t xml:space="preserve"> </w:t>
      </w:r>
      <w:r w:rsidR="0046585F" w:rsidRPr="0046585F">
        <w:rPr>
          <w:i/>
          <w:sz w:val="22"/>
          <w:szCs w:val="22"/>
        </w:rPr>
        <w:t>Work safety; Occupational medicine; Occupational hygiene</w:t>
      </w:r>
      <w:r w:rsidR="0046585F">
        <w:rPr>
          <w:i/>
          <w:sz w:val="22"/>
          <w:szCs w:val="22"/>
        </w:rPr>
        <w:t>.</w:t>
      </w:r>
    </w:p>
    <w:p w14:paraId="2F1A3ECA" w14:textId="77777777" w:rsidR="00F030FC" w:rsidRPr="0046585F" w:rsidRDefault="00F030FC" w:rsidP="00F030FC">
      <w:pPr>
        <w:spacing w:after="120"/>
        <w:rPr>
          <w:b/>
          <w:szCs w:val="24"/>
        </w:rPr>
      </w:pPr>
    </w:p>
    <w:p w14:paraId="152F5CA2" w14:textId="77777777" w:rsidR="004245F7" w:rsidRPr="0049479C" w:rsidRDefault="006D00BB" w:rsidP="00E97ED4">
      <w:pPr>
        <w:pStyle w:val="PargrafodaLista"/>
        <w:numPr>
          <w:ilvl w:val="0"/>
          <w:numId w:val="5"/>
        </w:numPr>
        <w:spacing w:after="120"/>
        <w:rPr>
          <w:b/>
          <w:szCs w:val="24"/>
        </w:rPr>
      </w:pPr>
      <w:r w:rsidRPr="0049479C">
        <w:rPr>
          <w:b/>
          <w:szCs w:val="24"/>
        </w:rPr>
        <w:t>Introdução</w:t>
      </w:r>
    </w:p>
    <w:p w14:paraId="056FBA07" w14:textId="18E1EE2D" w:rsidR="00D8045E" w:rsidRDefault="00E0758B" w:rsidP="00D8045E">
      <w:pPr>
        <w:spacing w:after="120"/>
        <w:ind w:firstLine="284"/>
        <w:rPr>
          <w:szCs w:val="24"/>
          <w:lang w:val="pt-BR"/>
        </w:rPr>
      </w:pPr>
      <w:r w:rsidRPr="00E0758B">
        <w:rPr>
          <w:szCs w:val="24"/>
          <w:lang w:val="pt-BR"/>
        </w:rPr>
        <w:t>Em janeiro de 2023, o Ministério de Minas e Energia lançou o plano de trabalho trienal</w:t>
      </w:r>
      <w:r w:rsidR="00CE2DE4">
        <w:rPr>
          <w:szCs w:val="24"/>
          <w:lang w:val="pt-BR"/>
        </w:rPr>
        <w:t xml:space="preserve">, de </w:t>
      </w:r>
      <w:r w:rsidRPr="00E0758B">
        <w:rPr>
          <w:szCs w:val="24"/>
          <w:lang w:val="pt-BR"/>
        </w:rPr>
        <w:t>2023</w:t>
      </w:r>
      <w:r w:rsidR="00CE2DE4">
        <w:rPr>
          <w:szCs w:val="24"/>
          <w:lang w:val="pt-BR"/>
        </w:rPr>
        <w:t xml:space="preserve"> a </w:t>
      </w:r>
      <w:r w:rsidRPr="00E0758B">
        <w:rPr>
          <w:szCs w:val="24"/>
          <w:lang w:val="pt-BR"/>
        </w:rPr>
        <w:t>2025</w:t>
      </w:r>
      <w:r w:rsidR="00CE2DE4">
        <w:rPr>
          <w:szCs w:val="24"/>
          <w:lang w:val="pt-BR"/>
        </w:rPr>
        <w:t>,</w:t>
      </w:r>
      <w:r w:rsidRPr="00E0758B">
        <w:rPr>
          <w:szCs w:val="24"/>
          <w:lang w:val="pt-BR"/>
        </w:rPr>
        <w:t xml:space="preserve"> do </w:t>
      </w:r>
      <w:r w:rsidR="00E364CB" w:rsidRPr="00E364CB">
        <w:rPr>
          <w:szCs w:val="24"/>
          <w:lang w:val="pt-BR"/>
        </w:rPr>
        <w:t xml:space="preserve">Programa Nacional de Hidrogênio </w:t>
      </w:r>
      <w:r w:rsidRPr="00E0758B">
        <w:rPr>
          <w:szCs w:val="24"/>
          <w:lang w:val="pt-BR"/>
        </w:rPr>
        <w:t>com o objetivo de criar as bases para o mercado de hidrogênio no país</w:t>
      </w:r>
      <w:r w:rsidR="00E364CB">
        <w:rPr>
          <w:szCs w:val="24"/>
          <w:lang w:val="pt-BR"/>
        </w:rPr>
        <w:t>.</w:t>
      </w:r>
      <w:r>
        <w:rPr>
          <w:szCs w:val="24"/>
          <w:lang w:val="pt-BR"/>
        </w:rPr>
        <w:t xml:space="preserve"> </w:t>
      </w:r>
      <w:r w:rsidR="00F030FC" w:rsidRPr="00F030FC">
        <w:rPr>
          <w:szCs w:val="24"/>
          <w:lang w:val="pt-BR"/>
        </w:rPr>
        <w:t xml:space="preserve">O setor corporativo, principalmente das petroleiras, interessado na produção de hidrogênio, vem promovendo a geração de energia eólica no mar (offshore). Em dezembro de 2022, chegou a 70 o número de projetos protocolados para licenciamento ambiental junto ao Instituto Brasileiro do Meio Ambiente e dos Recursos Naturais Renováveis </w:t>
      </w:r>
      <w:r w:rsidR="001C0339">
        <w:rPr>
          <w:szCs w:val="24"/>
          <w:lang w:val="pt-BR"/>
        </w:rPr>
        <w:t xml:space="preserve">- </w:t>
      </w:r>
      <w:r w:rsidR="00F030FC" w:rsidRPr="00F030FC">
        <w:rPr>
          <w:szCs w:val="24"/>
          <w:lang w:val="pt-BR"/>
        </w:rPr>
        <w:t>Ibama</w:t>
      </w:r>
      <w:r w:rsidR="001C0339">
        <w:rPr>
          <w:szCs w:val="24"/>
          <w:lang w:val="pt-BR"/>
        </w:rPr>
        <w:t xml:space="preserve"> </w:t>
      </w:r>
      <w:r w:rsidR="001C0339">
        <w:rPr>
          <w:szCs w:val="24"/>
          <w:lang w:val="pt-BR"/>
        </w:rPr>
        <w:fldChar w:fldCharType="begin"/>
      </w:r>
      <w:r w:rsidR="001C0339">
        <w:rPr>
          <w:szCs w:val="24"/>
          <w:lang w:val="pt-BR"/>
        </w:rPr>
        <w:instrText xml:space="preserve"> ADDIN ZOTERO_ITEM CSL_CITATION {"citationID":"FuRy4T4h","properties":{"formattedCitation":"(FURTADO; PAIM, 2024)","plainCitation":"(FURTADO; PAIM, 2024)","dontUpdate":true,"noteIndex":0},"citationItems":[{"id":2098,"uris":["http://zotero.org/users/6746406/items/K6RKD7CJ"],"itemData":{"id":2098,"type":"article-journal","abstract":"O artigo discute as implicações de projetos implementados por corporações do setor energético a partir do uso que fazem das noções de transição energética, descarbonização e energia renovável. Procedemos à análise de documentos de organizações empresariais, da sociedade civil, do governo brasileiro e das Nações Unidas com dados e representações sobre projetos de eólicas e de produção de hidrogênio verde, assim como entrevistas realizadas com mulheres da Comunidade Quilombola do Cumbe, localizada no município de Aracati/Ceará, atingida por um projeto de energia eólica. Procuramos desenvolver uma análise que coloque em relação contrastiva o discurso de instituições multilaterais e empresariais que justificam as energias ditas limpas como meio de combate às mudanças climáticas e, por outro lado, a percepção de populações atingidas por um projeto de energia eólica quanto aos impactos e ao sentido que atribuem a tais projetos.Palavras-chave: Transição Energética; Energia Renovável; Eólicas; Hidrogênio Verde; Mudança Climática; Extrativismo Verde; Conflito Ambiental","container-title":"Revista Brasileira de Estudos Urbanos e Regionais","DOI":"https://doi.org/10.22296/2317-1529.rbeur.202416pt","ISSN":"1517-4115, 2317-1529","journalAbbreviation":"Rev. Bras. Estud. Urbanos Reg.","language":"pt","note":"publisher: Associação Nacional de Pós-graduação e Pesquisa em Planejamento Urbano e Regional - ANPUR","page":"e202416pt","source":"SciELO","title":"Energia renovável e extrativismo verde: transição ou reconfiguração?","title-short":"Energia renovável e extrativismo verde","volume":"26","author":[{"family":"Furtado","given":"Fabrina"},{"family":"Paim","given":"Elisangela"}],"issued":{"date-parts":[["2024",10,7]]}}}],"schema":"https://github.com/citation-style-language/schema/raw/master/csl-citation.json"} </w:instrText>
      </w:r>
      <w:r w:rsidR="001C0339">
        <w:rPr>
          <w:szCs w:val="24"/>
          <w:lang w:val="pt-BR"/>
        </w:rPr>
        <w:fldChar w:fldCharType="separate"/>
      </w:r>
      <w:r w:rsidR="001C0339" w:rsidRPr="00E0758B">
        <w:rPr>
          <w:lang w:val="pt-BR"/>
        </w:rPr>
        <w:t>(F</w:t>
      </w:r>
      <w:r w:rsidR="001C0339">
        <w:rPr>
          <w:lang w:val="pt-BR"/>
        </w:rPr>
        <w:t>urtado;</w:t>
      </w:r>
      <w:r w:rsidR="001C0339" w:rsidRPr="00E0758B">
        <w:rPr>
          <w:lang w:val="pt-BR"/>
        </w:rPr>
        <w:t xml:space="preserve"> P</w:t>
      </w:r>
      <w:r w:rsidR="001C0339">
        <w:rPr>
          <w:lang w:val="pt-BR"/>
        </w:rPr>
        <w:t>aim</w:t>
      </w:r>
      <w:r w:rsidR="001C0339" w:rsidRPr="00E0758B">
        <w:rPr>
          <w:lang w:val="pt-BR"/>
        </w:rPr>
        <w:t>, 2024)</w:t>
      </w:r>
      <w:r w:rsidR="001C0339">
        <w:rPr>
          <w:szCs w:val="24"/>
          <w:lang w:val="pt-BR"/>
        </w:rPr>
        <w:fldChar w:fldCharType="end"/>
      </w:r>
      <w:r w:rsidR="001C0339">
        <w:rPr>
          <w:szCs w:val="24"/>
          <w:lang w:val="pt-BR"/>
        </w:rPr>
        <w:t>.</w:t>
      </w:r>
      <w:r w:rsidR="00F95670">
        <w:rPr>
          <w:szCs w:val="24"/>
          <w:lang w:val="pt-BR"/>
        </w:rPr>
        <w:t xml:space="preserve"> Isso mostra que mesmo</w:t>
      </w:r>
      <w:r w:rsidR="00F95670" w:rsidRPr="00F95670">
        <w:rPr>
          <w:lang w:val="pt-BR"/>
        </w:rPr>
        <w:t xml:space="preserve"> </w:t>
      </w:r>
      <w:r w:rsidR="00F95670">
        <w:rPr>
          <w:lang w:val="pt-BR"/>
        </w:rPr>
        <w:t xml:space="preserve">nas </w:t>
      </w:r>
      <w:r w:rsidR="00F95670" w:rsidRPr="00F95670">
        <w:rPr>
          <w:szCs w:val="24"/>
          <w:lang w:val="pt-BR"/>
        </w:rPr>
        <w:t>empresas de produção de energias com base em combustíveis fósseis</w:t>
      </w:r>
      <w:r w:rsidR="00F95670">
        <w:rPr>
          <w:szCs w:val="24"/>
          <w:lang w:val="pt-BR"/>
        </w:rPr>
        <w:t xml:space="preserve"> há uma tendência de crescimento no investimento em energias renováveis.</w:t>
      </w:r>
    </w:p>
    <w:p w14:paraId="73C1127B" w14:textId="54D6E3B3" w:rsidR="00CE2DE4" w:rsidRDefault="00E364CB" w:rsidP="00CE2DE4">
      <w:pPr>
        <w:spacing w:after="120"/>
        <w:ind w:firstLine="284"/>
        <w:rPr>
          <w:szCs w:val="24"/>
          <w:lang w:val="pt-BR"/>
        </w:rPr>
      </w:pPr>
      <w:r w:rsidRPr="00E364CB">
        <w:rPr>
          <w:szCs w:val="24"/>
          <w:lang w:val="pt-BR"/>
        </w:rPr>
        <w:t>A Petrobras, no ano de 2008, instalou no seu Centro de Pesquisas no Rio de Janeiro (Cen</w:t>
      </w:r>
      <w:r w:rsidR="00CE2DE4">
        <w:rPr>
          <w:szCs w:val="24"/>
          <w:lang w:val="pt-BR"/>
        </w:rPr>
        <w:t>P</w:t>
      </w:r>
      <w:r w:rsidRPr="00E364CB">
        <w:rPr>
          <w:szCs w:val="24"/>
          <w:lang w:val="pt-BR"/>
        </w:rPr>
        <w:t>es) uma planta piloto para produzir etanol por meio do processo de hidrólise enzimática e a segunda fase</w:t>
      </w:r>
      <w:r w:rsidR="00CE2DE4">
        <w:rPr>
          <w:szCs w:val="24"/>
          <w:lang w:val="pt-BR"/>
        </w:rPr>
        <w:t xml:space="preserve"> foi implantada em 201</w:t>
      </w:r>
      <w:r w:rsidR="00D8045E">
        <w:rPr>
          <w:szCs w:val="24"/>
          <w:lang w:val="pt-BR"/>
        </w:rPr>
        <w:t>0</w:t>
      </w:r>
      <w:r w:rsidR="00CE2DE4">
        <w:rPr>
          <w:szCs w:val="24"/>
          <w:lang w:val="pt-BR"/>
        </w:rPr>
        <w:t xml:space="preserve"> no</w:t>
      </w:r>
      <w:r w:rsidRPr="00E364CB">
        <w:rPr>
          <w:szCs w:val="24"/>
          <w:lang w:val="pt-BR"/>
        </w:rPr>
        <w:t xml:space="preserve"> Centro de Ciência e Tecnologia do Bioetanol, em Campinas</w:t>
      </w:r>
      <w:r w:rsidR="00CE2DE4">
        <w:rPr>
          <w:szCs w:val="24"/>
          <w:lang w:val="pt-BR"/>
        </w:rPr>
        <w:t>, São Paulo</w:t>
      </w:r>
      <w:r w:rsidR="00D8045E">
        <w:rPr>
          <w:szCs w:val="24"/>
          <w:lang w:val="pt-BR"/>
        </w:rPr>
        <w:t>, ainda em 2010,</w:t>
      </w:r>
      <w:r w:rsidR="00CE2DE4" w:rsidRPr="00CE2DE4">
        <w:rPr>
          <w:szCs w:val="24"/>
          <w:lang w:val="pt-BR"/>
        </w:rPr>
        <w:t xml:space="preserve"> foi criado o Laboratório Nacional de Ciência e Tecnologia do Bioetanol (CTBE), vinculado ao Ministério de Ciência e Tecnologia, com objetivo de viabilizar a intenção brasileira de substituir 10% de toda a gasolina consumida no mundo até 2025</w:t>
      </w:r>
      <w:r w:rsidR="00D8045E">
        <w:rPr>
          <w:szCs w:val="24"/>
          <w:lang w:val="pt-BR"/>
        </w:rPr>
        <w:t xml:space="preserve"> </w:t>
      </w:r>
      <w:r>
        <w:rPr>
          <w:szCs w:val="24"/>
          <w:lang w:val="pt-BR"/>
        </w:rPr>
        <w:fldChar w:fldCharType="begin"/>
      </w:r>
      <w:r w:rsidR="00D12159">
        <w:rPr>
          <w:szCs w:val="24"/>
          <w:lang w:val="pt-BR"/>
        </w:rPr>
        <w:instrText xml:space="preserve"> ADDIN ZOTERO_ITEM CSL_CITATION {"citationID":"ZReLM979","properties":{"formattedCitation":"(SOUTINHO; ROS\\uc0\\u193{}RIO; LIMA, 2019)","plainCitation":"(SOUTINHO; ROSÁRIO; LIMA, 2019)","dontUpdate":true,"noteIndex":0},"citationItems":[{"id":2101,"uris":["http://zotero.org/users/6746406/items/X6JDVUWJ"],"itemData":{"id":2101,"type":"article-journal","abstract":"O objetivo deste artigo é estudar a realização de pesquisa e desenvolvimento (P&amp;amp;D) na indústria de etanol de segunda geração (etanol 2G) e seus transbordamentos para a produção; e também, do etanol de primeira geração (etanol 1G), além dos desdobramentos desses transbordamentos para o Sistema Setorial de Inovação Sucroenergético. Para entender tal contexto, foi realizada uma pesquisa com base na técnica Delphi com a aplicação de três ondas de questionários e entrevistas em profundidade com 20 especialistas na área da produção sucroenergética e na produção de etanol 2G. Como resultado da pesquisa, foram identificados que os principais desafios tecnológicos dessa atividade industrial se relacionam ao incremento da produtividade tanto na parte agrícola quanto na de tecnologia industrial. A superação de tais desafios depende da capacidade de acesso a fontes de aprendizado e inovação para consolidar as atividades de P&amp;amp;D num setor situado nas fronteiras do conhecimento. Foi também identificado que a pesquisa em etanol 2G é realizada por meio de parcerias, em uma extensa rede composta por empresas, centros de pesquisa públicos e privados e universidades públicas, e que já faziam parte do Sistema Setorial de Inovação Sucroalcooleiro. Por fim, identificou dificuldades na interação entre os agentes envolvidos nessa rede no que concerne à regulação e participação dos envolvidos nas definições das trajetórias de pesquisa, ao compartilhamento dos direitos de propriedade intelectual e ao acesso a financiamento para pesquisa.","container-title":"Revista Economia Política do Desenvolvimento","DOI":"10.28998/repd.v6i18.8660","ISSN":"2594-598X","issue":"18","language":"pt","license":"Copyright (c) 2021 REVISTA ECONOMIA POLÍTICA DO DESENVOLVIMENTO","note":"number: 18","page":"80-89","source":"www.seer.ufal.br","title":"Mapeamento de rotas tecnológicas do setor sucro energético brasileiro. Mudança tecnológica na produção de etanol derivado da cana de açúcar","volume":"6","author":[{"family":"Soutinho","given":"Liliana Cavalcante"},{"family":"Rosário","given":"Francisco José Peixoto"},{"family":"Lima","given":"Araken Alves","dropping-particle":"de"}],"issued":{"date-parts":[["2019",9,4]]}}}],"schema":"https://github.com/citation-style-language/schema/raw/master/csl-citation.json"} </w:instrText>
      </w:r>
      <w:r>
        <w:rPr>
          <w:szCs w:val="24"/>
          <w:lang w:val="pt-BR"/>
        </w:rPr>
        <w:fldChar w:fldCharType="separate"/>
      </w:r>
      <w:r w:rsidRPr="00E364CB">
        <w:rPr>
          <w:lang w:val="pt-BR"/>
        </w:rPr>
        <w:t>(S</w:t>
      </w:r>
      <w:r>
        <w:rPr>
          <w:lang w:val="pt-BR"/>
        </w:rPr>
        <w:t>outinho</w:t>
      </w:r>
      <w:r w:rsidRPr="00E364CB">
        <w:rPr>
          <w:lang w:val="pt-BR"/>
        </w:rPr>
        <w:t>; R</w:t>
      </w:r>
      <w:r>
        <w:rPr>
          <w:lang w:val="pt-BR"/>
        </w:rPr>
        <w:t>osário</w:t>
      </w:r>
      <w:r w:rsidRPr="00E364CB">
        <w:rPr>
          <w:lang w:val="pt-BR"/>
        </w:rPr>
        <w:t>; L</w:t>
      </w:r>
      <w:r>
        <w:rPr>
          <w:lang w:val="pt-BR"/>
        </w:rPr>
        <w:t>ima</w:t>
      </w:r>
      <w:r w:rsidRPr="00E364CB">
        <w:rPr>
          <w:lang w:val="pt-BR"/>
        </w:rPr>
        <w:t>, 2019)</w:t>
      </w:r>
      <w:r>
        <w:rPr>
          <w:szCs w:val="24"/>
          <w:lang w:val="pt-BR"/>
        </w:rPr>
        <w:fldChar w:fldCharType="end"/>
      </w:r>
      <w:r w:rsidR="00D8045E">
        <w:rPr>
          <w:szCs w:val="24"/>
          <w:lang w:val="pt-BR"/>
        </w:rPr>
        <w:t xml:space="preserve">. </w:t>
      </w:r>
      <w:r w:rsidR="00CE2DE4">
        <w:rPr>
          <w:szCs w:val="24"/>
          <w:lang w:val="pt-BR"/>
        </w:rPr>
        <w:t xml:space="preserve">Em 2019 </w:t>
      </w:r>
      <w:r w:rsidR="00EB51FD">
        <w:rPr>
          <w:szCs w:val="24"/>
          <w:lang w:val="pt-BR"/>
        </w:rPr>
        <w:t>o</w:t>
      </w:r>
      <w:r w:rsidR="00CE2DE4" w:rsidRPr="00CE2DE4">
        <w:rPr>
          <w:szCs w:val="24"/>
          <w:lang w:val="pt-BR"/>
        </w:rPr>
        <w:t xml:space="preserve"> Laboratório Nacional de Ciência e Tecnologia do Bioetanol (CTBE) passa</w:t>
      </w:r>
      <w:r w:rsidR="00EB51FD">
        <w:rPr>
          <w:szCs w:val="24"/>
          <w:lang w:val="pt-BR"/>
        </w:rPr>
        <w:t>ndo</w:t>
      </w:r>
      <w:r w:rsidR="00CE2DE4" w:rsidRPr="00CE2DE4">
        <w:rPr>
          <w:szCs w:val="24"/>
          <w:lang w:val="pt-BR"/>
        </w:rPr>
        <w:t xml:space="preserve"> a se chamar Laboratório Nacional de Biorrenováveis (LNBR).</w:t>
      </w:r>
      <w:r w:rsidR="00CE2DE4">
        <w:rPr>
          <w:szCs w:val="24"/>
          <w:lang w:val="pt-BR"/>
        </w:rPr>
        <w:t xml:space="preserve"> </w:t>
      </w:r>
      <w:r w:rsidR="00CE2DE4" w:rsidRPr="00CE2DE4">
        <w:rPr>
          <w:szCs w:val="24"/>
          <w:lang w:val="pt-BR"/>
        </w:rPr>
        <w:t xml:space="preserve">A mudança foi realizada para contemplar o aumento do campo de pesquisa e atuação do laboratório em biotecnologia. </w:t>
      </w:r>
      <w:r w:rsidR="00EB51FD">
        <w:rPr>
          <w:szCs w:val="24"/>
          <w:lang w:val="pt-BR"/>
        </w:rPr>
        <w:t>Desde então,</w:t>
      </w:r>
      <w:r w:rsidR="00CE2DE4" w:rsidRPr="00CE2DE4">
        <w:rPr>
          <w:szCs w:val="24"/>
          <w:lang w:val="pt-BR"/>
        </w:rPr>
        <w:t xml:space="preserve"> além do etanol, o escopo das</w:t>
      </w:r>
      <w:r w:rsidR="00D8045E">
        <w:rPr>
          <w:szCs w:val="24"/>
          <w:lang w:val="pt-BR"/>
        </w:rPr>
        <w:t xml:space="preserve"> </w:t>
      </w:r>
      <w:r w:rsidR="00CE2DE4" w:rsidRPr="00CE2DE4">
        <w:rPr>
          <w:szCs w:val="24"/>
          <w:lang w:val="pt-BR"/>
        </w:rPr>
        <w:t>pesquisa</w:t>
      </w:r>
      <w:r w:rsidR="00D8045E">
        <w:rPr>
          <w:szCs w:val="24"/>
          <w:lang w:val="pt-BR"/>
        </w:rPr>
        <w:t>s</w:t>
      </w:r>
      <w:r w:rsidR="00CE2DE4" w:rsidRPr="00CE2DE4">
        <w:rPr>
          <w:szCs w:val="24"/>
          <w:lang w:val="pt-BR"/>
        </w:rPr>
        <w:t xml:space="preserve"> também inclui bioquímicos e biomateriais</w:t>
      </w:r>
    </w:p>
    <w:p w14:paraId="01E537BB" w14:textId="5E3467DE" w:rsidR="00332400" w:rsidRDefault="00332400" w:rsidP="0020739D">
      <w:pPr>
        <w:spacing w:after="120"/>
        <w:ind w:firstLine="284"/>
        <w:rPr>
          <w:szCs w:val="24"/>
          <w:lang w:val="pt-BR"/>
        </w:rPr>
      </w:pPr>
      <w:r w:rsidRPr="00332400">
        <w:rPr>
          <w:szCs w:val="24"/>
          <w:lang w:val="pt-BR"/>
        </w:rPr>
        <w:t>Cada uma das indústrias, incluindo a indústria de petróleo e gás, deve prestar atenção aos aspectos de higiene industrial, da melhor forma possível, dada a magnitude do nível de risco de atividade contido em cada funcionário. A higiene industrial é o estudo de como antecipar, reconhecer, avaliar e controlar as condições do local de trabalho que podem levar os trabalhadores a sofrer doenças ou lesões.</w:t>
      </w:r>
      <w:r>
        <w:rPr>
          <w:szCs w:val="24"/>
          <w:lang w:val="pt-BR"/>
        </w:rPr>
        <w:t xml:space="preserve"> A</w:t>
      </w:r>
      <w:r w:rsidRPr="00332400">
        <w:rPr>
          <w:szCs w:val="24"/>
          <w:lang w:val="pt-BR"/>
        </w:rPr>
        <w:t xml:space="preserve"> empresa de petróleo e gás, enfrenta o </w:t>
      </w:r>
      <w:r>
        <w:rPr>
          <w:szCs w:val="24"/>
          <w:lang w:val="pt-BR"/>
        </w:rPr>
        <w:t>desafio</w:t>
      </w:r>
      <w:r w:rsidRPr="00332400">
        <w:rPr>
          <w:szCs w:val="24"/>
          <w:lang w:val="pt-BR"/>
        </w:rPr>
        <w:t xml:space="preserve"> de como reduzir o impacto da saúde ocupacional. </w:t>
      </w:r>
      <w:r>
        <w:rPr>
          <w:szCs w:val="24"/>
        </w:rPr>
        <w:fldChar w:fldCharType="begin"/>
      </w:r>
      <w:r w:rsidR="00071F62">
        <w:rPr>
          <w:szCs w:val="24"/>
          <w:lang w:val="pt-BR"/>
        </w:rPr>
        <w:instrText xml:space="preserve"> ADDIN ZOTERO_ITEM CSL_CITATION {"citationID":"8ujAQiWV","properties":{"formattedCitation":"(ZAHARA; MUSHALIA; IRIDIASTADI, 2012)","plainCitation":"(ZAHARA; MUSHALIA; IRIDIASTADI, 2012)","dontUpdate":true,"noteIndex":0},"citationItems":[{"id":2048,"uris":["http://zotero.org/users/6746406/items/BQ2C8F4G"],"itemData":{"id":2048,"type":"article-journal","abstract":"Each of industries including oil and gas industri should pay attention to aspects of industrial hygiene as well as possible given the magnitude of the…","container-title":"Procedia - Social and Behavioral Sciences","DOI":"10.1016/j.sbspro.2012.11.150","ISSN":"1877-0428","language":"pt","note":"publisher: Elsevier","page":"468-472","source":"www.sciencedirect.com","title":"Industrial Hygiene Programs Design in the Oil &amp; Gas Company","volume":"65","author":[{"family":"Zahara","given":"Hanna Shofa"},{"family":"Mushalia","given":"Sella"},{"family":"Iridiastadi","given":"Ir Hardianto"}],"issued":{"date-parts":[["2012",12,3]]}}}],"schema":"https://github.com/citation-style-language/schema/raw/master/csl-citation.json"} </w:instrText>
      </w:r>
      <w:r>
        <w:rPr>
          <w:szCs w:val="24"/>
        </w:rPr>
        <w:fldChar w:fldCharType="separate"/>
      </w:r>
      <w:r w:rsidR="008A736C" w:rsidRPr="008A736C">
        <w:rPr>
          <w:lang w:val="pt-BR"/>
        </w:rPr>
        <w:t>(Z</w:t>
      </w:r>
      <w:r w:rsidR="00944AB3">
        <w:rPr>
          <w:lang w:val="pt-BR"/>
        </w:rPr>
        <w:t>ahara</w:t>
      </w:r>
      <w:r w:rsidR="008A736C" w:rsidRPr="008A736C">
        <w:rPr>
          <w:lang w:val="pt-BR"/>
        </w:rPr>
        <w:t>; M</w:t>
      </w:r>
      <w:r w:rsidR="00944AB3">
        <w:rPr>
          <w:lang w:val="pt-BR"/>
        </w:rPr>
        <w:t>ushalia</w:t>
      </w:r>
      <w:r w:rsidR="008A736C" w:rsidRPr="008A736C">
        <w:rPr>
          <w:lang w:val="pt-BR"/>
        </w:rPr>
        <w:t>; I</w:t>
      </w:r>
      <w:r w:rsidR="00944AB3">
        <w:rPr>
          <w:lang w:val="pt-BR"/>
        </w:rPr>
        <w:t>ridiastadi</w:t>
      </w:r>
      <w:r w:rsidR="008A736C" w:rsidRPr="008A736C">
        <w:rPr>
          <w:lang w:val="pt-BR"/>
        </w:rPr>
        <w:t>, 2012)</w:t>
      </w:r>
      <w:r>
        <w:rPr>
          <w:szCs w:val="24"/>
        </w:rPr>
        <w:fldChar w:fldCharType="end"/>
      </w:r>
      <w:r w:rsidRPr="00332400">
        <w:rPr>
          <w:szCs w:val="24"/>
          <w:lang w:val="pt-BR"/>
        </w:rPr>
        <w:t>.</w:t>
      </w:r>
    </w:p>
    <w:p w14:paraId="06C71A86" w14:textId="0A9E29A9" w:rsidR="0072400C" w:rsidRDefault="00F030FC" w:rsidP="0072400C">
      <w:pPr>
        <w:spacing w:after="120"/>
        <w:ind w:firstLine="284"/>
        <w:rPr>
          <w:szCs w:val="24"/>
          <w:lang w:val="pt-BR"/>
        </w:rPr>
      </w:pPr>
      <w:r>
        <w:rPr>
          <w:szCs w:val="24"/>
          <w:lang w:val="pt-BR"/>
        </w:rPr>
        <w:t>Considerando uma</w:t>
      </w:r>
      <w:r w:rsidR="0072400C">
        <w:rPr>
          <w:szCs w:val="24"/>
          <w:lang w:val="pt-BR"/>
        </w:rPr>
        <w:t xml:space="preserve"> </w:t>
      </w:r>
      <w:r w:rsidR="0072400C" w:rsidRPr="0072400C">
        <w:rPr>
          <w:szCs w:val="24"/>
          <w:lang w:val="pt-BR"/>
        </w:rPr>
        <w:t xml:space="preserve">plataforma </w:t>
      </w:r>
      <w:r>
        <w:rPr>
          <w:szCs w:val="24"/>
          <w:lang w:val="pt-BR"/>
        </w:rPr>
        <w:t xml:space="preserve">que </w:t>
      </w:r>
      <w:r w:rsidR="0072400C" w:rsidRPr="0072400C">
        <w:rPr>
          <w:szCs w:val="24"/>
          <w:lang w:val="pt-BR"/>
        </w:rPr>
        <w:t>se encontra na zona de transição entre águas rasas e zona de arrebentação, devido à interação das ondas</w:t>
      </w:r>
      <w:r w:rsidR="0072400C">
        <w:rPr>
          <w:szCs w:val="24"/>
          <w:lang w:val="pt-BR"/>
        </w:rPr>
        <w:t xml:space="preserve"> </w:t>
      </w:r>
      <w:r w:rsidR="0072400C" w:rsidRPr="0072400C">
        <w:rPr>
          <w:szCs w:val="24"/>
          <w:lang w:val="pt-BR"/>
        </w:rPr>
        <w:t>com o fundo oceânico</w:t>
      </w:r>
      <w:r>
        <w:rPr>
          <w:szCs w:val="24"/>
          <w:lang w:val="pt-BR"/>
        </w:rPr>
        <w:t>,</w:t>
      </w:r>
      <w:r w:rsidR="0072400C" w:rsidRPr="0072400C">
        <w:rPr>
          <w:szCs w:val="24"/>
          <w:lang w:val="pt-BR"/>
        </w:rPr>
        <w:t xml:space="preserve"> as alturas significativas serão maiores, e um incremento na altura de ondas aumentará a potência</w:t>
      </w:r>
      <w:r w:rsidR="0072400C">
        <w:rPr>
          <w:szCs w:val="24"/>
          <w:lang w:val="pt-BR"/>
        </w:rPr>
        <w:t xml:space="preserve"> </w:t>
      </w:r>
      <w:r w:rsidR="0072400C" w:rsidRPr="0072400C">
        <w:rPr>
          <w:szCs w:val="24"/>
          <w:lang w:val="pt-BR"/>
        </w:rPr>
        <w:t>(80%), o que torna</w:t>
      </w:r>
      <w:r>
        <w:rPr>
          <w:szCs w:val="24"/>
          <w:lang w:val="pt-BR"/>
        </w:rPr>
        <w:t xml:space="preserve"> esse tipo de </w:t>
      </w:r>
      <w:r w:rsidR="0072400C" w:rsidRPr="0072400C">
        <w:rPr>
          <w:szCs w:val="24"/>
          <w:lang w:val="pt-BR"/>
        </w:rPr>
        <w:t>plataforma um local atraente para instalação de uma usina conversora de ondas</w:t>
      </w:r>
      <w:r>
        <w:rPr>
          <w:szCs w:val="24"/>
          <w:lang w:val="pt-BR"/>
        </w:rPr>
        <w:t>, f</w:t>
      </w:r>
      <w:r w:rsidRPr="0072400C">
        <w:rPr>
          <w:szCs w:val="24"/>
          <w:lang w:val="pt-BR"/>
        </w:rPr>
        <w:t>oi</w:t>
      </w:r>
      <w:r>
        <w:rPr>
          <w:szCs w:val="24"/>
          <w:lang w:val="pt-BR"/>
        </w:rPr>
        <w:t xml:space="preserve"> </w:t>
      </w:r>
      <w:r w:rsidRPr="0072400C">
        <w:rPr>
          <w:szCs w:val="24"/>
          <w:lang w:val="pt-BR"/>
        </w:rPr>
        <w:t xml:space="preserve">constatado que o período mais energético </w:t>
      </w:r>
      <w:r>
        <w:rPr>
          <w:szCs w:val="24"/>
          <w:lang w:val="pt-BR"/>
        </w:rPr>
        <w:t xml:space="preserve">para o uso da energia das ondas </w:t>
      </w:r>
      <w:r w:rsidRPr="0072400C">
        <w:rPr>
          <w:szCs w:val="24"/>
          <w:lang w:val="pt-BR"/>
        </w:rPr>
        <w:t>é o inverno sendo a maior potência encontrada de 3,2 kW</w:t>
      </w:r>
      <w:r w:rsidR="008A736C">
        <w:rPr>
          <w:szCs w:val="24"/>
          <w:lang w:val="pt-BR"/>
        </w:rPr>
        <w:t xml:space="preserve"> </w:t>
      </w:r>
      <w:r w:rsidR="0072400C">
        <w:rPr>
          <w:szCs w:val="24"/>
          <w:lang w:val="pt-BR"/>
        </w:rPr>
        <w:fldChar w:fldCharType="begin"/>
      </w:r>
      <w:r w:rsidR="00071F62">
        <w:rPr>
          <w:szCs w:val="24"/>
          <w:lang w:val="pt-BR"/>
        </w:rPr>
        <w:instrText xml:space="preserve"> ADDIN ZOTERO_ITEM CSL_CITATION {"citationID":"WpFBQEpP","properties":{"formattedCitation":"(ZANDOMENEGO; SCHMIDT; D\\uc0\\u8217{}AQUINO, [s.d.])","plainCitation":"(ZANDOMENEGO; SCHMIDT; D’AQUINO, [s.d.])","dontUpdate":true,"noteIndex":0},"citationItems":[{"id":2149,"uris":["http://zotero.org/users/6746406/items/GN8TWLLL"],"itemData":{"id":2149,"type":"article-journal","language":"pt","source":"Zotero","title":"ESTIMATIVA DO POTENCIAL PARA GERAÇÃO DE ENERGIA ELÉTRICA EM UMA PLATAFORMA DE PESCA NO SUL DE SANTA CATARINA","author":[{"family":"Zandomenego","given":"Raffaela"},{"family":"Schmidt","given":"Nágila Lucietti"},{"family":"D’Aquino","given":"Carla de Abreu"}],"issued":{"date-parts":[["2016"]]}}}],"schema":"https://github.com/citation-style-language/schema/raw/master/csl-citation.json"} </w:instrText>
      </w:r>
      <w:r w:rsidR="0072400C">
        <w:rPr>
          <w:szCs w:val="24"/>
          <w:lang w:val="pt-BR"/>
        </w:rPr>
        <w:fldChar w:fldCharType="separate"/>
      </w:r>
      <w:r w:rsidR="0072400C" w:rsidRPr="00F030FC">
        <w:rPr>
          <w:lang w:val="pt-BR"/>
        </w:rPr>
        <w:t>(Z</w:t>
      </w:r>
      <w:r w:rsidR="00944AB3">
        <w:rPr>
          <w:lang w:val="pt-BR"/>
        </w:rPr>
        <w:t>andomenego</w:t>
      </w:r>
      <w:r w:rsidR="0072400C" w:rsidRPr="00F030FC">
        <w:rPr>
          <w:lang w:val="pt-BR"/>
        </w:rPr>
        <w:t>; S</w:t>
      </w:r>
      <w:r w:rsidR="00944AB3">
        <w:rPr>
          <w:lang w:val="pt-BR"/>
        </w:rPr>
        <w:t>chmidt</w:t>
      </w:r>
      <w:r w:rsidR="0072400C" w:rsidRPr="00F030FC">
        <w:rPr>
          <w:lang w:val="pt-BR"/>
        </w:rPr>
        <w:t>; D’A</w:t>
      </w:r>
      <w:r w:rsidR="00944AB3">
        <w:rPr>
          <w:lang w:val="pt-BR"/>
        </w:rPr>
        <w:t>quino</w:t>
      </w:r>
      <w:r w:rsidR="0072400C" w:rsidRPr="00F030FC">
        <w:rPr>
          <w:lang w:val="pt-BR"/>
        </w:rPr>
        <w:t xml:space="preserve">, </w:t>
      </w:r>
      <w:r w:rsidR="00944AB3">
        <w:rPr>
          <w:lang w:val="pt-BR"/>
        </w:rPr>
        <w:t>2016</w:t>
      </w:r>
      <w:r w:rsidR="0072400C" w:rsidRPr="00F030FC">
        <w:rPr>
          <w:lang w:val="pt-BR"/>
        </w:rPr>
        <w:t>)</w:t>
      </w:r>
      <w:r w:rsidR="0072400C">
        <w:rPr>
          <w:szCs w:val="24"/>
          <w:lang w:val="pt-BR"/>
        </w:rPr>
        <w:fldChar w:fldCharType="end"/>
      </w:r>
    </w:p>
    <w:p w14:paraId="5DC5357C" w14:textId="2B8B3C36" w:rsidR="0098325D" w:rsidRDefault="0098325D" w:rsidP="0072400C">
      <w:pPr>
        <w:spacing w:after="120"/>
        <w:ind w:firstLine="284"/>
        <w:rPr>
          <w:szCs w:val="24"/>
          <w:lang w:val="pt-BR"/>
        </w:rPr>
      </w:pPr>
      <w:r>
        <w:rPr>
          <w:szCs w:val="24"/>
          <w:lang w:val="pt-BR"/>
        </w:rPr>
        <w:t>E</w:t>
      </w:r>
      <w:r w:rsidRPr="0098325D">
        <w:rPr>
          <w:szCs w:val="24"/>
          <w:lang w:val="pt-BR"/>
        </w:rPr>
        <w:t>m Nova York, em 1913, foi realizada uma reunião composta por profissionais de segurança, especialistas</w:t>
      </w:r>
      <w:r>
        <w:rPr>
          <w:szCs w:val="24"/>
          <w:lang w:val="pt-BR"/>
        </w:rPr>
        <w:t xml:space="preserve"> na área de</w:t>
      </w:r>
      <w:r w:rsidRPr="0098325D">
        <w:rPr>
          <w:szCs w:val="24"/>
          <w:lang w:val="pt-BR"/>
        </w:rPr>
        <w:t xml:space="preserve"> seguros, funcionários públicos e líderes administrativos para destacar o problema relacionado à saúde e segurança ocupacional. </w:t>
      </w:r>
      <w:r>
        <w:rPr>
          <w:szCs w:val="24"/>
          <w:lang w:val="pt-BR"/>
        </w:rPr>
        <w:t xml:space="preserve">Um </w:t>
      </w:r>
      <w:r w:rsidRPr="0098325D">
        <w:rPr>
          <w:szCs w:val="24"/>
          <w:lang w:val="pt-BR"/>
        </w:rPr>
        <w:t>dos resultados da reunião foi o nascimento do “Conselho Nacional de Segurança”, e mais tarde</w:t>
      </w:r>
      <w:r w:rsidR="00A35FE2">
        <w:rPr>
          <w:szCs w:val="24"/>
          <w:lang w:val="pt-BR"/>
        </w:rPr>
        <w:t>,</w:t>
      </w:r>
      <w:r w:rsidRPr="0098325D">
        <w:rPr>
          <w:szCs w:val="24"/>
          <w:lang w:val="pt-BR"/>
        </w:rPr>
        <w:t xml:space="preserve"> foram introduzidas várias organizações, incluindo o “Conselho Britânico de Segurança” e a “Organização Internacional do Trabalho”. </w:t>
      </w:r>
      <w:r w:rsidR="00A35FE2">
        <w:rPr>
          <w:szCs w:val="24"/>
          <w:lang w:val="pt-BR"/>
        </w:rPr>
        <w:t>E</w:t>
      </w:r>
      <w:r w:rsidRPr="0098325D">
        <w:rPr>
          <w:szCs w:val="24"/>
          <w:lang w:val="pt-BR"/>
        </w:rPr>
        <w:t xml:space="preserve">m 1973, nos Estados Unidos da América (EUA), foi introduzida a “Lei de Saúde e Segurança Ocupacional” (OSHA) e, mais tarde, outros países como a Austrália e o Reino Unido tomaram medidas semelhantes </w:t>
      </w:r>
      <w:r>
        <w:rPr>
          <w:szCs w:val="24"/>
          <w:lang w:val="pt-BR"/>
        </w:rPr>
        <w:fldChar w:fldCharType="begin"/>
      </w:r>
      <w:r w:rsidR="005E449C">
        <w:rPr>
          <w:szCs w:val="24"/>
          <w:lang w:val="pt-BR"/>
        </w:rPr>
        <w:instrText xml:space="preserve"> ADDIN ZOTERO_ITEM CSL_CITATION {"citationID":"n105m9d0","properties":{"formattedCitation":"(AJMAL et al., 2022)","plainCitation":"(AJMAL et al., 2022)","dontUpdate":true,"noteIndex":0},"citationItems":[{"id":2059,"uris":["http://zotero.org/users/6746406/items/TE36DCLP"],"itemData":{"id":2059,"type":"article-journal","abstract":"This study examines the impact of critical safety-management practices on the occurrence of occupational accidents by means of safety compliance in Malaysia’s oil and gas industry. This study employed a cross-sectional design, in which data were collected from oil and gas downstream operations in five states within Malaysia using the convenience-sampling technique. The valid data of 280 responses were analyzed with Smart-PLS, and the structural-equation-modeling technique was applied. The study’s outcome revealed that safety-management practices (i.e., safety training, workers’ involvement, safety communication and feedback, management commitment to safety, safety-promotion policies, and safety rules and procedures) were significantly associated with occupational accidents via safety compliance. Thus, this study is helpful for practitioners and researchers to understand the importance of safety-management practices in reducing occupational accidents.","container-title":"Sustainability","DOI":"10.3390/su14084569","ISSN":"2071-1050","issue":"8","language":"en","license":"http://creativecommons.org/licenses/by/3.0/","note":"number: 8\npublisher: Multidisciplinary Digital Publishing Institute","page":"4569","source":"www.mdpi.com","title":"Safety-Management Practices and the Occurrence of Occupational Accidents: Assessing the Mediating Role of Safety Compliance","title-short":"Safety-Management Practices and the Occurrence of Occupational Accidents","volume":"14","author":[{"family":"Ajmal","given":"Muhammad"},{"family":"Isha","given":"Ahmad Shahrul Nizam"},{"family":"Nordin","given":"Shahrina Md"},{"family":"Al-Mekhlafi","given":"Al-Baraa Abdulrahman"}],"issued":{"date-parts":[["2022",1]]}}}],"schema":"https://github.com/citation-style-language/schema/raw/master/csl-citation.json"} </w:instrText>
      </w:r>
      <w:r>
        <w:rPr>
          <w:szCs w:val="24"/>
          <w:lang w:val="pt-BR"/>
        </w:rPr>
        <w:fldChar w:fldCharType="separate"/>
      </w:r>
      <w:r w:rsidRPr="0098325D">
        <w:rPr>
          <w:lang w:val="pt-BR"/>
        </w:rPr>
        <w:t>(A</w:t>
      </w:r>
      <w:r w:rsidR="00126A84">
        <w:rPr>
          <w:lang w:val="pt-BR"/>
        </w:rPr>
        <w:t>jmal</w:t>
      </w:r>
      <w:r w:rsidRPr="0098325D">
        <w:rPr>
          <w:lang w:val="pt-BR"/>
        </w:rPr>
        <w:t xml:space="preserve"> et al., 2022)</w:t>
      </w:r>
      <w:r>
        <w:rPr>
          <w:szCs w:val="24"/>
          <w:lang w:val="pt-BR"/>
        </w:rPr>
        <w:fldChar w:fldCharType="end"/>
      </w:r>
      <w:r w:rsidR="00A35FE2">
        <w:rPr>
          <w:szCs w:val="24"/>
          <w:lang w:val="pt-BR"/>
        </w:rPr>
        <w:t>.</w:t>
      </w:r>
    </w:p>
    <w:p w14:paraId="1E0E77F8" w14:textId="14A52F2A" w:rsidR="005D4258" w:rsidRDefault="009A0A4F" w:rsidP="00F719BB">
      <w:pPr>
        <w:spacing w:after="120"/>
        <w:ind w:firstLine="284"/>
        <w:rPr>
          <w:szCs w:val="24"/>
          <w:lang w:val="pt-BR"/>
        </w:rPr>
      </w:pPr>
      <w:r>
        <w:rPr>
          <w:szCs w:val="24"/>
          <w:lang w:val="pt-BR"/>
        </w:rPr>
        <w:lastRenderedPageBreak/>
        <w:t xml:space="preserve">De acordo com </w:t>
      </w:r>
      <w:r>
        <w:rPr>
          <w:szCs w:val="24"/>
          <w:lang w:val="pt-BR"/>
        </w:rPr>
        <w:fldChar w:fldCharType="begin"/>
      </w:r>
      <w:r w:rsidR="001C0E3B">
        <w:rPr>
          <w:szCs w:val="24"/>
          <w:lang w:val="pt-BR"/>
        </w:rPr>
        <w:instrText xml:space="preserve"> ADDIN ZOTERO_ITEM CSL_CITATION {"citationID":"jGvqu9Gc","properties":{"formattedCitation":"(ALIMIN; SYAHIDAH; SUSHANDOYO, 2023)","plainCitation":"(ALIMIN; SYAHIDAH; SUSHANDOYO, 2023)","dontUpdate":true,"noteIndex":0},"citationItems":[{"id":2082,"uris":["http://zotero.org/users/6746406/items/MWWD7BPS"],"itemData":{"id":2082,"type":"article-journal","abstract":"In the Oil and Gas Industry, Occupational Safety and Health are prioritized. This is not only based on the high risk in this industry but also part of maintaining the name of a company in developing its business. Because if a company's occupational safety and health record is bad, then investors will re-think for investing in the company. Occupational Safety and Health will be included as one of the points in the Key Performance Indicator of the company. The PTM as a subsidiary of one of oil company in developing country also considering that maintaining occupational safety and health properly is the main thing. As one of the upstream businesses in the field of oil and gas consisting of exploration and production, work operations at PTM have a high level of accident and occupational health risk. Mainly in drilling and well intervention operation. The company's vision and mission are then carried out with a Safety Management System and use a safety slogan as the objective of the organization. The embodiment of this slogan is through safety programs which was implemented in drilling rigs and well intervention barges with purpose to create free accident on working environment for PTM workers and their contractors. The transfer of management of the operational Block from previous operator to PTM in 2018 also affected the culture of occupational safety and health in the work area, especially in the field. Based on these conditions, this research was conducted to find out whether the safety culture practiced by PTM employees in the Drilling and Well Intervention division in the field is good enough. And to find out whether the safety slogans and safety programs that were carried out in part at the previous operator had an influence on the existing safety culture. The research method uses quantitative methods with research instruments in the form of questionnaires using a Likert scale. The population in this study were permanent and contractor employees who worked on drilling rigs and well intervention barges. The results showed that in general, the Company has a safety slogan and safety program that influences the safety culture implemented by employees. However, there is still a need to transform and improve the safety program in PHM in general and in the implementation of Drilling and Intervention.","container-title":"European Journal of Business and Management Research","DOI":"10.24018/ejbmr.2023.8.1.1768","ISSN":"2507-1076","issue":"1","language":"en","license":"Copyright (c) 2023 Ahmad R. Alimin, Sumayyah Nurul Syahidah, Dedy Sushandoyo","note":"number: 1","page":"64-70","source":"www.ejbmr.org","title":"The Influence of Safety Slogan and Safety Program to Safety Culture: Case study at Drilling and Well Intervention Division one of Indonesia’s Oil and Gas Company","title-short":"The Influence of Safety Slogan and Safety Program to Safety Culture","volume":"8","author":[{"family":"Alimin","given":"Ahmad R."},{"family":"Syahidah","given":"Sumayyah N."},{"family":"Sushandoyo","given":"Dedy"}],"issued":{"date-parts":[["2023",1,10]]}}}],"schema":"https://github.com/citation-style-language/schema/raw/master/csl-citation.json"} </w:instrText>
      </w:r>
      <w:r>
        <w:rPr>
          <w:szCs w:val="24"/>
          <w:lang w:val="pt-BR"/>
        </w:rPr>
        <w:fldChar w:fldCharType="separate"/>
      </w:r>
      <w:r w:rsidRPr="009A0A4F">
        <w:rPr>
          <w:lang w:val="pt-BR"/>
        </w:rPr>
        <w:t>A</w:t>
      </w:r>
      <w:r>
        <w:rPr>
          <w:lang w:val="pt-BR"/>
        </w:rPr>
        <w:t>limin</w:t>
      </w:r>
      <w:r w:rsidRPr="009A0A4F">
        <w:rPr>
          <w:lang w:val="pt-BR"/>
        </w:rPr>
        <w:t>; S</w:t>
      </w:r>
      <w:r>
        <w:rPr>
          <w:lang w:val="pt-BR"/>
        </w:rPr>
        <w:t>yahidah;</w:t>
      </w:r>
      <w:r w:rsidRPr="009A0A4F">
        <w:rPr>
          <w:lang w:val="pt-BR"/>
        </w:rPr>
        <w:t xml:space="preserve"> S</w:t>
      </w:r>
      <w:r>
        <w:rPr>
          <w:lang w:val="pt-BR"/>
        </w:rPr>
        <w:t>ushandoyo</w:t>
      </w:r>
      <w:r w:rsidRPr="009A0A4F">
        <w:rPr>
          <w:lang w:val="pt-BR"/>
        </w:rPr>
        <w:t xml:space="preserve"> </w:t>
      </w:r>
      <w:r>
        <w:rPr>
          <w:lang w:val="pt-BR"/>
        </w:rPr>
        <w:t>(</w:t>
      </w:r>
      <w:r w:rsidRPr="009A0A4F">
        <w:rPr>
          <w:lang w:val="pt-BR"/>
        </w:rPr>
        <w:t>2023)</w:t>
      </w:r>
      <w:r>
        <w:rPr>
          <w:szCs w:val="24"/>
          <w:lang w:val="pt-BR"/>
        </w:rPr>
        <w:fldChar w:fldCharType="end"/>
      </w:r>
      <w:r>
        <w:rPr>
          <w:szCs w:val="24"/>
          <w:lang w:val="pt-BR"/>
        </w:rPr>
        <w:t>,</w:t>
      </w:r>
      <w:r w:rsidRPr="009A0A4F">
        <w:rPr>
          <w:lang w:val="pt-BR"/>
        </w:rPr>
        <w:t xml:space="preserve"> </w:t>
      </w:r>
      <w:r>
        <w:rPr>
          <w:lang w:val="pt-BR"/>
        </w:rPr>
        <w:t>n</w:t>
      </w:r>
      <w:r w:rsidRPr="009A0A4F">
        <w:rPr>
          <w:szCs w:val="24"/>
          <w:lang w:val="pt-BR"/>
        </w:rPr>
        <w:t>a Indústria de Petróleo e Gás, a Segurança e Saúde Ocupacional são priorizadas</w:t>
      </w:r>
      <w:r>
        <w:rPr>
          <w:szCs w:val="24"/>
          <w:lang w:val="pt-BR"/>
        </w:rPr>
        <w:t>. E isto</w:t>
      </w:r>
      <w:r w:rsidRPr="009A0A4F">
        <w:rPr>
          <w:szCs w:val="24"/>
          <w:lang w:val="pt-BR"/>
        </w:rPr>
        <w:t xml:space="preserve"> não se baseia apenas no alto risco deste setor, mas também faz parte da manutenção do nome de uma empresa no desenvolvimento do seu negócio. Porque se o histórico de segurança e saúde ocupacional de uma empresa for ruim, os investidores repensarão o investimento na empresa.</w:t>
      </w:r>
    </w:p>
    <w:p w14:paraId="6DFC072C" w14:textId="2877A62D" w:rsidR="00B30563" w:rsidRDefault="00F719BB" w:rsidP="006672A1">
      <w:pPr>
        <w:spacing w:after="120"/>
        <w:ind w:firstLine="284"/>
        <w:rPr>
          <w:szCs w:val="24"/>
          <w:lang w:val="pt-BR"/>
        </w:rPr>
      </w:pPr>
      <w:r>
        <w:rPr>
          <w:szCs w:val="24"/>
          <w:lang w:val="pt-BR"/>
        </w:rPr>
        <w:t>De acordo com</w:t>
      </w:r>
      <w:r>
        <w:rPr>
          <w:szCs w:val="24"/>
          <w:lang w:val="pt-BR"/>
        </w:rPr>
        <w:fldChar w:fldCharType="begin"/>
      </w:r>
      <w:r w:rsidR="001C0E3B">
        <w:rPr>
          <w:szCs w:val="24"/>
          <w:lang w:val="pt-BR"/>
        </w:rPr>
        <w:instrText xml:space="preserve"> ADDIN ZOTERO_ITEM CSL_CITATION {"citationID":"sOLwpXMO","properties":{"formattedCitation":"(MOURA PEREIRA et al., 2022)","plainCitation":"(MOURA PEREIRA et al., 2022)","dontUpdate":true,"noteIndex":0},"citationItems":[{"id":2138,"uris":["http://zotero.org/users/6746406/items/AUHI2Z6T"],"itemData":{"id":2138,"type":"book","abstract":"Este trabalho teve como objetivo analisar o perfil dos Acidentes de Trabalho no Brasil entre os anos de 2014 a 2021. Para tanto, foram usados a base de dados secundários, sobre o tema em questão, do Radar STI, plataforma vinculada ao Governo Federal. Utilizou-se ainda dados do Observatório de Saúde e Segurança do Trabalho, do Ministério Público do Trabalho. Os resultados indicaram que, para o intervalo analisado, o número total de Acidentes de Trabalho teve uma redução de 40%, que São Paulo é o estado da federação com maior contributo em Acidentes do Trabalho, assim como a Indústria de Transformação e que os acidentes típicos são os predominantes dentre o quantitativo de Acidentes de Trabalho.","note":"DOI: 10.14488/enegep2022_tn_st_389_1931_43281","source":"ResearchGate","title":"Análise do perfil dos acidentes do trabalho no Brasil entre 2014 e 2021","author":[{"family":"Moura Pereira","given":"Daniel Augusto"},{"family":"Monte","given":"Danillo"},{"family":"Santos","given":"Marcos"},{"family":"Vaz","given":"Antônio"},{"family":"Giacon Junior","given":"Admir"}],"issued":{"date-parts":[["2022",10,4]]}}}],"schema":"https://github.com/citation-style-language/schema/raw/master/csl-citation.json"} </w:instrText>
      </w:r>
      <w:r>
        <w:rPr>
          <w:szCs w:val="24"/>
          <w:lang w:val="pt-BR"/>
        </w:rPr>
        <w:fldChar w:fldCharType="separate"/>
      </w:r>
      <w:r>
        <w:rPr>
          <w:lang w:val="pt-BR"/>
        </w:rPr>
        <w:t xml:space="preserve"> </w:t>
      </w:r>
      <w:r w:rsidRPr="00F719BB">
        <w:rPr>
          <w:lang w:val="pt-BR"/>
        </w:rPr>
        <w:t>M</w:t>
      </w:r>
      <w:r>
        <w:rPr>
          <w:lang w:val="pt-BR"/>
        </w:rPr>
        <w:t>oura</w:t>
      </w:r>
      <w:r w:rsidRPr="00F719BB">
        <w:rPr>
          <w:lang w:val="pt-BR"/>
        </w:rPr>
        <w:t xml:space="preserve"> P</w:t>
      </w:r>
      <w:r>
        <w:rPr>
          <w:lang w:val="pt-BR"/>
        </w:rPr>
        <w:t>ereira</w:t>
      </w:r>
      <w:r w:rsidRPr="00F719BB">
        <w:rPr>
          <w:lang w:val="pt-BR"/>
        </w:rPr>
        <w:t xml:space="preserve"> et al. </w:t>
      </w:r>
      <w:r>
        <w:rPr>
          <w:lang w:val="pt-BR"/>
        </w:rPr>
        <w:t>(</w:t>
      </w:r>
      <w:r w:rsidRPr="00F719BB">
        <w:rPr>
          <w:lang w:val="pt-BR"/>
        </w:rPr>
        <w:t>2022)</w:t>
      </w:r>
      <w:r>
        <w:rPr>
          <w:szCs w:val="24"/>
          <w:lang w:val="pt-BR"/>
        </w:rPr>
        <w:fldChar w:fldCharType="end"/>
      </w:r>
      <w:r>
        <w:rPr>
          <w:szCs w:val="24"/>
          <w:lang w:val="pt-BR"/>
        </w:rPr>
        <w:t xml:space="preserve"> </w:t>
      </w:r>
      <w:r w:rsidRPr="00F719BB">
        <w:rPr>
          <w:szCs w:val="24"/>
          <w:lang w:val="pt-BR"/>
        </w:rPr>
        <w:t>a maioria dos dados sobre A</w:t>
      </w:r>
      <w:r>
        <w:rPr>
          <w:szCs w:val="24"/>
          <w:lang w:val="pt-BR"/>
        </w:rPr>
        <w:t xml:space="preserve">cidentes de </w:t>
      </w:r>
      <w:r w:rsidRPr="00F719BB">
        <w:rPr>
          <w:szCs w:val="24"/>
          <w:lang w:val="pt-BR"/>
        </w:rPr>
        <w:t>T</w:t>
      </w:r>
      <w:r>
        <w:rPr>
          <w:szCs w:val="24"/>
          <w:lang w:val="pt-BR"/>
        </w:rPr>
        <w:t>rabalho</w:t>
      </w:r>
      <w:r w:rsidRPr="00F719BB">
        <w:rPr>
          <w:szCs w:val="24"/>
          <w:lang w:val="pt-BR"/>
        </w:rPr>
        <w:t xml:space="preserve"> no Brasil s</w:t>
      </w:r>
      <w:r>
        <w:rPr>
          <w:szCs w:val="24"/>
          <w:lang w:val="pt-BR"/>
        </w:rPr>
        <w:t xml:space="preserve">e </w:t>
      </w:r>
      <w:r w:rsidRPr="00F719BB">
        <w:rPr>
          <w:szCs w:val="24"/>
          <w:lang w:val="pt-BR"/>
        </w:rPr>
        <w:t>refere</w:t>
      </w:r>
      <w:r>
        <w:rPr>
          <w:szCs w:val="24"/>
          <w:lang w:val="pt-BR"/>
        </w:rPr>
        <w:t>m</w:t>
      </w:r>
      <w:r w:rsidRPr="00F719BB">
        <w:rPr>
          <w:szCs w:val="24"/>
          <w:lang w:val="pt-BR"/>
        </w:rPr>
        <w:t xml:space="preserve"> aos últimos 20 anos</w:t>
      </w:r>
      <w:r w:rsidR="00B30563">
        <w:rPr>
          <w:szCs w:val="24"/>
          <w:lang w:val="pt-BR"/>
        </w:rPr>
        <w:t>. E</w:t>
      </w:r>
      <w:r w:rsidR="006672A1">
        <w:rPr>
          <w:szCs w:val="24"/>
          <w:lang w:val="pt-BR"/>
        </w:rPr>
        <w:t>stes</w:t>
      </w:r>
      <w:r w:rsidRPr="00F719BB">
        <w:rPr>
          <w:szCs w:val="24"/>
          <w:lang w:val="pt-BR"/>
        </w:rPr>
        <w:t xml:space="preserve"> dados estão espalhados em diversas bases</w:t>
      </w:r>
      <w:r w:rsidR="006672A1">
        <w:rPr>
          <w:szCs w:val="24"/>
          <w:lang w:val="pt-BR"/>
        </w:rPr>
        <w:t>,</w:t>
      </w:r>
      <w:r w:rsidR="004A631B">
        <w:rPr>
          <w:szCs w:val="24"/>
          <w:lang w:val="pt-BR"/>
        </w:rPr>
        <w:t xml:space="preserve"> como as bases do </w:t>
      </w:r>
      <w:r w:rsidR="004A631B" w:rsidRPr="00F719BB">
        <w:rPr>
          <w:szCs w:val="24"/>
          <w:lang w:val="pt-BR"/>
        </w:rPr>
        <w:t xml:space="preserve">Ministério Público do Trabalho (MPT) </w:t>
      </w:r>
      <w:r w:rsidR="004A631B">
        <w:rPr>
          <w:szCs w:val="24"/>
          <w:lang w:val="pt-BR"/>
        </w:rPr>
        <w:t xml:space="preserve">e dos </w:t>
      </w:r>
      <w:r w:rsidR="004A631B" w:rsidRPr="00F719BB">
        <w:rPr>
          <w:szCs w:val="24"/>
          <w:lang w:val="pt-BR"/>
        </w:rPr>
        <w:t>Auditores do Trabalho</w:t>
      </w:r>
      <w:r w:rsidR="004A631B">
        <w:rPr>
          <w:szCs w:val="24"/>
          <w:lang w:val="pt-BR"/>
        </w:rPr>
        <w:t>,</w:t>
      </w:r>
      <w:r w:rsidR="006672A1" w:rsidRPr="006672A1">
        <w:rPr>
          <w:szCs w:val="24"/>
          <w:lang w:val="pt-BR"/>
        </w:rPr>
        <w:t xml:space="preserve"> o que dificulta a precisão, bem como o real cenário da Saúde e Segurança do Trabalho (SST) no Brasil</w:t>
      </w:r>
      <w:r w:rsidR="004A631B">
        <w:rPr>
          <w:szCs w:val="24"/>
          <w:lang w:val="pt-BR"/>
        </w:rPr>
        <w:t>.</w:t>
      </w:r>
      <w:r w:rsidR="00B03472">
        <w:rPr>
          <w:szCs w:val="24"/>
          <w:lang w:val="pt-BR"/>
        </w:rPr>
        <w:t xml:space="preserve"> </w:t>
      </w:r>
    </w:p>
    <w:p w14:paraId="0391A209" w14:textId="24AEE115" w:rsidR="006672A1" w:rsidRDefault="00B17E91" w:rsidP="006672A1">
      <w:pPr>
        <w:spacing w:after="120"/>
        <w:ind w:firstLine="284"/>
        <w:rPr>
          <w:szCs w:val="24"/>
          <w:lang w:val="pt-BR"/>
        </w:rPr>
      </w:pPr>
      <w:r>
        <w:rPr>
          <w:szCs w:val="24"/>
          <w:lang w:val="pt-BR"/>
        </w:rPr>
        <w:t>Outras bases de consulta são o</w:t>
      </w:r>
      <w:r w:rsidR="00B30563" w:rsidRPr="00B30563">
        <w:rPr>
          <w:szCs w:val="24"/>
          <w:lang w:val="pt-BR"/>
        </w:rPr>
        <w:t xml:space="preserve"> Instituto Nacional de Seguridade Social </w:t>
      </w:r>
      <w:r>
        <w:rPr>
          <w:szCs w:val="24"/>
          <w:lang w:val="pt-BR"/>
        </w:rPr>
        <w:t xml:space="preserve">– </w:t>
      </w:r>
      <w:r w:rsidR="00B30563" w:rsidRPr="00B30563">
        <w:rPr>
          <w:szCs w:val="24"/>
          <w:lang w:val="pt-BR"/>
        </w:rPr>
        <w:t>INSS</w:t>
      </w:r>
      <w:r>
        <w:rPr>
          <w:szCs w:val="24"/>
          <w:lang w:val="pt-BR"/>
        </w:rPr>
        <w:t xml:space="preserve"> (INSS é um benefício social do Brasil, </w:t>
      </w:r>
      <w:r w:rsidR="00F864DE">
        <w:rPr>
          <w:szCs w:val="24"/>
          <w:lang w:val="pt-BR"/>
        </w:rPr>
        <w:t>que apresenta um seguro</w:t>
      </w:r>
      <w:r>
        <w:rPr>
          <w:szCs w:val="24"/>
          <w:lang w:val="pt-BR"/>
        </w:rPr>
        <w:t xml:space="preserve"> para </w:t>
      </w:r>
      <w:r w:rsidR="00F864DE">
        <w:rPr>
          <w:szCs w:val="24"/>
          <w:lang w:val="pt-BR"/>
        </w:rPr>
        <w:t xml:space="preserve">afastamentos decorrentes de </w:t>
      </w:r>
      <w:r>
        <w:rPr>
          <w:szCs w:val="24"/>
          <w:lang w:val="pt-BR"/>
        </w:rPr>
        <w:t xml:space="preserve">acidentes </w:t>
      </w:r>
      <w:r w:rsidR="001E6015">
        <w:rPr>
          <w:szCs w:val="24"/>
          <w:lang w:val="pt-BR"/>
        </w:rPr>
        <w:t>relacionados à</w:t>
      </w:r>
      <w:r>
        <w:rPr>
          <w:szCs w:val="24"/>
          <w:lang w:val="pt-BR"/>
        </w:rPr>
        <w:t xml:space="preserve"> saúde, também é responsável por fornecer</w:t>
      </w:r>
      <w:r w:rsidR="004A631B">
        <w:rPr>
          <w:szCs w:val="24"/>
          <w:lang w:val="pt-BR"/>
        </w:rPr>
        <w:t>,</w:t>
      </w:r>
      <w:r>
        <w:rPr>
          <w:szCs w:val="24"/>
          <w:lang w:val="pt-BR"/>
        </w:rPr>
        <w:t xml:space="preserve"> após um período determinado de contribuição, uma aposentadoria. O valor é </w:t>
      </w:r>
      <w:r w:rsidR="004A631B">
        <w:rPr>
          <w:szCs w:val="24"/>
          <w:lang w:val="pt-BR"/>
        </w:rPr>
        <w:t>garantido pelas</w:t>
      </w:r>
      <w:r>
        <w:rPr>
          <w:szCs w:val="24"/>
          <w:lang w:val="pt-BR"/>
        </w:rPr>
        <w:t xml:space="preserve"> contribuições obrigatória</w:t>
      </w:r>
      <w:r w:rsidR="004A631B">
        <w:rPr>
          <w:szCs w:val="24"/>
          <w:lang w:val="pt-BR"/>
        </w:rPr>
        <w:t>s</w:t>
      </w:r>
      <w:r>
        <w:rPr>
          <w:szCs w:val="24"/>
          <w:lang w:val="pt-BR"/>
        </w:rPr>
        <w:t xml:space="preserve"> dos trabalhadores ativos formais</w:t>
      </w:r>
      <w:r w:rsidR="00EB51FD">
        <w:rPr>
          <w:lang w:val="pt-BR"/>
        </w:rPr>
        <w:t>, s</w:t>
      </w:r>
      <w:r w:rsidR="00EB51FD" w:rsidRPr="00EB51FD">
        <w:rPr>
          <w:szCs w:val="24"/>
          <w:lang w:val="pt-BR"/>
        </w:rPr>
        <w:t>omado com contribuições da empresa e do governo</w:t>
      </w:r>
      <w:r w:rsidR="00EB51FD">
        <w:rPr>
          <w:szCs w:val="24"/>
          <w:lang w:val="pt-BR"/>
        </w:rPr>
        <w:t xml:space="preserve">. </w:t>
      </w:r>
      <w:r>
        <w:rPr>
          <w:szCs w:val="24"/>
          <w:lang w:val="pt-BR"/>
        </w:rPr>
        <w:t xml:space="preserve">O trabalho “formal” no Brasil se refere aos trabalhadores que estão sob o regime da </w:t>
      </w:r>
      <w:r w:rsidRPr="006672A1">
        <w:rPr>
          <w:szCs w:val="24"/>
          <w:lang w:val="pt-BR"/>
        </w:rPr>
        <w:t>Consolidação das Leis do Trabalho</w:t>
      </w:r>
      <w:r w:rsidR="004A631B">
        <w:rPr>
          <w:szCs w:val="24"/>
          <w:lang w:val="pt-BR"/>
        </w:rPr>
        <w:t xml:space="preserve"> -CLT</w:t>
      </w:r>
      <w:r>
        <w:rPr>
          <w:szCs w:val="24"/>
          <w:lang w:val="pt-BR"/>
        </w:rPr>
        <w:t xml:space="preserve">, que são as leis que garantem benefícios mínimos para o trabalhador, como um </w:t>
      </w:r>
      <w:r w:rsidR="001E6015">
        <w:rPr>
          <w:szCs w:val="24"/>
          <w:lang w:val="pt-BR"/>
        </w:rPr>
        <w:t>salário-mínimo</w:t>
      </w:r>
      <w:r>
        <w:rPr>
          <w:szCs w:val="24"/>
          <w:lang w:val="pt-BR"/>
        </w:rPr>
        <w:t xml:space="preserve"> ou remuneração </w:t>
      </w:r>
      <w:r w:rsidR="004A631B">
        <w:rPr>
          <w:szCs w:val="24"/>
          <w:lang w:val="pt-BR"/>
        </w:rPr>
        <w:t xml:space="preserve">mínima </w:t>
      </w:r>
      <w:r>
        <w:rPr>
          <w:szCs w:val="24"/>
          <w:lang w:val="pt-BR"/>
        </w:rPr>
        <w:t>pelo trabalho</w:t>
      </w:r>
      <w:r w:rsidR="004A631B">
        <w:rPr>
          <w:szCs w:val="24"/>
          <w:lang w:val="pt-BR"/>
        </w:rPr>
        <w:t>,</w:t>
      </w:r>
      <w:r>
        <w:rPr>
          <w:szCs w:val="24"/>
          <w:lang w:val="pt-BR"/>
        </w:rPr>
        <w:t xml:space="preserve"> férias remuneradas </w:t>
      </w:r>
      <w:r w:rsidR="00644151">
        <w:rPr>
          <w:szCs w:val="24"/>
          <w:lang w:val="pt-BR"/>
        </w:rPr>
        <w:t xml:space="preserve">de 30 dias </w:t>
      </w:r>
      <w:r>
        <w:rPr>
          <w:szCs w:val="24"/>
          <w:lang w:val="pt-BR"/>
        </w:rPr>
        <w:t>- geralmente um salário mais 1/3 de salário</w:t>
      </w:r>
      <w:r w:rsidR="001E6015">
        <w:rPr>
          <w:szCs w:val="24"/>
          <w:lang w:val="pt-BR"/>
        </w:rPr>
        <w:t xml:space="preserve"> </w:t>
      </w:r>
      <w:r>
        <w:rPr>
          <w:szCs w:val="24"/>
          <w:lang w:val="pt-BR"/>
        </w:rPr>
        <w:t>- e jornada de trabalho que delimita as horas diárias de trabalho)</w:t>
      </w:r>
      <w:r w:rsidR="00B30563">
        <w:rPr>
          <w:szCs w:val="24"/>
          <w:lang w:val="pt-BR"/>
        </w:rPr>
        <w:t>, e</w:t>
      </w:r>
      <w:r w:rsidR="00B03472">
        <w:rPr>
          <w:szCs w:val="24"/>
          <w:lang w:val="pt-BR"/>
        </w:rPr>
        <w:t xml:space="preserve"> o </w:t>
      </w:r>
      <w:r w:rsidR="00B03472" w:rsidRPr="006672A1">
        <w:rPr>
          <w:szCs w:val="24"/>
          <w:lang w:val="pt-BR"/>
        </w:rPr>
        <w:t xml:space="preserve">Ministério do Trabalho e Emprego (MTE) </w:t>
      </w:r>
      <w:r w:rsidR="00B03472">
        <w:rPr>
          <w:szCs w:val="24"/>
          <w:lang w:val="pt-BR"/>
        </w:rPr>
        <w:t>com</w:t>
      </w:r>
      <w:r w:rsidR="00B03472" w:rsidRPr="006672A1">
        <w:rPr>
          <w:szCs w:val="24"/>
          <w:lang w:val="pt-BR"/>
        </w:rPr>
        <w:t xml:space="preserve"> Relatório Anual de Informações Sociais</w:t>
      </w:r>
      <w:r w:rsidR="009D5657">
        <w:rPr>
          <w:szCs w:val="24"/>
          <w:lang w:val="pt-BR"/>
        </w:rPr>
        <w:t xml:space="preserve"> - RAIS</w:t>
      </w:r>
      <w:r w:rsidR="00944AB3">
        <w:rPr>
          <w:szCs w:val="24"/>
          <w:lang w:val="pt-BR"/>
        </w:rPr>
        <w:t xml:space="preserve"> </w:t>
      </w:r>
      <w:r w:rsidR="00944AB3">
        <w:rPr>
          <w:szCs w:val="24"/>
          <w:lang w:val="pt-BR"/>
        </w:rPr>
        <w:fldChar w:fldCharType="begin"/>
      </w:r>
      <w:r w:rsidR="00071F62">
        <w:rPr>
          <w:szCs w:val="24"/>
          <w:lang w:val="pt-BR"/>
        </w:rPr>
        <w:instrText xml:space="preserve"> ADDIN ZOTERO_ITEM CSL_CITATION {"citationID":"ctIEb2UJ","properties":{"formattedCitation":"(BRASIL, 2022)","plainCitation":"(BRASIL, 2022)","dontUpdate":true,"noteIndex":0},"citationItems":[{"id":2119,"uris":["http://zotero.org/users/6746406/items/XHN6QQ2F"],"itemData":{"id":2119,"type":"article-journal","language":"pt","source":"Zotero","title":"Ministério do Trabalho e e Emprego (MTE). Relação Anual de Informações Sociais (RAIS)","author":[{"family":"Brasil","given":""}],"issued":{"date-parts":[["2022"]]}}}],"schema":"https://github.com/citation-style-language/schema/raw/master/csl-citation.json"} </w:instrText>
      </w:r>
      <w:r w:rsidR="00944AB3">
        <w:rPr>
          <w:szCs w:val="24"/>
          <w:lang w:val="pt-BR"/>
        </w:rPr>
        <w:fldChar w:fldCharType="separate"/>
      </w:r>
      <w:r w:rsidR="00944AB3" w:rsidRPr="00944AB3">
        <w:rPr>
          <w:lang w:val="pt-BR"/>
        </w:rPr>
        <w:t>(B</w:t>
      </w:r>
      <w:r w:rsidR="00944AB3">
        <w:rPr>
          <w:lang w:val="pt-BR"/>
        </w:rPr>
        <w:t>rasil</w:t>
      </w:r>
      <w:r w:rsidR="00944AB3" w:rsidRPr="00944AB3">
        <w:rPr>
          <w:lang w:val="pt-BR"/>
        </w:rPr>
        <w:t>, 2022)</w:t>
      </w:r>
      <w:r w:rsidR="00944AB3">
        <w:rPr>
          <w:szCs w:val="24"/>
          <w:lang w:val="pt-BR"/>
        </w:rPr>
        <w:fldChar w:fldCharType="end"/>
      </w:r>
      <w:r w:rsidR="00B03472">
        <w:rPr>
          <w:szCs w:val="24"/>
          <w:lang w:val="pt-BR"/>
        </w:rPr>
        <w:t>.</w:t>
      </w:r>
      <w:r w:rsidR="00B03472" w:rsidRPr="006672A1">
        <w:rPr>
          <w:szCs w:val="24"/>
          <w:lang w:val="pt-BR"/>
        </w:rPr>
        <w:t xml:space="preserve"> </w:t>
      </w:r>
    </w:p>
    <w:p w14:paraId="720F2374" w14:textId="73FC1C0F" w:rsidR="0020010A" w:rsidRDefault="0020010A" w:rsidP="0020010A">
      <w:pPr>
        <w:spacing w:after="120"/>
        <w:ind w:firstLine="284"/>
        <w:rPr>
          <w:szCs w:val="24"/>
          <w:lang w:val="pt-BR"/>
        </w:rPr>
      </w:pPr>
      <w:r>
        <w:rPr>
          <w:szCs w:val="24"/>
          <w:lang w:val="pt-BR"/>
        </w:rPr>
        <w:t xml:space="preserve">De acordo com </w:t>
      </w:r>
      <w:r>
        <w:rPr>
          <w:szCs w:val="24"/>
          <w:lang w:val="pt-BR"/>
        </w:rPr>
        <w:fldChar w:fldCharType="begin"/>
      </w:r>
      <w:r>
        <w:rPr>
          <w:szCs w:val="24"/>
          <w:lang w:val="pt-BR"/>
        </w:rPr>
        <w:instrText xml:space="preserve"> ADDIN ZOTERO_ITEM CSL_CITATION {"citationID":"fpUzzVrY","properties":{"formattedCitation":"(AGUIAR; M. S. RIBEIRO, 2018)","plainCitation":"(AGUIAR; M. S. RIBEIRO, 2018)","dontUpdate":true,"noteIndex":0},"citationItems":[{"id":2107,"uris":["http://zotero.org/users/6746406/items/2T9WM9QY"],"itemData":{"id":2107,"type":"book","abstract":"Os acidentes são uma preocupação constante para as empresas, e gestão de risco e investimentos são realizados para sua minimização. Porém, estudos sobre a influência de investimentos na prevenção de acidentes ainda são escassos. Diante desses fatos, o objetivo desse trabalho é verificar a influência dos investimentos na saúde, educação, e segurança e medicina do trabalho na prevenção de acidentes e no número de fatalidades, utilizando-se de modelos de regressão e dados do relatório de sustentabilidade da Petrobras de 2003 à 2015. Verificou-se que a taxa de acidentados fatais influencia o número de fatalidades, o investimento na educação influencia a taxa de acidentados fatais, e a taxa de frequência de acidentados com afastamento é influenciada pelo investimento na saúde e na segurança e medicina do trabalho. Conclui-se que, para a empresa, no período estudado, investimentos na educação e saúde e medicina do trabalho apresenta relação não linear com acidentes e número de fatalidades.","source":"ResearchGate","title":"A INFLUÊNCIA DE INVESTIMENTOS NA SAÚDE, EDUCAÇÃO E SEGURANÇA E MEDICINA DO TRABALHO NA PREVENÇÃO DE ACIDENTES: UM ESTUDO BASEADO EM RELATÓRIOS DA PETROBRAS","title-short":"A INFLUÊNCIA DE INVESTIMENTOS NA SAÚDE, EDUCAÇÃO E SEGURANÇA E MEDICINA DO TRABALHO NA PREVENÇÃO DE ACIDENTES","author":[{"family":"Aguiar","given":"Lucas"},{"family":"M. S. Ribeiro","given":"Luiz H."}],"issued":{"date-parts":[["2018",9,17]]}}}],"schema":"https://github.com/citation-style-language/schema/raw/master/csl-citation.json"} </w:instrText>
      </w:r>
      <w:r>
        <w:rPr>
          <w:szCs w:val="24"/>
          <w:lang w:val="pt-BR"/>
        </w:rPr>
        <w:fldChar w:fldCharType="separate"/>
      </w:r>
      <w:r w:rsidRPr="00C97356">
        <w:rPr>
          <w:lang w:val="pt-BR"/>
        </w:rPr>
        <w:t>Aguiar e Ribeiro (2018)</w:t>
      </w:r>
      <w:r>
        <w:rPr>
          <w:szCs w:val="24"/>
          <w:lang w:val="pt-BR"/>
        </w:rPr>
        <w:fldChar w:fldCharType="end"/>
      </w:r>
      <w:r>
        <w:rPr>
          <w:szCs w:val="24"/>
          <w:lang w:val="pt-BR"/>
        </w:rPr>
        <w:t xml:space="preserve">, </w:t>
      </w:r>
      <w:r w:rsidRPr="00C97356">
        <w:rPr>
          <w:szCs w:val="24"/>
          <w:lang w:val="pt-BR"/>
        </w:rPr>
        <w:t>há uma influência do investimento em saúde, educação e segurança e medicina do trabalho nos números de acidentes</w:t>
      </w:r>
      <w:r>
        <w:rPr>
          <w:szCs w:val="24"/>
          <w:lang w:val="pt-BR"/>
        </w:rPr>
        <w:t>, existindo</w:t>
      </w:r>
      <w:r w:rsidRPr="00C97356">
        <w:rPr>
          <w:szCs w:val="24"/>
          <w:lang w:val="pt-BR"/>
        </w:rPr>
        <w:t xml:space="preserve"> indícios de que essas</w:t>
      </w:r>
      <w:r>
        <w:rPr>
          <w:szCs w:val="24"/>
          <w:lang w:val="pt-BR"/>
        </w:rPr>
        <w:t xml:space="preserve"> </w:t>
      </w:r>
      <w:r w:rsidRPr="00C97356">
        <w:rPr>
          <w:szCs w:val="24"/>
          <w:lang w:val="pt-BR"/>
        </w:rPr>
        <w:t>variáveis</w:t>
      </w:r>
      <w:r>
        <w:rPr>
          <w:szCs w:val="24"/>
          <w:lang w:val="pt-BR"/>
        </w:rPr>
        <w:t xml:space="preserve"> seriam</w:t>
      </w:r>
      <w:r w:rsidRPr="00C97356">
        <w:rPr>
          <w:szCs w:val="24"/>
          <w:lang w:val="pt-BR"/>
        </w:rPr>
        <w:t xml:space="preserve"> importantes para a prevenção de acidentes </w:t>
      </w:r>
      <w:r>
        <w:rPr>
          <w:szCs w:val="24"/>
          <w:lang w:val="pt-BR"/>
        </w:rPr>
        <w:t xml:space="preserve">do trabalho. </w:t>
      </w:r>
    </w:p>
    <w:p w14:paraId="5550C9D9" w14:textId="77777777" w:rsidR="00F719BB" w:rsidRPr="005D4258" w:rsidRDefault="00F719BB" w:rsidP="00F719BB">
      <w:pPr>
        <w:spacing w:after="120"/>
        <w:ind w:firstLine="284"/>
        <w:rPr>
          <w:szCs w:val="24"/>
          <w:lang w:val="pt-BR"/>
        </w:rPr>
      </w:pPr>
    </w:p>
    <w:p w14:paraId="4031BFCD" w14:textId="6C3DECCD" w:rsidR="00805184" w:rsidRPr="0058453D" w:rsidRDefault="005B40D4" w:rsidP="0058453D">
      <w:pPr>
        <w:pStyle w:val="PargrafodaLista"/>
        <w:numPr>
          <w:ilvl w:val="0"/>
          <w:numId w:val="5"/>
        </w:numPr>
        <w:spacing w:after="120"/>
        <w:rPr>
          <w:b/>
          <w:szCs w:val="24"/>
          <w:lang w:val="pt-BR"/>
        </w:rPr>
      </w:pPr>
      <w:r>
        <w:rPr>
          <w:b/>
          <w:szCs w:val="24"/>
          <w:lang w:val="pt-BR"/>
        </w:rPr>
        <w:t>Objetivos</w:t>
      </w:r>
    </w:p>
    <w:p w14:paraId="4F97F1B7" w14:textId="1B2030C9" w:rsidR="00805184" w:rsidRPr="0049479C" w:rsidRDefault="00805184" w:rsidP="00805184">
      <w:pPr>
        <w:spacing w:after="120"/>
        <w:rPr>
          <w:color w:val="A6A6A6"/>
          <w:szCs w:val="24"/>
          <w:lang w:val="pt-BR"/>
        </w:rPr>
      </w:pPr>
    </w:p>
    <w:p w14:paraId="76FCDB9B" w14:textId="3584569F" w:rsidR="00C6750B" w:rsidRPr="00C6750B" w:rsidRDefault="00AB4FB7" w:rsidP="00F54046">
      <w:pPr>
        <w:spacing w:after="120"/>
        <w:ind w:firstLine="567"/>
        <w:rPr>
          <w:szCs w:val="24"/>
          <w:lang w:val="pt-BR"/>
        </w:rPr>
      </w:pPr>
      <w:r w:rsidRPr="00B83C22">
        <w:rPr>
          <w:szCs w:val="24"/>
          <w:lang w:val="pt-BR"/>
        </w:rPr>
        <w:t>O objetivo desse trabalho é</w:t>
      </w:r>
      <w:r w:rsidR="00C6750B">
        <w:rPr>
          <w:szCs w:val="24"/>
          <w:lang w:val="pt-BR"/>
        </w:rPr>
        <w:t xml:space="preserve"> </w:t>
      </w:r>
      <w:r w:rsidR="00C6750B" w:rsidRPr="00B83C22">
        <w:rPr>
          <w:szCs w:val="24"/>
          <w:lang w:val="pt-BR"/>
        </w:rPr>
        <w:t>verificar a</w:t>
      </w:r>
      <w:r w:rsidR="00C6750B">
        <w:rPr>
          <w:szCs w:val="24"/>
          <w:lang w:val="pt-BR"/>
        </w:rPr>
        <w:t xml:space="preserve"> </w:t>
      </w:r>
      <w:r w:rsidR="00C6750B" w:rsidRPr="00B83C22">
        <w:rPr>
          <w:szCs w:val="24"/>
          <w:lang w:val="pt-BR"/>
        </w:rPr>
        <w:t>influência</w:t>
      </w:r>
      <w:r w:rsidRPr="00B83C22">
        <w:rPr>
          <w:szCs w:val="24"/>
          <w:lang w:val="pt-BR"/>
        </w:rPr>
        <w:t xml:space="preserve"> </w:t>
      </w:r>
      <w:r w:rsidR="00C6750B">
        <w:rPr>
          <w:szCs w:val="24"/>
          <w:lang w:val="pt-BR"/>
        </w:rPr>
        <w:t>de</w:t>
      </w:r>
      <w:r w:rsidR="0010360C">
        <w:rPr>
          <w:szCs w:val="24"/>
          <w:lang w:val="pt-BR"/>
        </w:rPr>
        <w:t xml:space="preserve"> investimentos em educação, capacitação e desenvolvimento profissional e segurança e saúde do trabalho,</w:t>
      </w:r>
      <w:r w:rsidR="00F54046">
        <w:rPr>
          <w:szCs w:val="24"/>
          <w:lang w:val="pt-BR"/>
        </w:rPr>
        <w:t xml:space="preserve"> e</w:t>
      </w:r>
      <w:r w:rsidR="00C6750B">
        <w:rPr>
          <w:szCs w:val="24"/>
          <w:lang w:val="pt-BR"/>
        </w:rPr>
        <w:t xml:space="preserve">m relação </w:t>
      </w:r>
      <w:r w:rsidR="0010360C">
        <w:rPr>
          <w:szCs w:val="24"/>
          <w:lang w:val="pt-BR"/>
        </w:rPr>
        <w:t>ao</w:t>
      </w:r>
      <w:r w:rsidR="00C6750B" w:rsidRPr="00C6750B">
        <w:rPr>
          <w:szCs w:val="24"/>
          <w:lang w:val="pt-BR"/>
        </w:rPr>
        <w:t xml:space="preserve"> número de acidentados com afastamento do trabalho</w:t>
      </w:r>
      <w:r w:rsidR="00C6750B">
        <w:rPr>
          <w:szCs w:val="24"/>
          <w:lang w:val="pt-BR"/>
        </w:rPr>
        <w:t>,</w:t>
      </w:r>
      <w:r w:rsidR="00F54046" w:rsidRPr="00F54046">
        <w:rPr>
          <w:lang w:val="pt-BR"/>
        </w:rPr>
        <w:t xml:space="preserve"> </w:t>
      </w:r>
      <w:r w:rsidR="00F54046" w:rsidRPr="00F54046">
        <w:rPr>
          <w:szCs w:val="24"/>
          <w:lang w:val="pt-BR"/>
        </w:rPr>
        <w:t>em valores anuais, durante o período de 2001 a 2023, segundo relatórios da Petrobras</w:t>
      </w:r>
      <w:r w:rsidR="00F54046">
        <w:rPr>
          <w:szCs w:val="24"/>
          <w:lang w:val="pt-BR"/>
        </w:rPr>
        <w:t>, e</w:t>
      </w:r>
      <w:r w:rsidR="00F54046" w:rsidRPr="00F54046">
        <w:rPr>
          <w:lang w:val="pt-BR"/>
        </w:rPr>
        <w:t xml:space="preserve"> </w:t>
      </w:r>
      <w:r w:rsidR="00F54046">
        <w:rPr>
          <w:szCs w:val="24"/>
          <w:lang w:val="pt-BR"/>
        </w:rPr>
        <w:t>p</w:t>
      </w:r>
      <w:r w:rsidR="00F54046" w:rsidRPr="00F54046">
        <w:rPr>
          <w:szCs w:val="24"/>
          <w:lang w:val="pt-BR"/>
        </w:rPr>
        <w:t>or meio de um modelo de regressão linear</w:t>
      </w:r>
      <w:r w:rsidR="00F54046">
        <w:rPr>
          <w:szCs w:val="24"/>
          <w:lang w:val="pt-BR"/>
        </w:rPr>
        <w:t>.</w:t>
      </w:r>
    </w:p>
    <w:p w14:paraId="1BA782EC" w14:textId="77777777" w:rsidR="00B83C22" w:rsidRDefault="00B83C22" w:rsidP="00B83C22">
      <w:pPr>
        <w:pStyle w:val="PargrafodaLista"/>
        <w:spacing w:after="120"/>
        <w:ind w:left="1004"/>
        <w:rPr>
          <w:szCs w:val="24"/>
          <w:lang w:val="pt-BR"/>
        </w:rPr>
      </w:pPr>
    </w:p>
    <w:p w14:paraId="7BE2DEE5" w14:textId="3E84F784" w:rsidR="00A85EEF" w:rsidRPr="00A85EEF" w:rsidRDefault="00B63A35" w:rsidP="00A85EEF">
      <w:pPr>
        <w:pStyle w:val="PargrafodaLista"/>
        <w:numPr>
          <w:ilvl w:val="0"/>
          <w:numId w:val="5"/>
        </w:numPr>
        <w:spacing w:after="120"/>
        <w:rPr>
          <w:b/>
          <w:szCs w:val="24"/>
          <w:lang w:val="pt-BR"/>
        </w:rPr>
      </w:pPr>
      <w:r w:rsidRPr="0049479C">
        <w:rPr>
          <w:b/>
          <w:szCs w:val="24"/>
          <w:lang w:val="pt-BR"/>
        </w:rPr>
        <w:t>Procedimentos Metodológicos</w:t>
      </w:r>
    </w:p>
    <w:p w14:paraId="5875E05D" w14:textId="77777777" w:rsidR="00A85EEF" w:rsidRDefault="00A85EEF" w:rsidP="0072493F">
      <w:pPr>
        <w:spacing w:after="120"/>
        <w:ind w:firstLine="284"/>
        <w:rPr>
          <w:szCs w:val="24"/>
          <w:lang w:val="pt-BR"/>
        </w:rPr>
      </w:pPr>
    </w:p>
    <w:p w14:paraId="3218482B" w14:textId="564B0191" w:rsidR="004F315F" w:rsidRDefault="0072493F" w:rsidP="0072493F">
      <w:pPr>
        <w:spacing w:after="120"/>
        <w:ind w:firstLine="284"/>
        <w:rPr>
          <w:szCs w:val="24"/>
          <w:lang w:val="pt-BR"/>
        </w:rPr>
      </w:pPr>
      <w:r w:rsidRPr="0072493F">
        <w:rPr>
          <w:szCs w:val="24"/>
          <w:lang w:val="pt-BR"/>
        </w:rPr>
        <w:t xml:space="preserve">Foi feito uma busca, nos Relatórios de Sustentabilidade da Petrobras, de indicadores referentes à Segurança do Trabalho desde 2001 até </w:t>
      </w:r>
      <w:r w:rsidR="00057686">
        <w:rPr>
          <w:szCs w:val="24"/>
          <w:lang w:val="pt-BR"/>
        </w:rPr>
        <w:t xml:space="preserve">2002 </w:t>
      </w:r>
      <w:r w:rsidR="00057686">
        <w:rPr>
          <w:szCs w:val="24"/>
          <w:lang w:val="pt-BR"/>
        </w:rPr>
        <w:fldChar w:fldCharType="begin"/>
      </w:r>
      <w:r w:rsidR="00071F62">
        <w:rPr>
          <w:szCs w:val="24"/>
          <w:lang w:val="pt-BR"/>
        </w:rPr>
        <w:instrText xml:space="preserve"> ADDIN ZOTERO_ITEM CSL_CITATION {"citationID":"2snxyCpL","properties":{"formattedCitation":"(PETROBR\\uc0\\u193{}S, 2002)","plainCitation":"(PETROBRÁS, 2002)","dontUpdate":true,"noteIndex":0},"citationItems":[{"id":2174,"uris":["http://zotero.org/users/6746406/items/FCEIASMK"],"itemData":{"id":2174,"type":"post-weblog","title":"Relatório de Sustentabilidade da Petrobrás de 2002 (Dados de 2002 e 2001)","author":[{"family":"Petrobrás","given":""}],"issued":{"date-parts":[["2002"]]}}}],"schema":"https://github.com/citation-style-language/schema/raw/master/csl-citation.json"} </w:instrText>
      </w:r>
      <w:r w:rsidR="00057686">
        <w:rPr>
          <w:szCs w:val="24"/>
          <w:lang w:val="pt-BR"/>
        </w:rPr>
        <w:fldChar w:fldCharType="separate"/>
      </w:r>
      <w:r w:rsidR="00057686" w:rsidRPr="00057686">
        <w:rPr>
          <w:lang w:val="pt-BR"/>
        </w:rPr>
        <w:t>(P</w:t>
      </w:r>
      <w:r w:rsidR="00057686">
        <w:rPr>
          <w:lang w:val="pt-BR"/>
        </w:rPr>
        <w:t>etrobrás</w:t>
      </w:r>
      <w:r w:rsidR="00057686" w:rsidRPr="00057686">
        <w:rPr>
          <w:lang w:val="pt-BR"/>
        </w:rPr>
        <w:t>, 2002)</w:t>
      </w:r>
      <w:r w:rsidR="00057686">
        <w:rPr>
          <w:szCs w:val="24"/>
          <w:lang w:val="pt-BR"/>
        </w:rPr>
        <w:fldChar w:fldCharType="end"/>
      </w:r>
      <w:r w:rsidR="00057686">
        <w:rPr>
          <w:szCs w:val="24"/>
          <w:lang w:val="pt-BR"/>
        </w:rPr>
        <w:t>, de 2003 até 2004</w:t>
      </w:r>
      <w:r w:rsidR="00057686">
        <w:rPr>
          <w:szCs w:val="24"/>
          <w:lang w:val="pt-BR"/>
        </w:rPr>
        <w:fldChar w:fldCharType="begin"/>
      </w:r>
      <w:r w:rsidR="00071F62">
        <w:rPr>
          <w:szCs w:val="24"/>
          <w:lang w:val="pt-BR"/>
        </w:rPr>
        <w:instrText xml:space="preserve"> ADDIN ZOTERO_ITEM CSL_CITATION {"citationID":"rDvQvRLi","properties":{"formattedCitation":"(PETROBR\\uc0\\u193{}S, 2004)","plainCitation":"(PETROBRÁS, 2004)","dontUpdate":true,"noteIndex":0},"citationItems":[{"id":2175,"uris":["http://zotero.org/users/6746406/items/5BAFRZ36"],"itemData":{"id":2175,"type":"post-weblog","title":"Relatório de Sustentabilidade da Petrobrás de 2004 (Dados de 2003 e 2004)","author":[{"family":"Petrobrás","given":""}],"issued":{"date-parts":[["2004"]]}}}],"schema":"https://github.com/citation-style-language/schema/raw/master/csl-citation.json"} </w:instrText>
      </w:r>
      <w:r w:rsidR="00057686">
        <w:rPr>
          <w:szCs w:val="24"/>
          <w:lang w:val="pt-BR"/>
        </w:rPr>
        <w:fldChar w:fldCharType="separate"/>
      </w:r>
      <w:r w:rsidR="00057686" w:rsidRPr="00057686">
        <w:rPr>
          <w:lang w:val="pt-BR"/>
        </w:rPr>
        <w:t>(P</w:t>
      </w:r>
      <w:r w:rsidR="00057686">
        <w:rPr>
          <w:lang w:val="pt-BR"/>
        </w:rPr>
        <w:t>etrobrás</w:t>
      </w:r>
      <w:r w:rsidR="00057686" w:rsidRPr="00057686">
        <w:rPr>
          <w:lang w:val="pt-BR"/>
        </w:rPr>
        <w:t>, 2004)</w:t>
      </w:r>
      <w:r w:rsidR="00057686">
        <w:rPr>
          <w:szCs w:val="24"/>
          <w:lang w:val="pt-BR"/>
        </w:rPr>
        <w:fldChar w:fldCharType="end"/>
      </w:r>
      <w:r w:rsidR="00057686">
        <w:rPr>
          <w:szCs w:val="24"/>
          <w:lang w:val="pt-BR"/>
        </w:rPr>
        <w:t xml:space="preserve">, e de 2005 até </w:t>
      </w:r>
      <w:r w:rsidRPr="0072493F">
        <w:rPr>
          <w:szCs w:val="24"/>
          <w:lang w:val="pt-BR"/>
        </w:rPr>
        <w:t>2023</w:t>
      </w:r>
      <w:r w:rsidR="00057686">
        <w:rPr>
          <w:szCs w:val="24"/>
          <w:lang w:val="pt-BR"/>
        </w:rPr>
        <w:t xml:space="preserve"> </w:t>
      </w:r>
      <w:r w:rsidR="00057686">
        <w:rPr>
          <w:szCs w:val="24"/>
          <w:lang w:val="pt-BR"/>
        </w:rPr>
        <w:fldChar w:fldCharType="begin"/>
      </w:r>
      <w:r w:rsidR="00071F62">
        <w:rPr>
          <w:szCs w:val="24"/>
          <w:lang w:val="pt-BR"/>
        </w:rPr>
        <w:instrText xml:space="preserve"> ADDIN ZOTERO_ITEM CSL_CITATION {"citationID":"rpUzjIOh","properties":{"formattedCitation":"(PETROBR\\uc0\\u193{}S, 2023a)","plainCitation":"(PETROBRÁS, 2023a)","dontUpdate":true,"noteIndex":0},"citationItems":[{"id":2164,"uris":["http://zotero.org/users/6746406/items/JWQ9GXAD"],"itemData":{"id":2164,"type":"post-weblog","abstract":"Relações com Investidores","container-title":"Petrobras","language":"pt-br","title":"Relatórios Anuais | Relatórios Anuais de Sustentabilidade de 2007 a 2023 da Petrobrás","URL":"https://www.investidorpetrobras.com.br/apresentacoes-relatorios-e-eventos/relatorios-anuais/","author":[{"family":"Petrobrás","given":""}],"accessed":{"date-parts":[["2025",2,5]]},"issued":{"date-parts":[["2023"]]}}}],"schema":"https://github.com/citation-style-language/schema/raw/master/csl-citation.json"} </w:instrText>
      </w:r>
      <w:r w:rsidR="00057686">
        <w:rPr>
          <w:szCs w:val="24"/>
          <w:lang w:val="pt-BR"/>
        </w:rPr>
        <w:fldChar w:fldCharType="separate"/>
      </w:r>
      <w:r w:rsidR="00057686" w:rsidRPr="00057686">
        <w:rPr>
          <w:lang w:val="pt-BR"/>
        </w:rPr>
        <w:t>(P</w:t>
      </w:r>
      <w:r w:rsidR="00057686">
        <w:rPr>
          <w:lang w:val="pt-BR"/>
        </w:rPr>
        <w:t>etrobrás</w:t>
      </w:r>
      <w:r w:rsidR="00057686" w:rsidRPr="00057686">
        <w:rPr>
          <w:lang w:val="pt-BR"/>
        </w:rPr>
        <w:t>, 2023a)</w:t>
      </w:r>
      <w:r w:rsidR="00057686">
        <w:rPr>
          <w:szCs w:val="24"/>
          <w:lang w:val="pt-BR"/>
        </w:rPr>
        <w:fldChar w:fldCharType="end"/>
      </w:r>
      <w:r w:rsidRPr="0072493F">
        <w:rPr>
          <w:szCs w:val="24"/>
          <w:lang w:val="pt-BR"/>
        </w:rPr>
        <w:t>.</w:t>
      </w:r>
      <w:r w:rsidR="004F315F">
        <w:rPr>
          <w:szCs w:val="24"/>
          <w:lang w:val="pt-BR"/>
        </w:rPr>
        <w:t xml:space="preserve"> </w:t>
      </w:r>
      <w:r w:rsidRPr="0072493F">
        <w:rPr>
          <w:szCs w:val="24"/>
          <w:lang w:val="pt-BR"/>
        </w:rPr>
        <w:t>Referente à segurança do trabalho, foram encontrados os seguintes indicadores</w:t>
      </w:r>
      <w:r w:rsidR="0071483E">
        <w:rPr>
          <w:szCs w:val="24"/>
          <w:lang w:val="pt-BR"/>
        </w:rPr>
        <w:t xml:space="preserve">: </w:t>
      </w:r>
    </w:p>
    <w:p w14:paraId="6FCF598D" w14:textId="3ACB0577" w:rsidR="004F315F" w:rsidRDefault="00230C48" w:rsidP="00B83C22">
      <w:pPr>
        <w:spacing w:after="120"/>
        <w:rPr>
          <w:szCs w:val="24"/>
          <w:lang w:val="pt-BR"/>
        </w:rPr>
      </w:pPr>
      <w:r w:rsidRPr="00057686">
        <w:rPr>
          <w:szCs w:val="24"/>
          <w:lang w:val="pt-BR"/>
        </w:rPr>
        <w:t>-</w:t>
      </w:r>
      <w:r w:rsidRPr="00057686">
        <w:rPr>
          <w:szCs w:val="24"/>
          <w:lang w:val="pt-BR"/>
        </w:rPr>
        <w:tab/>
      </w:r>
      <w:r w:rsidR="0072493F" w:rsidRPr="0072493F">
        <w:rPr>
          <w:szCs w:val="24"/>
          <w:lang w:val="pt-BR"/>
        </w:rPr>
        <w:t>Taxa de Acidentados Registráveis por milhão de homens-hora</w:t>
      </w:r>
      <w:r w:rsidR="0071483E">
        <w:rPr>
          <w:szCs w:val="24"/>
          <w:lang w:val="pt-BR"/>
        </w:rPr>
        <w:t xml:space="preserve"> (TAR), ou seja, n</w:t>
      </w:r>
      <w:r w:rsidR="0072493F" w:rsidRPr="0072493F">
        <w:rPr>
          <w:szCs w:val="24"/>
          <w:lang w:val="pt-BR"/>
        </w:rPr>
        <w:t>úmero de</w:t>
      </w:r>
      <w:r w:rsidR="0072493F">
        <w:rPr>
          <w:szCs w:val="24"/>
          <w:lang w:val="pt-BR"/>
        </w:rPr>
        <w:t xml:space="preserve"> </w:t>
      </w:r>
      <w:r w:rsidR="0072493F" w:rsidRPr="0072493F">
        <w:rPr>
          <w:szCs w:val="24"/>
          <w:lang w:val="pt-BR"/>
        </w:rPr>
        <w:t>acidentados registráveis por milhão de homens-hora de exposição ao risco. Inclui casos</w:t>
      </w:r>
      <w:r w:rsidR="0072493F">
        <w:rPr>
          <w:szCs w:val="24"/>
          <w:lang w:val="pt-BR"/>
        </w:rPr>
        <w:t xml:space="preserve"> </w:t>
      </w:r>
      <w:r w:rsidR="0072493F" w:rsidRPr="0072493F">
        <w:rPr>
          <w:szCs w:val="24"/>
          <w:lang w:val="pt-BR"/>
        </w:rPr>
        <w:t>típicos de lesões sem afastamento (excluindo casos de primeiros socorros), de lesões com afastamento, casos de doenças ocupacionais e acidentados fatais. Esse indicador foi encontrado a partir dos Relatórios de 2015.</w:t>
      </w:r>
      <w:r w:rsidR="0071483E">
        <w:rPr>
          <w:szCs w:val="24"/>
          <w:lang w:val="pt-BR"/>
        </w:rPr>
        <w:t xml:space="preserve"> </w:t>
      </w:r>
    </w:p>
    <w:p w14:paraId="0D3817F3" w14:textId="47D46067" w:rsidR="004F315F" w:rsidRDefault="00230C48" w:rsidP="00B83C22">
      <w:pPr>
        <w:spacing w:after="120"/>
        <w:rPr>
          <w:szCs w:val="24"/>
          <w:lang w:val="pt-BR"/>
        </w:rPr>
      </w:pPr>
      <w:r w:rsidRPr="00057686">
        <w:rPr>
          <w:szCs w:val="24"/>
          <w:lang w:val="pt-BR"/>
        </w:rPr>
        <w:t>-</w:t>
      </w:r>
      <w:r w:rsidRPr="00057686">
        <w:rPr>
          <w:szCs w:val="24"/>
          <w:lang w:val="pt-BR"/>
        </w:rPr>
        <w:tab/>
      </w:r>
      <w:r w:rsidR="0072493F" w:rsidRPr="0072493F">
        <w:rPr>
          <w:szCs w:val="24"/>
          <w:lang w:val="pt-BR"/>
        </w:rPr>
        <w:t>Taxa de Acidentados Fatais</w:t>
      </w:r>
      <w:r w:rsidR="0067696E">
        <w:rPr>
          <w:szCs w:val="24"/>
          <w:lang w:val="pt-BR"/>
        </w:rPr>
        <w:t xml:space="preserve">- </w:t>
      </w:r>
      <w:r w:rsidR="0067696E" w:rsidRPr="0072493F">
        <w:rPr>
          <w:szCs w:val="24"/>
          <w:lang w:val="pt-BR"/>
        </w:rPr>
        <w:t>TFAT</w:t>
      </w:r>
      <w:r w:rsidR="0072493F" w:rsidRPr="0072493F">
        <w:rPr>
          <w:szCs w:val="24"/>
          <w:lang w:val="pt-BR"/>
        </w:rPr>
        <w:t xml:space="preserve"> (fatalidades por 100 milhões de homens-horas de exposição ao risco – inclui empregados e terceirizados). Esse indicador foi encontrado até 2015</w:t>
      </w:r>
      <w:r w:rsidR="0071483E">
        <w:rPr>
          <w:szCs w:val="24"/>
          <w:lang w:val="pt-BR"/>
        </w:rPr>
        <w:t xml:space="preserve">. </w:t>
      </w:r>
    </w:p>
    <w:p w14:paraId="52ADB872" w14:textId="7A287FBF" w:rsidR="0072493F" w:rsidRPr="0072493F" w:rsidRDefault="00230C48" w:rsidP="00B83C22">
      <w:pPr>
        <w:spacing w:after="120"/>
        <w:rPr>
          <w:szCs w:val="24"/>
          <w:lang w:val="pt-BR"/>
        </w:rPr>
      </w:pPr>
      <w:bookmarkStart w:id="2" w:name="_Hlk191932751"/>
      <w:r w:rsidRPr="00057686">
        <w:rPr>
          <w:szCs w:val="24"/>
          <w:lang w:val="pt-BR"/>
        </w:rPr>
        <w:lastRenderedPageBreak/>
        <w:t>-</w:t>
      </w:r>
      <w:r w:rsidRPr="00057686">
        <w:rPr>
          <w:szCs w:val="24"/>
          <w:lang w:val="pt-BR"/>
        </w:rPr>
        <w:tab/>
      </w:r>
      <w:r w:rsidR="0072493F" w:rsidRPr="0072493F">
        <w:rPr>
          <w:szCs w:val="24"/>
          <w:lang w:val="pt-BR"/>
        </w:rPr>
        <w:t xml:space="preserve">Número de acidentados com afastamento do trabalho </w:t>
      </w:r>
      <w:bookmarkEnd w:id="2"/>
      <w:r w:rsidR="0072493F" w:rsidRPr="0072493F">
        <w:rPr>
          <w:szCs w:val="24"/>
          <w:lang w:val="pt-BR"/>
        </w:rPr>
        <w:t>decorrente de acidentes típicos ou de casos de doença ocupacional por milhão de homens-hora de exposição ao risco</w:t>
      </w:r>
      <w:r w:rsidR="004F315F">
        <w:rPr>
          <w:szCs w:val="24"/>
          <w:lang w:val="pt-BR"/>
        </w:rPr>
        <w:t xml:space="preserve"> </w:t>
      </w:r>
      <w:r w:rsidR="00F64828">
        <w:rPr>
          <w:szCs w:val="24"/>
          <w:lang w:val="pt-BR"/>
        </w:rPr>
        <w:t>(</w:t>
      </w:r>
      <w:r w:rsidR="00F64828" w:rsidRPr="0072493F">
        <w:rPr>
          <w:szCs w:val="24"/>
          <w:lang w:val="pt-BR"/>
        </w:rPr>
        <w:t>TFCA</w:t>
      </w:r>
      <w:r w:rsidR="0072493F" w:rsidRPr="0072493F">
        <w:rPr>
          <w:szCs w:val="24"/>
          <w:lang w:val="pt-BR"/>
        </w:rPr>
        <w:t>). Este indicador foi encontrado em todos os relatórios do período considerado para objeto de análise e por esse motivo, neste trabalho será considerado unicamente este indicador.</w:t>
      </w:r>
    </w:p>
    <w:p w14:paraId="5D3D114A" w14:textId="2F7987F7" w:rsidR="0072493F" w:rsidRPr="0072493F" w:rsidRDefault="0072493F" w:rsidP="0072493F">
      <w:pPr>
        <w:spacing w:after="120"/>
        <w:ind w:firstLine="284"/>
        <w:rPr>
          <w:szCs w:val="24"/>
          <w:lang w:val="pt-BR"/>
        </w:rPr>
      </w:pPr>
      <w:r w:rsidRPr="0072493F">
        <w:rPr>
          <w:szCs w:val="24"/>
          <w:lang w:val="pt-BR"/>
        </w:rPr>
        <w:t>Para esse mesmo período</w:t>
      </w:r>
      <w:r w:rsidR="00057686">
        <w:rPr>
          <w:szCs w:val="24"/>
          <w:lang w:val="pt-BR"/>
        </w:rPr>
        <w:t xml:space="preserve">, de </w:t>
      </w:r>
      <w:r w:rsidRPr="0072493F">
        <w:rPr>
          <w:szCs w:val="24"/>
          <w:lang w:val="pt-BR"/>
        </w:rPr>
        <w:t>2001 a 2023</w:t>
      </w:r>
      <w:r w:rsidR="00057686">
        <w:rPr>
          <w:szCs w:val="24"/>
          <w:lang w:val="pt-BR"/>
        </w:rPr>
        <w:t>,</w:t>
      </w:r>
      <w:r w:rsidRPr="0072493F">
        <w:rPr>
          <w:szCs w:val="24"/>
          <w:lang w:val="pt-BR"/>
        </w:rPr>
        <w:t xml:space="preserve"> foi feita uma busca dos valores dos investimentos referentes aos trabalhadores, encontrados nas tabelas nos termos de Indicadores Sociais Internos nos Relatórios de Sustentabilidade, de Relatório de Demonstrações Financeiras</w:t>
      </w:r>
      <w:r w:rsidR="001C0E3B">
        <w:rPr>
          <w:szCs w:val="24"/>
          <w:lang w:val="pt-BR"/>
        </w:rPr>
        <w:t xml:space="preserve"> (</w:t>
      </w:r>
      <w:r w:rsidR="001C0E3B">
        <w:rPr>
          <w:szCs w:val="24"/>
          <w:lang w:val="pt-BR"/>
        </w:rPr>
        <w:fldChar w:fldCharType="begin"/>
      </w:r>
      <w:r w:rsidR="00071F62">
        <w:rPr>
          <w:szCs w:val="24"/>
          <w:lang w:val="pt-BR"/>
        </w:rPr>
        <w:instrText xml:space="preserve"> ADDIN ZOTERO_ITEM CSL_CITATION {"citationID":"2ox6AStQ","properties":{"formattedCitation":"(PETROBR\\uc0\\u193{}S, 2023b)","plainCitation":"(PETROBRÁS, 2023b)","dontUpdate":true,"noteIndex":0},"citationItems":[{"id":2178,"uris":["http://zotero.org/users/6746406/items/CBCUPFI3"],"itemData":{"id":2178,"type":"post-weblog","abstract":"Relações com Investidores","container-title":"Petrobras","language":"pt-br","title":"Central de Resultados | Relatórios de Demostrações Financeiras 4T de 2023 até 2017","URL":"https://www.investidorpetrobras.com.br/resultados-e-comunicados/central-de-resultados/","author":[{"family":"Petrobrás","given":""}],"accessed":{"date-parts":[["2025",2,17]]},"issued":{"date-parts":[["2023"]]}}}],"schema":"https://github.com/citation-style-language/schema/raw/master/csl-citation.json"} </w:instrText>
      </w:r>
      <w:r w:rsidR="001C0E3B">
        <w:rPr>
          <w:szCs w:val="24"/>
          <w:lang w:val="pt-BR"/>
        </w:rPr>
        <w:fldChar w:fldCharType="separate"/>
      </w:r>
      <w:r w:rsidR="001C0E3B" w:rsidRPr="001C0E3B">
        <w:rPr>
          <w:lang w:val="pt-BR"/>
        </w:rPr>
        <w:t>P</w:t>
      </w:r>
      <w:r w:rsidR="001C0E3B">
        <w:rPr>
          <w:lang w:val="pt-BR"/>
        </w:rPr>
        <w:t>etrobrás</w:t>
      </w:r>
      <w:r w:rsidR="001C0E3B" w:rsidRPr="001C0E3B">
        <w:rPr>
          <w:lang w:val="pt-BR"/>
        </w:rPr>
        <w:t>, 2023b)</w:t>
      </w:r>
      <w:r w:rsidR="001C0E3B">
        <w:rPr>
          <w:szCs w:val="24"/>
          <w:lang w:val="pt-BR"/>
        </w:rPr>
        <w:fldChar w:fldCharType="end"/>
      </w:r>
      <w:r w:rsidR="001C0E3B">
        <w:rPr>
          <w:szCs w:val="24"/>
          <w:lang w:val="pt-BR"/>
        </w:rPr>
        <w:t xml:space="preserve"> </w:t>
      </w:r>
      <w:r w:rsidRPr="0072493F">
        <w:rPr>
          <w:szCs w:val="24"/>
          <w:lang w:val="pt-BR"/>
        </w:rPr>
        <w:t>anos 2006 a 2022 e para o ano 2023 o Relatório de Administração</w:t>
      </w:r>
      <w:r w:rsidR="00057686">
        <w:rPr>
          <w:szCs w:val="24"/>
          <w:lang w:val="pt-BR"/>
        </w:rPr>
        <w:t xml:space="preserve"> </w:t>
      </w:r>
      <w:r w:rsidR="001C0E3B">
        <w:rPr>
          <w:szCs w:val="24"/>
          <w:lang w:val="pt-BR"/>
        </w:rPr>
        <w:fldChar w:fldCharType="begin"/>
      </w:r>
      <w:r w:rsidR="00071F62">
        <w:rPr>
          <w:szCs w:val="24"/>
          <w:lang w:val="pt-BR"/>
        </w:rPr>
        <w:instrText xml:space="preserve"> ADDIN ZOTERO_ITEM CSL_CITATION {"citationID":"STHmgYnV","properties":{"formattedCitation":"(PETROBR\\uc0\\u193{}S, 2023c)","plainCitation":"(PETROBRÁS, 2023c)","dontUpdate":true,"noteIndex":0},"citationItems":[{"id":2176,"uris":["http://zotero.org/users/6746406/items/UEEYZJ3I"],"itemData":{"id":2176,"type":"post-weblog","abstract":"Relações com Investidores","container-title":"Petrobras","language":"pt-br","title":"Central de Downloads | Relatórios Anuais de 2005 a 2023 da Petrobrás","URL":"https://www.investidorpetrobras.com.br/servicos-ao-investidor/central-de-downloads/","author":[{"family":"Petrobrás","given":""}],"accessed":{"date-parts":[["2025",2,16]]},"issued":{"date-parts":[["2023"]]}}}],"schema":"https://github.com/citation-style-language/schema/raw/master/csl-citation.json"} </w:instrText>
      </w:r>
      <w:r w:rsidR="001C0E3B">
        <w:rPr>
          <w:szCs w:val="24"/>
          <w:lang w:val="pt-BR"/>
        </w:rPr>
        <w:fldChar w:fldCharType="separate"/>
      </w:r>
      <w:r w:rsidR="001C0E3B" w:rsidRPr="001C0E3B">
        <w:rPr>
          <w:lang w:val="pt-BR"/>
        </w:rPr>
        <w:t>(P</w:t>
      </w:r>
      <w:r w:rsidR="00057686">
        <w:rPr>
          <w:lang w:val="pt-BR"/>
        </w:rPr>
        <w:t>etrobrás</w:t>
      </w:r>
      <w:r w:rsidR="001C0E3B" w:rsidRPr="001C0E3B">
        <w:rPr>
          <w:lang w:val="pt-BR"/>
        </w:rPr>
        <w:t>, 2023c)</w:t>
      </w:r>
      <w:r w:rsidR="001C0E3B">
        <w:rPr>
          <w:szCs w:val="24"/>
          <w:lang w:val="pt-BR"/>
        </w:rPr>
        <w:fldChar w:fldCharType="end"/>
      </w:r>
      <w:r w:rsidRPr="0072493F">
        <w:rPr>
          <w:szCs w:val="24"/>
          <w:lang w:val="pt-BR"/>
        </w:rPr>
        <w:t>. Em relação aos indicadores sociais internos foram considerados os investimentos em Educação (Educ.), Capacitação e Desenvolvimento Profissional (Capac.) e de Segurança e Saúde do Trabalho (Seg. Trab.).</w:t>
      </w:r>
    </w:p>
    <w:p w14:paraId="410C3BA0" w14:textId="24234078" w:rsidR="0072493F" w:rsidRPr="0072493F" w:rsidRDefault="0072493F" w:rsidP="0072493F">
      <w:pPr>
        <w:spacing w:after="120"/>
        <w:ind w:firstLine="284"/>
        <w:rPr>
          <w:szCs w:val="24"/>
          <w:lang w:val="pt-BR"/>
        </w:rPr>
      </w:pPr>
      <w:r w:rsidRPr="0072493F">
        <w:rPr>
          <w:szCs w:val="24"/>
          <w:lang w:val="pt-BR"/>
        </w:rPr>
        <w:t xml:space="preserve">Para análise dos Indicadores Sociais Internos em função dos indicadores referentes à Saúde e </w:t>
      </w:r>
      <w:r w:rsidR="0010360C">
        <w:rPr>
          <w:szCs w:val="24"/>
          <w:lang w:val="pt-BR"/>
        </w:rPr>
        <w:t>S</w:t>
      </w:r>
      <w:r w:rsidRPr="0072493F">
        <w:rPr>
          <w:szCs w:val="24"/>
          <w:lang w:val="pt-BR"/>
        </w:rPr>
        <w:t>egurança do Trabalho, foi adotado um método de regressão (polinomial em termos dos investimentos) porém, linear em termos dos parâmetros do ajuste, que permite encontrar uma expressão matemática para o TFCA em função dos investimentos acima comentados.</w:t>
      </w:r>
    </w:p>
    <w:p w14:paraId="3A7E4784" w14:textId="5155D5C5" w:rsidR="00B63A35" w:rsidRDefault="0072493F" w:rsidP="0072493F">
      <w:pPr>
        <w:spacing w:after="120"/>
        <w:ind w:firstLine="284"/>
        <w:rPr>
          <w:szCs w:val="24"/>
          <w:lang w:val="pt-BR"/>
        </w:rPr>
      </w:pPr>
      <w:r w:rsidRPr="0072493F">
        <w:rPr>
          <w:szCs w:val="24"/>
          <w:lang w:val="pt-BR"/>
        </w:rPr>
        <w:t xml:space="preserve">Esse método consiste em determinar o conjunto de parâmetros </w:t>
      </w:r>
      <m:oMath>
        <m:r>
          <m:rPr>
            <m:sty m:val="b"/>
          </m:rPr>
          <w:rPr>
            <w:rFonts w:ascii="Cambria Math" w:hAnsi="Cambria Math" w:cs="Arial"/>
            <w:szCs w:val="24"/>
          </w:rPr>
          <m:t>Θ</m:t>
        </m:r>
      </m:oMath>
      <w:r w:rsidRPr="0072493F">
        <w:rPr>
          <w:szCs w:val="24"/>
          <w:lang w:val="pt-BR"/>
        </w:rPr>
        <w:t xml:space="preserve"> de uma função </w:t>
      </w:r>
      <m:oMath>
        <m:r>
          <m:rPr>
            <m:sty m:val="b"/>
          </m:rPr>
          <w:rPr>
            <w:rFonts w:ascii="Cambria Math" w:hAnsi="Cambria Math"/>
          </w:rPr>
          <m:t>Y</m:t>
        </m:r>
        <m:r>
          <w:rPr>
            <w:rFonts w:ascii="Cambria Math" w:hAnsi="Cambria Math"/>
            <w:lang w:val="pt-BR"/>
          </w:rPr>
          <m:t>(</m:t>
        </m:r>
        <m:r>
          <m:rPr>
            <m:sty m:val="b"/>
          </m:rPr>
          <w:rPr>
            <w:rFonts w:ascii="Cambria Math" w:hAnsi="Cambria Math" w:cs="Arial"/>
            <w:szCs w:val="24"/>
          </w:rPr>
          <m:t>Θ</m:t>
        </m:r>
        <m:r>
          <w:rPr>
            <w:rFonts w:ascii="Cambria Math" w:hAnsi="Cambria Math" w:cs="Arial"/>
            <w:szCs w:val="24"/>
            <w:lang w:val="pt-BR"/>
          </w:rPr>
          <m:t>)</m:t>
        </m:r>
      </m:oMath>
      <w:r w:rsidRPr="0072493F">
        <w:rPr>
          <w:szCs w:val="24"/>
          <w:lang w:val="pt-BR"/>
        </w:rPr>
        <w:t xml:space="preserve"> a partir da minimização da função do Chi-quadrado (</w:t>
      </w:r>
      <m:oMath>
        <m:sSup>
          <m:sSupPr>
            <m:ctrlPr>
              <w:rPr>
                <w:rFonts w:ascii="Cambria Math" w:hAnsi="Cambria Math" w:cs="Arial"/>
                <w:i/>
                <w:szCs w:val="24"/>
              </w:rPr>
            </m:ctrlPr>
          </m:sSupPr>
          <m:e>
            <m:r>
              <w:rPr>
                <w:rFonts w:ascii="Cambria Math" w:hAnsi="Cambria Math" w:cs="Arial"/>
                <w:szCs w:val="24"/>
              </w:rPr>
              <m:t>χ</m:t>
            </m:r>
          </m:e>
          <m:sup>
            <m:r>
              <w:rPr>
                <w:rFonts w:ascii="Cambria Math" w:hAnsi="Cambria Math" w:cs="Arial"/>
                <w:szCs w:val="24"/>
                <w:lang w:val="pt-BR"/>
              </w:rPr>
              <m:t>2</m:t>
            </m:r>
          </m:sup>
        </m:sSup>
      </m:oMath>
      <w:r w:rsidRPr="0072493F">
        <w:rPr>
          <w:szCs w:val="24"/>
          <w:lang w:val="pt-BR"/>
        </w:rPr>
        <w:t>) na forma</w:t>
      </w:r>
    </w:p>
    <w:tbl>
      <w:tblPr>
        <w:tblW w:w="0" w:type="auto"/>
        <w:tblLook w:val="04A0" w:firstRow="1" w:lastRow="0" w:firstColumn="1" w:lastColumn="0" w:noHBand="0" w:noVBand="1"/>
      </w:tblPr>
      <w:tblGrid>
        <w:gridCol w:w="8075"/>
        <w:gridCol w:w="510"/>
      </w:tblGrid>
      <w:tr w:rsidR="00113F1E" w:rsidRPr="0049479C" w14:paraId="2BE60142" w14:textId="77777777" w:rsidTr="00D154D4">
        <w:tc>
          <w:tcPr>
            <w:tcW w:w="8075" w:type="dxa"/>
            <w:shd w:val="clear" w:color="auto" w:fill="auto"/>
          </w:tcPr>
          <w:p w14:paraId="58D8F2BE" w14:textId="46F64BA8" w:rsidR="00113F1E" w:rsidRDefault="003C5C89">
            <m:oMathPara>
              <m:oMath>
                <m:sSup>
                  <m:sSupPr>
                    <m:ctrlPr>
                      <w:rPr>
                        <w:rFonts w:ascii="Cambria Math" w:hAnsi="Cambria Math" w:cs="Arial"/>
                        <w:i/>
                        <w:szCs w:val="24"/>
                      </w:rPr>
                    </m:ctrlPr>
                  </m:sSupPr>
                  <m:e>
                    <m:r>
                      <w:rPr>
                        <w:rFonts w:ascii="Cambria Math" w:hAnsi="Cambria Math" w:cs="Arial"/>
                        <w:szCs w:val="24"/>
                      </w:rPr>
                      <m:t>χ</m:t>
                    </m:r>
                  </m:e>
                  <m:sup>
                    <m:r>
                      <w:rPr>
                        <w:rFonts w:ascii="Cambria Math" w:hAnsi="Cambria Math" w:cs="Arial"/>
                        <w:szCs w:val="24"/>
                      </w:rPr>
                      <m:t>2</m:t>
                    </m:r>
                  </m:sup>
                </m:sSup>
                <m:r>
                  <w:rPr>
                    <w:rFonts w:ascii="Cambria Math" w:hAnsi="Cambria Math" w:cs="Arial"/>
                    <w:szCs w:val="24"/>
                  </w:rPr>
                  <m:t>=</m:t>
                </m:r>
                <m:f>
                  <m:fPr>
                    <m:ctrlPr>
                      <w:rPr>
                        <w:rFonts w:ascii="Cambria Math" w:hAnsi="Cambria Math"/>
                        <w:i/>
                      </w:rPr>
                    </m:ctrlPr>
                  </m:fPr>
                  <m:num>
                    <m:r>
                      <w:rPr>
                        <w:rFonts w:ascii="Cambria Math" w:hAnsi="Cambria Math"/>
                      </w:rPr>
                      <m:t>1</m:t>
                    </m:r>
                  </m:num>
                  <m:den>
                    <m:r>
                      <w:rPr>
                        <w:rFonts w:ascii="Cambria Math" w:hAnsi="Cambria Math" w:cs="Arial"/>
                        <w:szCs w:val="24"/>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cs="Arial"/>
                        <w:szCs w:val="24"/>
                      </w:rPr>
                      <m:t>N</m:t>
                    </m:r>
                  </m:sup>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nary>
                <m:r>
                  <w:rPr>
                    <w:rFonts w:ascii="Cambria Math" w:hAnsi="Cambria Math"/>
                  </w:rPr>
                  <m:t>-</m:t>
                </m:r>
                <m:sSub>
                  <m:sSubPr>
                    <m:ctrlPr>
                      <w:rPr>
                        <w:rFonts w:ascii="Cambria Math" w:hAnsi="Cambria Math"/>
                        <w:i/>
                      </w:rPr>
                    </m:ctrlPr>
                  </m:sSubPr>
                  <m:e>
                    <m:r>
                      <m:rPr>
                        <m:sty m:val="b"/>
                      </m:rPr>
                      <w:rPr>
                        <w:rFonts w:ascii="Cambria Math" w:hAnsi="Cambria Math"/>
                      </w:rPr>
                      <m:t>Y</m:t>
                    </m:r>
                  </m:e>
                  <m:sub>
                    <m:r>
                      <w:rPr>
                        <w:rFonts w:ascii="Cambria Math" w:hAnsi="Cambria Math"/>
                      </w:rPr>
                      <m:t>i</m:t>
                    </m:r>
                  </m:sub>
                </m:sSub>
                <m:r>
                  <w:rPr>
                    <w:rFonts w:ascii="Cambria Math" w:hAnsi="Cambria Math"/>
                  </w:rPr>
                  <m:t>(</m:t>
                </m:r>
                <m:r>
                  <m:rPr>
                    <m:sty m:val="b"/>
                  </m:rPr>
                  <w:rPr>
                    <w:rFonts w:ascii="Cambria Math" w:hAnsi="Cambria Math" w:cs="Arial"/>
                    <w:szCs w:val="24"/>
                  </w:rPr>
                  <m:t>Θ</m:t>
                </m:r>
                <m:r>
                  <w:rPr>
                    <w:rFonts w:ascii="Cambria Math" w:hAnsi="Cambria Math" w:cs="Arial"/>
                    <w:szCs w:val="24"/>
                  </w:rPr>
                  <m:t xml:space="preserve">, </m:t>
                </m:r>
                <m:sSub>
                  <m:sSubPr>
                    <m:ctrlPr>
                      <w:rPr>
                        <w:rFonts w:ascii="Cambria Math" w:hAnsi="Cambria Math" w:cs="Arial"/>
                        <w:i/>
                        <w:szCs w:val="24"/>
                      </w:rPr>
                    </m:ctrlPr>
                  </m:sSubPr>
                  <m:e>
                    <m:r>
                      <w:rPr>
                        <w:rFonts w:ascii="Cambria Math" w:hAnsi="Cambria Math" w:cs="Arial"/>
                        <w:szCs w:val="24"/>
                      </w:rPr>
                      <m:t>x</m:t>
                    </m:r>
                  </m:e>
                  <m:sub>
                    <m:r>
                      <w:rPr>
                        <w:rFonts w:ascii="Cambria Math" w:hAnsi="Cambria Math" w:cs="Arial"/>
                        <w:szCs w:val="24"/>
                      </w:rPr>
                      <m:t xml:space="preserve">i </m:t>
                    </m:r>
                  </m:sub>
                </m:sSub>
                <m:r>
                  <w:rPr>
                    <w:rFonts w:ascii="Cambria Math" w:hAnsi="Cambria Math" w:cs="Arial"/>
                    <w:szCs w:val="24"/>
                  </w:rPr>
                  <m:t>)]²,</m:t>
                </m:r>
              </m:oMath>
            </m:oMathPara>
          </w:p>
          <w:p w14:paraId="03B6C439" w14:textId="1E5D77A7" w:rsidR="00113F1E" w:rsidRPr="002A3CB7" w:rsidRDefault="00113F1E" w:rsidP="00D154D4">
            <w:pPr>
              <w:rPr>
                <w:szCs w:val="24"/>
              </w:rPr>
            </w:pPr>
          </w:p>
        </w:tc>
        <w:tc>
          <w:tcPr>
            <w:tcW w:w="510" w:type="dxa"/>
            <w:shd w:val="clear" w:color="auto" w:fill="auto"/>
            <w:vAlign w:val="center"/>
          </w:tcPr>
          <w:p w14:paraId="159262D3" w14:textId="77777777" w:rsidR="00113F1E" w:rsidRPr="0049479C" w:rsidRDefault="00113F1E" w:rsidP="00D154D4">
            <w:pPr>
              <w:jc w:val="right"/>
              <w:rPr>
                <w:szCs w:val="24"/>
              </w:rPr>
            </w:pPr>
            <w:r w:rsidRPr="0049479C">
              <w:rPr>
                <w:szCs w:val="24"/>
              </w:rPr>
              <w:t>(1)</w:t>
            </w:r>
          </w:p>
        </w:tc>
      </w:tr>
    </w:tbl>
    <w:p w14:paraId="58AE0D99" w14:textId="4B7888E6" w:rsidR="00057686" w:rsidRPr="00057686" w:rsidRDefault="00057686" w:rsidP="00057686">
      <w:pPr>
        <w:spacing w:after="120"/>
        <w:ind w:firstLine="284"/>
        <w:rPr>
          <w:szCs w:val="24"/>
          <w:lang w:val="pt-BR"/>
        </w:rPr>
      </w:pPr>
      <w:r w:rsidRPr="00057686">
        <w:rPr>
          <w:szCs w:val="24"/>
          <w:lang w:val="pt-BR"/>
        </w:rPr>
        <w:t xml:space="preserve">em que </w:t>
      </w:r>
      <m:oMath>
        <m:sSub>
          <m:sSubPr>
            <m:ctrlPr>
              <w:rPr>
                <w:rFonts w:ascii="Cambria Math" w:hAnsi="Cambria Math" w:cs="Cambria Math"/>
                <w:i/>
                <w:szCs w:val="24"/>
                <w:lang w:val="pt-BR"/>
              </w:rPr>
            </m:ctrlPr>
          </m:sSubPr>
          <m:e>
            <m:r>
              <w:rPr>
                <w:rFonts w:ascii="Cambria Math" w:hAnsi="Cambria Math" w:cs="Cambria Math"/>
                <w:szCs w:val="24"/>
                <w:lang w:val="pt-BR"/>
              </w:rPr>
              <m:t>x</m:t>
            </m:r>
          </m:e>
          <m:sub>
            <m:r>
              <w:rPr>
                <w:rFonts w:ascii="Cambria Math" w:hAnsi="Cambria Math" w:cs="Cambria Math"/>
                <w:szCs w:val="24"/>
                <w:lang w:val="pt-BR"/>
              </w:rPr>
              <m:t>i</m:t>
            </m:r>
          </m:sub>
        </m:sSub>
      </m:oMath>
      <w:r>
        <w:rPr>
          <w:rFonts w:ascii="Cambria Math" w:hAnsi="Cambria Math" w:cs="Cambria Math"/>
          <w:szCs w:val="24"/>
          <w:lang w:val="pt-BR"/>
        </w:rPr>
        <w:t xml:space="preserve"> </w:t>
      </w:r>
      <w:r w:rsidRPr="00057686">
        <w:rPr>
          <w:szCs w:val="24"/>
          <w:lang w:val="pt-BR"/>
        </w:rPr>
        <w:t>corresponde aos</w:t>
      </w:r>
      <w:r w:rsidR="00C90FC4">
        <w:rPr>
          <w:szCs w:val="24"/>
          <w:lang w:val="pt-BR"/>
        </w:rPr>
        <w:t xml:space="preserve"> valores dos</w:t>
      </w:r>
      <w:r w:rsidRPr="00057686">
        <w:rPr>
          <w:szCs w:val="24"/>
          <w:lang w:val="pt-BR"/>
        </w:rPr>
        <w:t xml:space="preserve"> investimentos</w:t>
      </w:r>
      <w:r w:rsidR="00C90FC4">
        <w:rPr>
          <w:szCs w:val="24"/>
          <w:lang w:val="pt-BR"/>
        </w:rPr>
        <w:t xml:space="preserve"> realizados a cada ano segundo as informações da empresa</w:t>
      </w:r>
      <w:r w:rsidRPr="00057686">
        <w:rPr>
          <w:szCs w:val="24"/>
          <w:lang w:val="pt-BR"/>
        </w:rPr>
        <w:t>. Por simplicidade iremos assumir funções</w:t>
      </w:r>
      <w:r w:rsidR="00001BEA">
        <w:rPr>
          <w:szCs w:val="24"/>
          <w:lang w:val="pt-BR"/>
        </w:rPr>
        <w:t xml:space="preserve"> </w:t>
      </w:r>
      <w:r w:rsidRPr="00057686">
        <w:rPr>
          <w:szCs w:val="24"/>
          <w:lang w:val="pt-BR"/>
        </w:rPr>
        <w:t>polinomiais</w:t>
      </w:r>
      <w:r w:rsidR="00C90FC4">
        <w:rPr>
          <w:szCs w:val="24"/>
          <w:lang w:val="pt-BR"/>
        </w:rPr>
        <w:t xml:space="preserve"> para representar a função </w:t>
      </w:r>
      <m:oMath>
        <m:r>
          <m:rPr>
            <m:sty m:val="b"/>
          </m:rPr>
          <w:rPr>
            <w:rFonts w:ascii="Cambria Math" w:hAnsi="Cambria Math"/>
          </w:rPr>
          <m:t>Y</m:t>
        </m:r>
        <m:r>
          <w:rPr>
            <w:rFonts w:ascii="Cambria Math" w:hAnsi="Cambria Math"/>
            <w:lang w:val="pt-BR"/>
          </w:rPr>
          <m:t>(</m:t>
        </m:r>
        <m:r>
          <m:rPr>
            <m:sty m:val="b"/>
          </m:rPr>
          <w:rPr>
            <w:rFonts w:ascii="Cambria Math" w:hAnsi="Cambria Math" w:cs="Arial"/>
            <w:szCs w:val="24"/>
          </w:rPr>
          <m:t>Θ</m:t>
        </m:r>
        <m:r>
          <w:rPr>
            <w:rFonts w:ascii="Cambria Math" w:hAnsi="Cambria Math" w:cs="Arial"/>
            <w:szCs w:val="24"/>
            <w:lang w:val="pt-BR"/>
          </w:rPr>
          <m:t>)</m:t>
        </m:r>
      </m:oMath>
      <w:r w:rsidRPr="00057686">
        <w:rPr>
          <w:szCs w:val="24"/>
          <w:lang w:val="pt-BR"/>
        </w:rPr>
        <w:t xml:space="preserve">. Para minimizar a função dada na </w:t>
      </w:r>
      <w:r w:rsidR="005B4DD9">
        <w:rPr>
          <w:szCs w:val="24"/>
          <w:lang w:val="pt-BR"/>
        </w:rPr>
        <w:t>Eq</w:t>
      </w:r>
      <w:r w:rsidR="00001BEA">
        <w:rPr>
          <w:szCs w:val="24"/>
          <w:lang w:val="pt-BR"/>
        </w:rPr>
        <w:t>uação</w:t>
      </w:r>
      <w:r w:rsidRPr="00057686">
        <w:rPr>
          <w:szCs w:val="24"/>
          <w:lang w:val="pt-BR"/>
        </w:rPr>
        <w:t xml:space="preserve"> (1) foi utilizado o Programa MINUI</w:t>
      </w:r>
      <w:r w:rsidR="0037173C">
        <w:rPr>
          <w:szCs w:val="24"/>
          <w:lang w:val="pt-BR"/>
        </w:rPr>
        <w:t xml:space="preserve">T </w:t>
      </w:r>
      <w:r w:rsidR="0037173C">
        <w:rPr>
          <w:szCs w:val="24"/>
          <w:lang w:val="pt-BR"/>
        </w:rPr>
        <w:fldChar w:fldCharType="begin"/>
      </w:r>
      <w:r w:rsidR="00071F62">
        <w:rPr>
          <w:szCs w:val="24"/>
          <w:lang w:val="pt-BR"/>
        </w:rPr>
        <w:instrText xml:space="preserve"> ADDIN ZOTERO_ITEM CSL_CITATION {"citationID":"om3WplHk","properties":{"formattedCitation":"(JAMES; ROOS, 1998)","plainCitation":"(JAMES; ROOS, 1998)","dontUpdate":true,"noteIndex":0},"citationItems":[{"id":2171,"uris":["http://zotero.org/users/6746406/items/AHJAHTBB"],"itemData":{"id":2171,"type":"article-journal","language":"en","source":"Zotero","title":"MINUIT: Function Minimization and Error Analysis","author":[{"family":"James","given":"F"},{"family":"Roos","given":"M"}],"issued":{"date-parts":[["1998"]]}}}],"schema":"https://github.com/citation-style-language/schema/raw/master/csl-citation.json"} </w:instrText>
      </w:r>
      <w:r w:rsidR="0037173C">
        <w:rPr>
          <w:szCs w:val="24"/>
          <w:lang w:val="pt-BR"/>
        </w:rPr>
        <w:fldChar w:fldCharType="separate"/>
      </w:r>
      <w:r w:rsidR="0037173C" w:rsidRPr="0037173C">
        <w:rPr>
          <w:lang w:val="pt-BR"/>
        </w:rPr>
        <w:t>(J</w:t>
      </w:r>
      <w:r w:rsidR="0037173C">
        <w:rPr>
          <w:lang w:val="pt-BR"/>
        </w:rPr>
        <w:t>ames</w:t>
      </w:r>
      <w:r w:rsidR="0037173C" w:rsidRPr="0037173C">
        <w:rPr>
          <w:lang w:val="pt-BR"/>
        </w:rPr>
        <w:t>; R</w:t>
      </w:r>
      <w:r w:rsidR="0037173C">
        <w:rPr>
          <w:lang w:val="pt-BR"/>
        </w:rPr>
        <w:t>oos</w:t>
      </w:r>
      <w:r w:rsidR="0037173C" w:rsidRPr="0037173C">
        <w:rPr>
          <w:lang w:val="pt-BR"/>
        </w:rPr>
        <w:t>, 1998)</w:t>
      </w:r>
      <w:r w:rsidR="0037173C">
        <w:rPr>
          <w:szCs w:val="24"/>
          <w:lang w:val="pt-BR"/>
        </w:rPr>
        <w:fldChar w:fldCharType="end"/>
      </w:r>
      <w:r w:rsidR="0037173C">
        <w:rPr>
          <w:szCs w:val="24"/>
          <w:lang w:val="pt-BR"/>
        </w:rPr>
        <w:t xml:space="preserve"> </w:t>
      </w:r>
      <w:r w:rsidRPr="00057686">
        <w:rPr>
          <w:szCs w:val="24"/>
          <w:lang w:val="pt-BR"/>
        </w:rPr>
        <w:t>d</w:t>
      </w:r>
      <w:r w:rsidR="00B75F95">
        <w:rPr>
          <w:szCs w:val="24"/>
          <w:lang w:val="pt-BR"/>
        </w:rPr>
        <w:t xml:space="preserve">a </w:t>
      </w:r>
      <w:r w:rsidRPr="00057686">
        <w:rPr>
          <w:szCs w:val="24"/>
          <w:lang w:val="pt-BR"/>
        </w:rPr>
        <w:t>Organização Europeia de Pesquisa Nuclear</w:t>
      </w:r>
      <w:r w:rsidR="00B75F95">
        <w:rPr>
          <w:szCs w:val="24"/>
          <w:lang w:val="pt-BR"/>
        </w:rPr>
        <w:t xml:space="preserve"> (</w:t>
      </w:r>
      <w:r w:rsidR="00B75F95" w:rsidRPr="00057686">
        <w:rPr>
          <w:szCs w:val="24"/>
          <w:lang w:val="pt-BR"/>
        </w:rPr>
        <w:t>CERN</w:t>
      </w:r>
      <w:r w:rsidRPr="00057686">
        <w:rPr>
          <w:szCs w:val="24"/>
          <w:lang w:val="pt-BR"/>
        </w:rPr>
        <w:t>)</w:t>
      </w:r>
      <w:r>
        <w:rPr>
          <w:szCs w:val="24"/>
          <w:lang w:val="pt-BR"/>
        </w:rPr>
        <w:t xml:space="preserve">. </w:t>
      </w:r>
      <w:r w:rsidRPr="00057686">
        <w:rPr>
          <w:szCs w:val="24"/>
          <w:lang w:val="pt-BR"/>
        </w:rPr>
        <w:t xml:space="preserve">Com esse programa, escrito em </w:t>
      </w:r>
      <w:r>
        <w:rPr>
          <w:szCs w:val="24"/>
          <w:lang w:val="pt-BR"/>
        </w:rPr>
        <w:t xml:space="preserve">FORTRAN </w:t>
      </w:r>
      <w:r w:rsidRPr="00057686">
        <w:rPr>
          <w:szCs w:val="24"/>
          <w:lang w:val="pt-BR"/>
        </w:rPr>
        <w:t>77, determinou-se os parâmetros (com seus respectivos erros) dos modelos propostos. Foram propost</w:t>
      </w:r>
      <w:r>
        <w:rPr>
          <w:szCs w:val="24"/>
          <w:lang w:val="pt-BR"/>
        </w:rPr>
        <w:t>as</w:t>
      </w:r>
      <w:r w:rsidRPr="00057686">
        <w:rPr>
          <w:szCs w:val="24"/>
          <w:lang w:val="pt-BR"/>
        </w:rPr>
        <w:t xml:space="preserve"> 05</w:t>
      </w:r>
      <w:r>
        <w:rPr>
          <w:szCs w:val="24"/>
          <w:lang w:val="pt-BR"/>
        </w:rPr>
        <w:t xml:space="preserve"> (cinco)</w:t>
      </w:r>
      <w:r w:rsidRPr="00057686">
        <w:rPr>
          <w:szCs w:val="24"/>
          <w:lang w:val="pt-BR"/>
        </w:rPr>
        <w:t xml:space="preserve"> análises, a saber:</w:t>
      </w:r>
    </w:p>
    <w:p w14:paraId="284C84EB" w14:textId="77777777" w:rsidR="00057686" w:rsidRPr="00057686" w:rsidRDefault="00057686" w:rsidP="00057686">
      <w:pPr>
        <w:spacing w:after="120"/>
        <w:ind w:firstLine="284"/>
        <w:rPr>
          <w:szCs w:val="24"/>
          <w:lang w:val="pt-BR"/>
        </w:rPr>
      </w:pPr>
      <w:r w:rsidRPr="00057686">
        <w:rPr>
          <w:szCs w:val="24"/>
          <w:lang w:val="pt-BR"/>
        </w:rPr>
        <w:t>-</w:t>
      </w:r>
      <w:r w:rsidRPr="00057686">
        <w:rPr>
          <w:szCs w:val="24"/>
          <w:lang w:val="pt-BR"/>
        </w:rPr>
        <w:tab/>
        <w:t>Tipo I: TFCA em função dos Investimentos em Educação;</w:t>
      </w:r>
    </w:p>
    <w:p w14:paraId="1A93F926" w14:textId="77777777" w:rsidR="00057686" w:rsidRPr="00057686" w:rsidRDefault="00057686" w:rsidP="00057686">
      <w:pPr>
        <w:spacing w:after="120"/>
        <w:ind w:firstLine="284"/>
        <w:rPr>
          <w:szCs w:val="24"/>
          <w:lang w:val="pt-BR"/>
        </w:rPr>
      </w:pPr>
      <w:r w:rsidRPr="00057686">
        <w:rPr>
          <w:szCs w:val="24"/>
          <w:lang w:val="pt-BR"/>
        </w:rPr>
        <w:t>-</w:t>
      </w:r>
      <w:r w:rsidRPr="00057686">
        <w:rPr>
          <w:szCs w:val="24"/>
          <w:lang w:val="pt-BR"/>
        </w:rPr>
        <w:tab/>
        <w:t>Tipo II: TFCA em função dos Investimentos em Capacitação e Desenvolvimento Profissional;</w:t>
      </w:r>
    </w:p>
    <w:p w14:paraId="39C9EF1C" w14:textId="77777777" w:rsidR="00057686" w:rsidRPr="00057686" w:rsidRDefault="00057686" w:rsidP="00057686">
      <w:pPr>
        <w:spacing w:after="120"/>
        <w:ind w:firstLine="284"/>
        <w:rPr>
          <w:szCs w:val="24"/>
          <w:lang w:val="pt-BR"/>
        </w:rPr>
      </w:pPr>
      <w:r w:rsidRPr="00057686">
        <w:rPr>
          <w:szCs w:val="24"/>
          <w:lang w:val="pt-BR"/>
        </w:rPr>
        <w:t>-</w:t>
      </w:r>
      <w:r w:rsidRPr="00057686">
        <w:rPr>
          <w:szCs w:val="24"/>
          <w:lang w:val="pt-BR"/>
        </w:rPr>
        <w:tab/>
        <w:t>Tipo III: TFCA em função dos Investimentos em Segurança e Saúde do Trabalho;</w:t>
      </w:r>
    </w:p>
    <w:p w14:paraId="12E6E9E1" w14:textId="77777777" w:rsidR="00057686" w:rsidRPr="00057686" w:rsidRDefault="00057686" w:rsidP="00057686">
      <w:pPr>
        <w:spacing w:after="120"/>
        <w:ind w:firstLine="284"/>
        <w:rPr>
          <w:szCs w:val="24"/>
          <w:lang w:val="pt-BR"/>
        </w:rPr>
      </w:pPr>
      <w:bookmarkStart w:id="3" w:name="_Hlk192250192"/>
      <w:r w:rsidRPr="00057686">
        <w:rPr>
          <w:szCs w:val="24"/>
          <w:lang w:val="pt-BR"/>
        </w:rPr>
        <w:t>-</w:t>
      </w:r>
      <w:bookmarkEnd w:id="3"/>
      <w:r w:rsidRPr="00057686">
        <w:rPr>
          <w:szCs w:val="24"/>
          <w:lang w:val="pt-BR"/>
        </w:rPr>
        <w:tab/>
        <w:t>Tipo IV: TFCA em função da soma dos Investimentos dos Tipos II e III; e</w:t>
      </w:r>
    </w:p>
    <w:p w14:paraId="16C44DFF" w14:textId="77777777" w:rsidR="00057686" w:rsidRDefault="00057686" w:rsidP="00057686">
      <w:pPr>
        <w:spacing w:after="120"/>
        <w:ind w:firstLine="284"/>
        <w:rPr>
          <w:szCs w:val="24"/>
          <w:lang w:val="pt-BR"/>
        </w:rPr>
      </w:pPr>
      <w:r w:rsidRPr="00057686">
        <w:rPr>
          <w:szCs w:val="24"/>
          <w:lang w:val="pt-BR"/>
        </w:rPr>
        <w:t>-</w:t>
      </w:r>
      <w:r w:rsidRPr="00057686">
        <w:rPr>
          <w:szCs w:val="24"/>
          <w:lang w:val="pt-BR"/>
        </w:rPr>
        <w:tab/>
        <w:t>Tipo V: TFCA em função da soma dos investimentos dos tipos I, II e III.</w:t>
      </w:r>
    </w:p>
    <w:p w14:paraId="252FC755" w14:textId="77777777" w:rsidR="00A85EEF" w:rsidRDefault="00A85EEF" w:rsidP="00057686">
      <w:pPr>
        <w:spacing w:after="120"/>
        <w:ind w:firstLine="284"/>
        <w:rPr>
          <w:szCs w:val="24"/>
          <w:lang w:val="pt-BR"/>
        </w:rPr>
      </w:pPr>
    </w:p>
    <w:p w14:paraId="6AF02248" w14:textId="134C04EF" w:rsidR="00B63A35" w:rsidRPr="0049479C" w:rsidRDefault="00575335" w:rsidP="0058453D">
      <w:pPr>
        <w:pStyle w:val="PargrafodaLista"/>
        <w:numPr>
          <w:ilvl w:val="0"/>
          <w:numId w:val="5"/>
        </w:numPr>
        <w:spacing w:after="120"/>
        <w:rPr>
          <w:b/>
          <w:szCs w:val="24"/>
          <w:lang w:val="pt-BR"/>
        </w:rPr>
      </w:pPr>
      <w:r w:rsidRPr="0049479C">
        <w:rPr>
          <w:b/>
          <w:szCs w:val="24"/>
          <w:lang w:val="pt-BR"/>
        </w:rPr>
        <w:t>Resultados</w:t>
      </w:r>
      <w:r w:rsidR="00944AB3">
        <w:rPr>
          <w:b/>
          <w:szCs w:val="24"/>
          <w:lang w:val="pt-BR"/>
        </w:rPr>
        <w:t xml:space="preserve"> e </w:t>
      </w:r>
      <w:r w:rsidR="00944AB3" w:rsidRPr="0049479C">
        <w:rPr>
          <w:b/>
          <w:szCs w:val="24"/>
          <w:lang w:val="pt-BR"/>
        </w:rPr>
        <w:t>Discussões</w:t>
      </w:r>
    </w:p>
    <w:p w14:paraId="196021D0" w14:textId="77777777" w:rsidR="00B63A35" w:rsidRPr="0049479C" w:rsidRDefault="00B63A35" w:rsidP="00B63A35">
      <w:pPr>
        <w:spacing w:after="120"/>
        <w:rPr>
          <w:color w:val="A6A6A6"/>
          <w:szCs w:val="24"/>
          <w:lang w:val="pt-BR"/>
        </w:rPr>
      </w:pPr>
    </w:p>
    <w:p w14:paraId="5725B33B" w14:textId="2A02DB2E" w:rsidR="00001BEA" w:rsidRDefault="00001BEA" w:rsidP="00B63A35">
      <w:pPr>
        <w:spacing w:after="120"/>
        <w:ind w:firstLine="284"/>
        <w:rPr>
          <w:szCs w:val="24"/>
          <w:lang w:val="pt-BR"/>
        </w:rPr>
      </w:pPr>
      <w:r w:rsidRPr="00001BEA">
        <w:rPr>
          <w:szCs w:val="24"/>
          <w:lang w:val="pt-BR"/>
        </w:rPr>
        <w:t>Na</w:t>
      </w:r>
      <w:r w:rsidR="00832FC6">
        <w:rPr>
          <w:szCs w:val="24"/>
          <w:lang w:val="pt-BR"/>
        </w:rPr>
        <w:t>s</w:t>
      </w:r>
      <w:r w:rsidRPr="00001BEA">
        <w:rPr>
          <w:szCs w:val="24"/>
          <w:lang w:val="pt-BR"/>
        </w:rPr>
        <w:t xml:space="preserve"> tabela</w:t>
      </w:r>
      <w:r w:rsidR="00832FC6">
        <w:rPr>
          <w:szCs w:val="24"/>
          <w:lang w:val="pt-BR"/>
        </w:rPr>
        <w:t>s</w:t>
      </w:r>
      <w:r w:rsidRPr="00001BEA">
        <w:rPr>
          <w:szCs w:val="24"/>
          <w:lang w:val="pt-BR"/>
        </w:rPr>
        <w:t xml:space="preserve"> </w:t>
      </w:r>
      <w:r w:rsidR="00832FC6">
        <w:rPr>
          <w:szCs w:val="24"/>
          <w:lang w:val="pt-BR"/>
        </w:rPr>
        <w:t>1, 2, 3, 4</w:t>
      </w:r>
      <w:r w:rsidRPr="00001BEA">
        <w:rPr>
          <w:szCs w:val="24"/>
          <w:lang w:val="pt-BR"/>
        </w:rPr>
        <w:t>,</w:t>
      </w:r>
      <w:r w:rsidR="00832FC6">
        <w:rPr>
          <w:szCs w:val="24"/>
          <w:lang w:val="pt-BR"/>
        </w:rPr>
        <w:t xml:space="preserve"> e 5</w:t>
      </w:r>
      <w:r w:rsidRPr="00001BEA">
        <w:rPr>
          <w:szCs w:val="24"/>
          <w:lang w:val="pt-BR"/>
        </w:rPr>
        <w:t xml:space="preserve"> regist</w:t>
      </w:r>
      <w:r w:rsidR="00832FC6">
        <w:rPr>
          <w:szCs w:val="24"/>
          <w:lang w:val="pt-BR"/>
        </w:rPr>
        <w:t>rou-se</w:t>
      </w:r>
      <w:r w:rsidRPr="00001BEA">
        <w:rPr>
          <w:szCs w:val="24"/>
          <w:lang w:val="pt-BR"/>
        </w:rPr>
        <w:t xml:space="preserve"> os resultados das análises, considerando funções polinomiais de 3º </w:t>
      </w:r>
      <w:r w:rsidR="0037173C">
        <w:rPr>
          <w:szCs w:val="24"/>
          <w:lang w:val="pt-BR"/>
        </w:rPr>
        <w:t xml:space="preserve">(terceiro grau) </w:t>
      </w:r>
      <w:r w:rsidRPr="00001BEA">
        <w:rPr>
          <w:szCs w:val="24"/>
          <w:lang w:val="pt-BR"/>
        </w:rPr>
        <w:t xml:space="preserve">ou 4º </w:t>
      </w:r>
      <w:r w:rsidR="0037173C">
        <w:rPr>
          <w:szCs w:val="24"/>
          <w:lang w:val="pt-BR"/>
        </w:rPr>
        <w:t xml:space="preserve">(quarto </w:t>
      </w:r>
      <w:r w:rsidRPr="00001BEA">
        <w:rPr>
          <w:szCs w:val="24"/>
          <w:lang w:val="pt-BR"/>
        </w:rPr>
        <w:t>grau</w:t>
      </w:r>
      <w:r w:rsidR="0037173C">
        <w:rPr>
          <w:szCs w:val="24"/>
          <w:lang w:val="pt-BR"/>
        </w:rPr>
        <w:t>)</w:t>
      </w:r>
      <w:r w:rsidRPr="00001BEA">
        <w:rPr>
          <w:szCs w:val="24"/>
          <w:lang w:val="pt-BR"/>
        </w:rPr>
        <w:t>,</w:t>
      </w:r>
    </w:p>
    <w:tbl>
      <w:tblPr>
        <w:tblW w:w="0" w:type="auto"/>
        <w:tblLook w:val="04A0" w:firstRow="1" w:lastRow="0" w:firstColumn="1" w:lastColumn="0" w:noHBand="0" w:noVBand="1"/>
      </w:tblPr>
      <w:tblGrid>
        <w:gridCol w:w="8075"/>
        <w:gridCol w:w="510"/>
      </w:tblGrid>
      <w:tr w:rsidR="00001BEA" w:rsidRPr="0049479C" w14:paraId="2D6BAF9A" w14:textId="77777777" w:rsidTr="00D154D4">
        <w:tc>
          <w:tcPr>
            <w:tcW w:w="8075" w:type="dxa"/>
            <w:shd w:val="clear" w:color="auto" w:fill="auto"/>
          </w:tcPr>
          <w:p w14:paraId="64C830E3" w14:textId="2F7CFBCC" w:rsidR="00001BEA" w:rsidRPr="002A3CB7" w:rsidRDefault="00001BEA" w:rsidP="00001BEA">
            <w:pPr>
              <w:rPr>
                <w:szCs w:val="24"/>
              </w:rPr>
            </w:pPr>
            <m:oMathPara>
              <m:oMathParaPr>
                <m:jc m:val="left"/>
              </m:oMathParaPr>
              <m:oMath>
                <m:r>
                  <w:rPr>
                    <w:rFonts w:ascii="Cambria Math" w:hAnsi="Cambria Math" w:cs="Arial"/>
                    <w:szCs w:val="24"/>
                  </w:rPr>
                  <m:t xml:space="preserve">TFCA = </m:t>
                </m:r>
                <m:sSub>
                  <m:sSubPr>
                    <m:ctrlPr>
                      <w:rPr>
                        <w:rFonts w:ascii="Cambria Math" w:hAnsi="Cambria Math" w:cs="Arial"/>
                        <w:i/>
                        <w:szCs w:val="24"/>
                      </w:rPr>
                    </m:ctrlPr>
                  </m:sSubPr>
                  <m:e>
                    <m:r>
                      <w:rPr>
                        <w:rFonts w:ascii="Cambria Math" w:hAnsi="Cambria Math" w:cs="Arial"/>
                        <w:szCs w:val="24"/>
                      </w:rPr>
                      <m:t>a</m:t>
                    </m:r>
                  </m:e>
                  <m:sub>
                    <m:r>
                      <w:rPr>
                        <w:rFonts w:ascii="Cambria Math" w:hAnsi="Cambria Math" w:cs="Arial"/>
                        <w:szCs w:val="24"/>
                      </w:rPr>
                      <m:t xml:space="preserve">0 </m:t>
                    </m:r>
                  </m:sub>
                </m:sSub>
                <m:r>
                  <w:rPr>
                    <w:rFonts w:ascii="Cambria Math" w:hAnsi="Cambria Math" w:cs="Arial"/>
                    <w:szCs w:val="24"/>
                  </w:rPr>
                  <m:t xml:space="preserve">+ </m:t>
                </m:r>
                <m:sSub>
                  <m:sSubPr>
                    <m:ctrlPr>
                      <w:rPr>
                        <w:rFonts w:ascii="Cambria Math" w:hAnsi="Cambria Math" w:cs="Arial"/>
                        <w:i/>
                        <w:szCs w:val="24"/>
                      </w:rPr>
                    </m:ctrlPr>
                  </m:sSubPr>
                  <m:e>
                    <m:r>
                      <w:rPr>
                        <w:rFonts w:ascii="Cambria Math" w:hAnsi="Cambria Math" w:cs="Arial"/>
                        <w:szCs w:val="24"/>
                      </w:rPr>
                      <m:t>a</m:t>
                    </m:r>
                  </m:e>
                  <m:sub>
                    <m:r>
                      <w:rPr>
                        <w:rFonts w:ascii="Cambria Math" w:hAnsi="Cambria Math" w:cs="Arial"/>
                        <w:szCs w:val="24"/>
                      </w:rPr>
                      <m:t>1</m:t>
                    </m:r>
                  </m:sub>
                </m:sSub>
                <m:r>
                  <w:rPr>
                    <w:rFonts w:ascii="Cambria Math" w:hAnsi="Cambria Math" w:cs="Arial"/>
                    <w:szCs w:val="24"/>
                  </w:rPr>
                  <m:t xml:space="preserve">x+ </m:t>
                </m:r>
                <m:sSub>
                  <m:sSubPr>
                    <m:ctrlPr>
                      <w:rPr>
                        <w:rFonts w:ascii="Cambria Math" w:hAnsi="Cambria Math" w:cs="Arial"/>
                        <w:i/>
                        <w:szCs w:val="24"/>
                      </w:rPr>
                    </m:ctrlPr>
                  </m:sSubPr>
                  <m:e>
                    <m:r>
                      <w:rPr>
                        <w:rFonts w:ascii="Cambria Math" w:hAnsi="Cambria Math" w:cs="Arial"/>
                        <w:szCs w:val="24"/>
                      </w:rPr>
                      <m:t>a</m:t>
                    </m:r>
                  </m:e>
                  <m:sub>
                    <m:r>
                      <w:rPr>
                        <w:rFonts w:ascii="Cambria Math" w:hAnsi="Cambria Math" w:cs="Arial"/>
                        <w:szCs w:val="24"/>
                      </w:rPr>
                      <m:t>2</m:t>
                    </m:r>
                  </m:sub>
                </m:sSub>
                <m:sSup>
                  <m:sSupPr>
                    <m:ctrlPr>
                      <w:rPr>
                        <w:rFonts w:ascii="Cambria Math" w:hAnsi="Cambria Math" w:cs="Arial"/>
                        <w:i/>
                        <w:szCs w:val="24"/>
                      </w:rPr>
                    </m:ctrlPr>
                  </m:sSupPr>
                  <m:e>
                    <m:r>
                      <w:rPr>
                        <w:rFonts w:ascii="Cambria Math" w:hAnsi="Cambria Math" w:cs="Arial"/>
                        <w:szCs w:val="24"/>
                      </w:rPr>
                      <m:t>x</m:t>
                    </m:r>
                  </m:e>
                  <m:sup>
                    <m:r>
                      <w:rPr>
                        <w:rFonts w:ascii="Cambria Math" w:hAnsi="Cambria Math" w:cs="Arial"/>
                        <w:szCs w:val="24"/>
                      </w:rPr>
                      <m:t>2</m:t>
                    </m:r>
                  </m:sup>
                </m:sSup>
                <m:r>
                  <w:rPr>
                    <w:rFonts w:ascii="Cambria Math" w:hAnsi="Cambria Math" w:cs="Arial"/>
                    <w:szCs w:val="24"/>
                  </w:rPr>
                  <m:t xml:space="preserve">+ </m:t>
                </m:r>
                <m:sSub>
                  <m:sSubPr>
                    <m:ctrlPr>
                      <w:rPr>
                        <w:rFonts w:ascii="Cambria Math" w:hAnsi="Cambria Math" w:cs="Arial"/>
                        <w:i/>
                        <w:szCs w:val="24"/>
                      </w:rPr>
                    </m:ctrlPr>
                  </m:sSubPr>
                  <m:e>
                    <m:r>
                      <w:rPr>
                        <w:rFonts w:ascii="Cambria Math" w:hAnsi="Cambria Math" w:cs="Arial"/>
                        <w:szCs w:val="24"/>
                      </w:rPr>
                      <m:t>a</m:t>
                    </m:r>
                  </m:e>
                  <m:sub>
                    <m:r>
                      <w:rPr>
                        <w:rFonts w:ascii="Cambria Math" w:hAnsi="Cambria Math" w:cs="Arial"/>
                        <w:szCs w:val="24"/>
                      </w:rPr>
                      <m:t>3</m:t>
                    </m:r>
                  </m:sub>
                </m:sSub>
                <m:sSup>
                  <m:sSupPr>
                    <m:ctrlPr>
                      <w:rPr>
                        <w:rFonts w:ascii="Cambria Math" w:hAnsi="Cambria Math" w:cs="Arial"/>
                        <w:i/>
                        <w:szCs w:val="24"/>
                      </w:rPr>
                    </m:ctrlPr>
                  </m:sSupPr>
                  <m:e>
                    <m:r>
                      <w:rPr>
                        <w:rFonts w:ascii="Cambria Math" w:hAnsi="Cambria Math" w:cs="Arial"/>
                        <w:szCs w:val="24"/>
                      </w:rPr>
                      <m:t>x</m:t>
                    </m:r>
                  </m:e>
                  <m:sup>
                    <m:r>
                      <w:rPr>
                        <w:rFonts w:ascii="Cambria Math" w:hAnsi="Cambria Math" w:cs="Arial"/>
                        <w:szCs w:val="24"/>
                      </w:rPr>
                      <m:t>3</m:t>
                    </m:r>
                  </m:sup>
                </m:sSup>
                <m:r>
                  <w:rPr>
                    <w:rFonts w:ascii="Cambria Math" w:hAnsi="Cambria Math" w:cs="Arial"/>
                    <w:szCs w:val="24"/>
                  </w:rPr>
                  <m:t xml:space="preserve">+ </m:t>
                </m:r>
                <m:sSub>
                  <m:sSubPr>
                    <m:ctrlPr>
                      <w:rPr>
                        <w:rFonts w:ascii="Cambria Math" w:hAnsi="Cambria Math" w:cs="Arial"/>
                        <w:i/>
                        <w:szCs w:val="24"/>
                      </w:rPr>
                    </m:ctrlPr>
                  </m:sSubPr>
                  <m:e>
                    <m:r>
                      <w:rPr>
                        <w:rFonts w:ascii="Cambria Math" w:hAnsi="Cambria Math" w:cs="Arial"/>
                        <w:szCs w:val="24"/>
                      </w:rPr>
                      <m:t>a</m:t>
                    </m:r>
                  </m:e>
                  <m:sub>
                    <m:r>
                      <w:rPr>
                        <w:rFonts w:ascii="Cambria Math" w:hAnsi="Cambria Math" w:cs="Arial"/>
                        <w:szCs w:val="24"/>
                      </w:rPr>
                      <m:t>4</m:t>
                    </m:r>
                  </m:sub>
                </m:sSub>
                <m:sSup>
                  <m:sSupPr>
                    <m:ctrlPr>
                      <w:rPr>
                        <w:rFonts w:ascii="Cambria Math" w:hAnsi="Cambria Math" w:cs="Arial"/>
                        <w:i/>
                        <w:szCs w:val="24"/>
                      </w:rPr>
                    </m:ctrlPr>
                  </m:sSupPr>
                  <m:e>
                    <m:r>
                      <w:rPr>
                        <w:rFonts w:ascii="Cambria Math" w:hAnsi="Cambria Math" w:cs="Arial"/>
                        <w:szCs w:val="24"/>
                      </w:rPr>
                      <m:t>x</m:t>
                    </m:r>
                  </m:e>
                  <m:sup>
                    <m:r>
                      <w:rPr>
                        <w:rFonts w:ascii="Cambria Math" w:hAnsi="Cambria Math" w:cs="Arial"/>
                        <w:szCs w:val="24"/>
                      </w:rPr>
                      <m:t>4</m:t>
                    </m:r>
                  </m:sup>
                </m:sSup>
                <m:r>
                  <w:rPr>
                    <w:rFonts w:ascii="Cambria Math" w:hAnsi="Cambria Math" w:cs="Arial"/>
                    <w:szCs w:val="24"/>
                  </w:rPr>
                  <m:t>,</m:t>
                </m:r>
              </m:oMath>
            </m:oMathPara>
          </w:p>
        </w:tc>
        <w:tc>
          <w:tcPr>
            <w:tcW w:w="510" w:type="dxa"/>
            <w:shd w:val="clear" w:color="auto" w:fill="auto"/>
            <w:vAlign w:val="center"/>
          </w:tcPr>
          <w:p w14:paraId="6F08532C" w14:textId="0730F02E" w:rsidR="00001BEA" w:rsidRPr="0049479C" w:rsidRDefault="00001BEA" w:rsidP="00D154D4">
            <w:pPr>
              <w:jc w:val="right"/>
              <w:rPr>
                <w:szCs w:val="24"/>
              </w:rPr>
            </w:pPr>
            <w:r w:rsidRPr="0049479C">
              <w:rPr>
                <w:szCs w:val="24"/>
              </w:rPr>
              <w:t>(</w:t>
            </w:r>
            <w:r>
              <w:rPr>
                <w:szCs w:val="24"/>
              </w:rPr>
              <w:t>2</w:t>
            </w:r>
            <w:r w:rsidRPr="0049479C">
              <w:rPr>
                <w:szCs w:val="24"/>
              </w:rPr>
              <w:t>)</w:t>
            </w:r>
          </w:p>
        </w:tc>
      </w:tr>
    </w:tbl>
    <w:p w14:paraId="167D6CEB" w14:textId="77777777" w:rsidR="00001BEA" w:rsidRDefault="00001BEA" w:rsidP="00B63A35">
      <w:pPr>
        <w:spacing w:after="120"/>
        <w:ind w:firstLine="284"/>
        <w:rPr>
          <w:szCs w:val="24"/>
          <w:lang w:val="pt-BR"/>
        </w:rPr>
      </w:pPr>
    </w:p>
    <w:p w14:paraId="510B5E6F" w14:textId="4A55B20A" w:rsidR="0037173C" w:rsidRDefault="0037173C" w:rsidP="0037173C">
      <w:pPr>
        <w:rPr>
          <w:szCs w:val="24"/>
          <w:lang w:val="pt-BR"/>
        </w:rPr>
      </w:pPr>
      <w:r w:rsidRPr="0037173C">
        <w:rPr>
          <w:szCs w:val="24"/>
          <w:lang w:val="pt-BR"/>
        </w:rPr>
        <w:t xml:space="preserve">em que </w:t>
      </w:r>
      <w:r w:rsidRPr="0037173C">
        <w:rPr>
          <w:rFonts w:ascii="Cambria Math" w:hAnsi="Cambria Math" w:cs="Cambria Math"/>
          <w:szCs w:val="24"/>
          <w:lang w:val="pt-BR"/>
        </w:rPr>
        <w:t>𝑥</w:t>
      </w:r>
      <w:r w:rsidRPr="0037173C">
        <w:rPr>
          <w:szCs w:val="24"/>
          <w:lang w:val="pt-BR"/>
        </w:rPr>
        <w:t xml:space="preserve"> corresponde ao investimento. A qualidade do ajuste foi obtida utilizando o valor da Função Gamma Incompleta</w:t>
      </w:r>
      <w:r>
        <w:rPr>
          <w:szCs w:val="24"/>
          <w:lang w:val="pt-BR"/>
        </w:rPr>
        <w:t xml:space="preserve"> </w:t>
      </w:r>
      <w:r>
        <w:rPr>
          <w:szCs w:val="24"/>
          <w:lang w:val="pt-BR"/>
        </w:rPr>
        <w:fldChar w:fldCharType="begin"/>
      </w:r>
      <w:r w:rsidR="00071F62">
        <w:rPr>
          <w:szCs w:val="24"/>
          <w:lang w:val="pt-BR"/>
        </w:rPr>
        <w:instrText xml:space="preserve"> ADDIN ZOTERO_ITEM CSL_CITATION {"citationID":"ZET8UcZM","properties":{"formattedCitation":"(PRESS, 2007)","plainCitation":"(PRESS, 2007)","dontUpdate":true,"noteIndex":0},"citationItems":[{"id":2186,"uris":["http://zotero.org/users/6746406/items/SYYQYF9T"],"itemData":{"id":2186,"type":"book","collection-number":"1","collection-title":"Fortran numerical recipes","edition":"2. ed., repr., corr. to software version 2.10","event-place":"Cambridge","ISBN":"978-0-521-43064-7","language":"en","number-of-pages":"933","publisher":"Cambridge University Press","publisher-place":"Cambridge","source":"K10plus ISBN","title":"Numerical recipes in Fortran 77: the art of scientific computing. Modeling of Data - Chap 15","title-short":"Numerical recipes in Fortran 77","editor":[{"family":"Press","given":"William H."}],"issued":{"date-parts":[["2007"]]}}}],"schema":"https://github.com/citation-style-language/schema/raw/master/csl-citation.json"} </w:instrText>
      </w:r>
      <w:r>
        <w:rPr>
          <w:szCs w:val="24"/>
          <w:lang w:val="pt-BR"/>
        </w:rPr>
        <w:fldChar w:fldCharType="separate"/>
      </w:r>
      <w:r w:rsidRPr="0037173C">
        <w:rPr>
          <w:lang w:val="pt-BR"/>
        </w:rPr>
        <w:t>(P</w:t>
      </w:r>
      <w:r>
        <w:rPr>
          <w:lang w:val="pt-BR"/>
        </w:rPr>
        <w:t>ress</w:t>
      </w:r>
      <w:r w:rsidRPr="0037173C">
        <w:rPr>
          <w:lang w:val="pt-BR"/>
        </w:rPr>
        <w:t>, 2007)</w:t>
      </w:r>
      <w:r>
        <w:rPr>
          <w:szCs w:val="24"/>
          <w:lang w:val="pt-BR"/>
        </w:rPr>
        <w:fldChar w:fldCharType="end"/>
      </w:r>
      <w:r w:rsidRPr="0037173C">
        <w:rPr>
          <w:szCs w:val="24"/>
          <w:lang w:val="pt-BR"/>
        </w:rPr>
        <w:t>.</w:t>
      </w:r>
    </w:p>
    <w:p w14:paraId="5C7A6B60" w14:textId="77777777" w:rsidR="00832FC6" w:rsidRDefault="00832FC6" w:rsidP="0037173C">
      <w:pPr>
        <w:rPr>
          <w:szCs w:val="24"/>
          <w:lang w:val="pt-BR"/>
        </w:rPr>
      </w:pPr>
    </w:p>
    <w:p w14:paraId="5BE3DC41" w14:textId="27D0BD7C" w:rsidR="0037173C" w:rsidRDefault="00832FC6" w:rsidP="00C60059">
      <w:pPr>
        <w:spacing w:after="120"/>
        <w:ind w:firstLine="284"/>
        <w:rPr>
          <w:szCs w:val="24"/>
          <w:lang w:val="pt-BR"/>
        </w:rPr>
      </w:pPr>
      <w:r>
        <w:rPr>
          <w:szCs w:val="24"/>
          <w:lang w:val="pt-BR"/>
        </w:rPr>
        <w:lastRenderedPageBreak/>
        <w:t xml:space="preserve">As </w:t>
      </w:r>
      <w:r w:rsidR="001F2667">
        <w:rPr>
          <w:szCs w:val="24"/>
          <w:lang w:val="pt-BR"/>
        </w:rPr>
        <w:t>F</w:t>
      </w:r>
      <w:r>
        <w:rPr>
          <w:szCs w:val="24"/>
          <w:lang w:val="pt-BR"/>
        </w:rPr>
        <w:t xml:space="preserve">iguras 1, 2, 3, 4 e 5 representam o ajuste linear dos dados representados nas </w:t>
      </w:r>
      <w:r w:rsidR="001F2667">
        <w:rPr>
          <w:szCs w:val="24"/>
          <w:lang w:val="pt-BR"/>
        </w:rPr>
        <w:t>T</w:t>
      </w:r>
      <w:r>
        <w:rPr>
          <w:szCs w:val="24"/>
          <w:lang w:val="pt-BR"/>
        </w:rPr>
        <w:t>abelas 1, 2, 3, 4 e 5</w:t>
      </w:r>
      <w:r w:rsidR="001F2667">
        <w:rPr>
          <w:szCs w:val="24"/>
          <w:lang w:val="pt-BR"/>
        </w:rPr>
        <w:t>,</w:t>
      </w:r>
      <w:r>
        <w:rPr>
          <w:szCs w:val="24"/>
          <w:lang w:val="pt-BR"/>
        </w:rPr>
        <w:t xml:space="preserve"> respectivamente.</w:t>
      </w:r>
      <w:r w:rsidR="002F66A3">
        <w:rPr>
          <w:szCs w:val="24"/>
          <w:lang w:val="pt-BR"/>
        </w:rPr>
        <w:t xml:space="preserve"> </w:t>
      </w:r>
      <w:r w:rsidR="00944AB3" w:rsidRPr="00944AB3">
        <w:rPr>
          <w:szCs w:val="24"/>
          <w:lang w:val="pt-BR"/>
        </w:rPr>
        <w:t xml:space="preserve">Segundo o resultado gráfico ilustrado na </w:t>
      </w:r>
      <w:r w:rsidR="001F2667">
        <w:rPr>
          <w:szCs w:val="24"/>
          <w:lang w:val="pt-BR"/>
        </w:rPr>
        <w:t>F</w:t>
      </w:r>
      <w:r w:rsidR="00944AB3" w:rsidRPr="00944AB3">
        <w:rPr>
          <w:szCs w:val="24"/>
          <w:lang w:val="pt-BR"/>
        </w:rPr>
        <w:t>igura 1, pode ser observado que o aumento no Investimento da Educação tem impactos sobre a TFCA, e que para investimentos acima de R$ 4</w:t>
      </w:r>
      <w:r w:rsidR="00133340">
        <w:rPr>
          <w:szCs w:val="24"/>
          <w:lang w:val="pt-BR"/>
        </w:rPr>
        <w:t>5</w:t>
      </w:r>
      <w:r w:rsidR="00944AB3" w:rsidRPr="00944AB3">
        <w:rPr>
          <w:szCs w:val="24"/>
          <w:lang w:val="pt-BR"/>
        </w:rPr>
        <w:t xml:space="preserve">0 </w:t>
      </w:r>
      <w:r w:rsidR="009B7D07">
        <w:rPr>
          <w:szCs w:val="24"/>
          <w:lang w:val="pt-BR"/>
        </w:rPr>
        <w:t>m</w:t>
      </w:r>
      <w:r w:rsidR="00944AB3" w:rsidRPr="00944AB3">
        <w:rPr>
          <w:szCs w:val="24"/>
          <w:lang w:val="pt-BR"/>
        </w:rPr>
        <w:t xml:space="preserve">ilhões, </w:t>
      </w:r>
      <w:r w:rsidR="00133340">
        <w:rPr>
          <w:szCs w:val="24"/>
          <w:lang w:val="pt-BR"/>
        </w:rPr>
        <w:t>o ajuste</w:t>
      </w:r>
      <w:r w:rsidR="00944AB3" w:rsidRPr="00944AB3">
        <w:rPr>
          <w:szCs w:val="24"/>
          <w:lang w:val="pt-BR"/>
        </w:rPr>
        <w:t xml:space="preserve"> </w:t>
      </w:r>
      <w:r w:rsidR="00133340">
        <w:rPr>
          <w:szCs w:val="24"/>
          <w:lang w:val="pt-BR"/>
        </w:rPr>
        <w:t xml:space="preserve">extrapola </w:t>
      </w:r>
      <w:r w:rsidR="00944AB3" w:rsidRPr="00944AB3">
        <w:rPr>
          <w:szCs w:val="24"/>
          <w:lang w:val="pt-BR"/>
        </w:rPr>
        <w:t>a</w:t>
      </w:r>
      <w:r w:rsidR="00133340">
        <w:rPr>
          <w:szCs w:val="24"/>
          <w:lang w:val="pt-BR"/>
        </w:rPr>
        <w:t xml:space="preserve"> um valor próximo</w:t>
      </w:r>
      <w:r w:rsidR="00944AB3" w:rsidRPr="00944AB3">
        <w:rPr>
          <w:szCs w:val="24"/>
          <w:lang w:val="pt-BR"/>
        </w:rPr>
        <w:t xml:space="preserve"> de zero</w:t>
      </w:r>
      <w:r w:rsidR="00133340">
        <w:rPr>
          <w:szCs w:val="24"/>
          <w:lang w:val="pt-BR"/>
        </w:rPr>
        <w:t>,</w:t>
      </w:r>
      <w:r w:rsidR="009B7D07">
        <w:rPr>
          <w:szCs w:val="24"/>
          <w:lang w:val="pt-BR"/>
        </w:rPr>
        <w:t xml:space="preserve"> considerando os valores atuais de inflação</w:t>
      </w:r>
      <w:r w:rsidR="00944AB3" w:rsidRPr="00944AB3">
        <w:rPr>
          <w:szCs w:val="24"/>
          <w:lang w:val="pt-BR"/>
        </w:rPr>
        <w:t>.</w:t>
      </w:r>
      <w:r w:rsidR="00133340">
        <w:rPr>
          <w:szCs w:val="24"/>
          <w:lang w:val="pt-BR"/>
        </w:rPr>
        <w:t xml:space="preserve"> Apesar disso, a partir de </w:t>
      </w:r>
      <w:r w:rsidR="00133340" w:rsidRPr="00944AB3">
        <w:rPr>
          <w:szCs w:val="24"/>
          <w:lang w:val="pt-BR"/>
        </w:rPr>
        <w:t>R$ 4</w:t>
      </w:r>
      <w:r w:rsidR="00133340">
        <w:rPr>
          <w:szCs w:val="24"/>
          <w:lang w:val="pt-BR"/>
        </w:rPr>
        <w:t>0</w:t>
      </w:r>
      <w:r w:rsidR="00133340" w:rsidRPr="00944AB3">
        <w:rPr>
          <w:szCs w:val="24"/>
          <w:lang w:val="pt-BR"/>
        </w:rPr>
        <w:t xml:space="preserve">0 </w:t>
      </w:r>
      <w:r w:rsidR="00133340">
        <w:rPr>
          <w:szCs w:val="24"/>
          <w:lang w:val="pt-BR"/>
        </w:rPr>
        <w:t>m</w:t>
      </w:r>
      <w:r w:rsidR="00133340" w:rsidRPr="00944AB3">
        <w:rPr>
          <w:szCs w:val="24"/>
          <w:lang w:val="pt-BR"/>
        </w:rPr>
        <w:t>ilhões</w:t>
      </w:r>
      <w:r w:rsidR="00133340">
        <w:rPr>
          <w:szCs w:val="24"/>
          <w:lang w:val="pt-BR"/>
        </w:rPr>
        <w:t>, a TFCA apresenta um valor de 0,5.</w:t>
      </w:r>
    </w:p>
    <w:p w14:paraId="73C466E5" w14:textId="728337D1" w:rsidR="0037173C" w:rsidRPr="000F5CC4" w:rsidRDefault="0037173C" w:rsidP="0037173C">
      <w:pPr>
        <w:spacing w:before="240" w:after="240"/>
        <w:jc w:val="center"/>
        <w:rPr>
          <w:sz w:val="20"/>
          <w:lang w:val="pt-BR"/>
        </w:rPr>
      </w:pPr>
      <w:r w:rsidRPr="000F5CC4">
        <w:rPr>
          <w:color w:val="000000"/>
          <w:sz w:val="20"/>
          <w:lang w:val="pt-BR"/>
        </w:rPr>
        <w:t xml:space="preserve">Tabela 1: </w:t>
      </w:r>
      <w:r w:rsidR="005111D7">
        <w:rPr>
          <w:color w:val="000000"/>
          <w:sz w:val="20"/>
          <w:lang w:val="pt-BR"/>
        </w:rPr>
        <w:t>Funções polinomiais para os investimentos em educação</w:t>
      </w:r>
    </w:p>
    <w:tbl>
      <w:tblPr>
        <w:tblW w:w="6066" w:type="dxa"/>
        <w:jc w:val="center"/>
        <w:tblBorders>
          <w:top w:val="single" w:sz="4" w:space="0" w:color="7F7F7F"/>
          <w:bottom w:val="single" w:sz="4" w:space="0" w:color="7F7F7F"/>
        </w:tblBorders>
        <w:tblLook w:val="04A0" w:firstRow="1" w:lastRow="0" w:firstColumn="1" w:lastColumn="0" w:noHBand="0" w:noVBand="1"/>
      </w:tblPr>
      <w:tblGrid>
        <w:gridCol w:w="2096"/>
        <w:gridCol w:w="3970"/>
      </w:tblGrid>
      <w:tr w:rsidR="0037173C" w:rsidRPr="005111D7" w14:paraId="0D3956D1" w14:textId="77777777" w:rsidTr="00D154D4">
        <w:trPr>
          <w:trHeight w:val="307"/>
          <w:jc w:val="center"/>
        </w:trPr>
        <w:tc>
          <w:tcPr>
            <w:tcW w:w="2096" w:type="dxa"/>
            <w:tcBorders>
              <w:top w:val="single" w:sz="12" w:space="0" w:color="auto"/>
              <w:bottom w:val="single" w:sz="12" w:space="0" w:color="auto"/>
            </w:tcBorders>
            <w:shd w:val="clear" w:color="auto" w:fill="auto"/>
            <w:noWrap/>
            <w:vAlign w:val="center"/>
            <w:hideMark/>
          </w:tcPr>
          <w:p w14:paraId="50AC5979" w14:textId="2BEEF26E" w:rsidR="0037173C" w:rsidRPr="005111D7" w:rsidRDefault="005111D7" w:rsidP="00D154D4">
            <w:pPr>
              <w:jc w:val="center"/>
              <w:rPr>
                <w:b/>
                <w:bCs/>
                <w:color w:val="000000"/>
                <w:szCs w:val="24"/>
              </w:rPr>
            </w:pPr>
            <w:r w:rsidRPr="005111D7">
              <w:rPr>
                <w:b/>
                <w:bCs/>
                <w:i/>
                <w:color w:val="000000"/>
                <w:szCs w:val="24"/>
              </w:rPr>
              <w:t>Parâmetros</w:t>
            </w:r>
          </w:p>
        </w:tc>
        <w:tc>
          <w:tcPr>
            <w:tcW w:w="3970" w:type="dxa"/>
            <w:tcBorders>
              <w:top w:val="single" w:sz="12" w:space="0" w:color="auto"/>
              <w:bottom w:val="single" w:sz="12" w:space="0" w:color="auto"/>
            </w:tcBorders>
            <w:shd w:val="clear" w:color="auto" w:fill="auto"/>
            <w:noWrap/>
            <w:vAlign w:val="center"/>
            <w:hideMark/>
          </w:tcPr>
          <w:p w14:paraId="7EF16194" w14:textId="3D8E2123" w:rsidR="0037173C" w:rsidRPr="005111D7" w:rsidRDefault="005111D7" w:rsidP="00D154D4">
            <w:pPr>
              <w:jc w:val="center"/>
              <w:rPr>
                <w:b/>
                <w:bCs/>
                <w:color w:val="000000"/>
                <w:szCs w:val="24"/>
              </w:rPr>
            </w:pPr>
            <w:r w:rsidRPr="005111D7">
              <w:rPr>
                <w:b/>
                <w:bCs/>
                <w:color w:val="000000"/>
                <w:szCs w:val="24"/>
              </w:rPr>
              <w:t>Tipo I</w:t>
            </w:r>
          </w:p>
        </w:tc>
      </w:tr>
      <w:tr w:rsidR="0037173C" w:rsidRPr="005111D7" w14:paraId="23A29FD5" w14:textId="77777777" w:rsidTr="00D154D4">
        <w:trPr>
          <w:trHeight w:val="307"/>
          <w:jc w:val="center"/>
        </w:trPr>
        <w:tc>
          <w:tcPr>
            <w:tcW w:w="2096" w:type="dxa"/>
            <w:tcBorders>
              <w:top w:val="single" w:sz="12" w:space="0" w:color="auto"/>
              <w:bottom w:val="single" w:sz="4" w:space="0" w:color="7F7F7F"/>
            </w:tcBorders>
            <w:shd w:val="clear" w:color="auto" w:fill="auto"/>
            <w:noWrap/>
            <w:vAlign w:val="center"/>
            <w:hideMark/>
          </w:tcPr>
          <w:p w14:paraId="6BC440B4" w14:textId="595B7641" w:rsidR="0037173C" w:rsidRPr="005111D7" w:rsidRDefault="003C5C89" w:rsidP="005111D7">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0</m:t>
                  </m:r>
                </m:sub>
              </m:sSub>
            </m:oMath>
            <w:r w:rsidR="005111D7" w:rsidRPr="005111D7">
              <w:rPr>
                <w:sz w:val="24"/>
                <w:szCs w:val="24"/>
              </w:rPr>
              <w:t>±</w:t>
            </w:r>
            <w:r w:rsidR="005111D7"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0</m:t>
                  </m:r>
                </m:sub>
              </m:sSub>
            </m:oMath>
          </w:p>
        </w:tc>
        <w:tc>
          <w:tcPr>
            <w:tcW w:w="3970" w:type="dxa"/>
            <w:tcBorders>
              <w:top w:val="single" w:sz="12" w:space="0" w:color="auto"/>
              <w:bottom w:val="single" w:sz="4" w:space="0" w:color="7F7F7F"/>
            </w:tcBorders>
            <w:shd w:val="clear" w:color="auto" w:fill="auto"/>
            <w:noWrap/>
            <w:vAlign w:val="center"/>
            <w:hideMark/>
          </w:tcPr>
          <w:p w14:paraId="62F31CBE" w14:textId="50408C71" w:rsidR="0037173C" w:rsidRPr="003A5942" w:rsidRDefault="003A5942" w:rsidP="00D154D4">
            <w:pPr>
              <w:jc w:val="center"/>
              <w:rPr>
                <w:color w:val="000000"/>
                <w:sz w:val="22"/>
                <w:szCs w:val="22"/>
              </w:rPr>
            </w:pPr>
            <m:oMathPara>
              <m:oMath>
                <m:r>
                  <w:rPr>
                    <w:rFonts w:ascii="Cambria Math" w:hAnsi="Cambria Math"/>
                    <w:color w:val="000000"/>
                    <w:sz w:val="22"/>
                    <w:szCs w:val="22"/>
                  </w:rPr>
                  <m:t xml:space="preserve">2,04 </m:t>
                </m:r>
                <m:r>
                  <m:rPr>
                    <m:sty m:val="p"/>
                  </m:rPr>
                  <w:rPr>
                    <w:rFonts w:ascii="Cambria Math" w:hAnsi="Cambria Math"/>
                    <w:color w:val="000000"/>
                    <w:sz w:val="22"/>
                    <w:szCs w:val="22"/>
                  </w:rPr>
                  <m:t>± 0,26</m:t>
                </m:r>
              </m:oMath>
            </m:oMathPara>
          </w:p>
        </w:tc>
      </w:tr>
      <w:tr w:rsidR="0037173C" w:rsidRPr="005111D7" w14:paraId="12C73723" w14:textId="77777777" w:rsidTr="00D154D4">
        <w:trPr>
          <w:trHeight w:val="307"/>
          <w:jc w:val="center"/>
        </w:trPr>
        <w:tc>
          <w:tcPr>
            <w:tcW w:w="2096" w:type="dxa"/>
            <w:shd w:val="clear" w:color="auto" w:fill="auto"/>
            <w:noWrap/>
            <w:vAlign w:val="center"/>
            <w:hideMark/>
          </w:tcPr>
          <w:p w14:paraId="728E802F" w14:textId="4CD03E76" w:rsidR="005111D7" w:rsidRPr="005111D7" w:rsidRDefault="003C5C89" w:rsidP="005111D7">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1</m:t>
                  </m:r>
                </m:sub>
              </m:sSub>
            </m:oMath>
            <w:r w:rsidR="005111D7" w:rsidRPr="005111D7">
              <w:rPr>
                <w:sz w:val="24"/>
                <w:szCs w:val="24"/>
              </w:rPr>
              <w:t>±</w:t>
            </w:r>
            <w:r w:rsidR="005111D7"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1</m:t>
                  </m:r>
                </m:sub>
              </m:sSub>
            </m:oMath>
          </w:p>
          <w:p w14:paraId="30DA7D0E" w14:textId="6EE216B8" w:rsidR="0037173C" w:rsidRPr="005111D7" w:rsidRDefault="0037173C" w:rsidP="00D154D4">
            <w:pPr>
              <w:jc w:val="center"/>
              <w:rPr>
                <w:color w:val="000000"/>
                <w:szCs w:val="24"/>
              </w:rPr>
            </w:pPr>
          </w:p>
        </w:tc>
        <w:tc>
          <w:tcPr>
            <w:tcW w:w="3970" w:type="dxa"/>
            <w:shd w:val="clear" w:color="auto" w:fill="auto"/>
            <w:noWrap/>
            <w:vAlign w:val="center"/>
            <w:hideMark/>
          </w:tcPr>
          <w:p w14:paraId="48FC5149" w14:textId="16D67EC0" w:rsidR="0037173C" w:rsidRPr="003A5942" w:rsidRDefault="003A5942" w:rsidP="00D154D4">
            <w:pPr>
              <w:jc w:val="center"/>
              <w:rPr>
                <w:color w:val="000000"/>
                <w:sz w:val="22"/>
                <w:szCs w:val="22"/>
              </w:rPr>
            </w:pPr>
            <m:oMath>
              <m:r>
                <w:rPr>
                  <w:rFonts w:ascii="Cambria Math" w:hAnsi="Cambria Math"/>
                  <w:color w:val="000000"/>
                  <w:sz w:val="22"/>
                  <w:szCs w:val="22"/>
                </w:rPr>
                <m:t xml:space="preserve">-2,00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-2</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2,39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-3</m:t>
                  </m:r>
                </m:sup>
              </m:sSup>
            </m:oMath>
            <w:r w:rsidRPr="003A5942">
              <w:rPr>
                <w:color w:val="000000"/>
                <w:sz w:val="22"/>
                <w:szCs w:val="22"/>
              </w:rPr>
              <w:t xml:space="preserve"> </w:t>
            </w:r>
          </w:p>
        </w:tc>
      </w:tr>
      <w:tr w:rsidR="003A5942" w:rsidRPr="005111D7" w14:paraId="3E403FF0" w14:textId="77777777" w:rsidTr="00D154D4">
        <w:trPr>
          <w:trHeight w:val="307"/>
          <w:jc w:val="center"/>
        </w:trPr>
        <w:tc>
          <w:tcPr>
            <w:tcW w:w="2096" w:type="dxa"/>
            <w:tcBorders>
              <w:top w:val="single" w:sz="4" w:space="0" w:color="7F7F7F"/>
              <w:bottom w:val="single" w:sz="4" w:space="0" w:color="7F7F7F"/>
            </w:tcBorders>
            <w:shd w:val="clear" w:color="auto" w:fill="auto"/>
            <w:noWrap/>
            <w:vAlign w:val="center"/>
          </w:tcPr>
          <w:p w14:paraId="7F9AF67A" w14:textId="2F9C2480" w:rsidR="003A5942" w:rsidRPr="005111D7" w:rsidRDefault="003C5C89" w:rsidP="003A5942">
            <w:pPr>
              <w:pStyle w:val="TableParagraph"/>
              <w:spacing w:before="113" w:line="216" w:lineRule="exact"/>
              <w:ind w:right="131"/>
              <w:jc w:val="center"/>
              <w:rPr>
                <w:color w:val="000000"/>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2</m:t>
                  </m:r>
                </m:sub>
              </m:sSub>
            </m:oMath>
            <w:r w:rsidR="003A5942" w:rsidRPr="005111D7">
              <w:rPr>
                <w:sz w:val="24"/>
                <w:szCs w:val="24"/>
              </w:rPr>
              <w:t>±</w:t>
            </w:r>
            <w:r w:rsidR="003A5942"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2</m:t>
                  </m:r>
                </m:sub>
              </m:sSub>
            </m:oMath>
          </w:p>
        </w:tc>
        <w:tc>
          <w:tcPr>
            <w:tcW w:w="3970" w:type="dxa"/>
            <w:tcBorders>
              <w:top w:val="single" w:sz="4" w:space="0" w:color="7F7F7F"/>
              <w:bottom w:val="single" w:sz="4" w:space="0" w:color="7F7F7F"/>
            </w:tcBorders>
            <w:shd w:val="clear" w:color="auto" w:fill="auto"/>
            <w:noWrap/>
            <w:vAlign w:val="center"/>
          </w:tcPr>
          <w:p w14:paraId="76EEB26F" w14:textId="60122F86" w:rsidR="003A5942" w:rsidRPr="003A5942" w:rsidRDefault="003A5942" w:rsidP="003A5942">
            <w:pPr>
              <w:jc w:val="center"/>
              <w:rPr>
                <w:color w:val="000000"/>
                <w:sz w:val="22"/>
                <w:szCs w:val="22"/>
              </w:rPr>
            </w:pPr>
            <m:oMath>
              <m:r>
                <w:rPr>
                  <w:rFonts w:ascii="Cambria Math" w:hAnsi="Cambria Math"/>
                  <w:color w:val="000000"/>
                  <w:sz w:val="22"/>
                  <w:szCs w:val="22"/>
                </w:rPr>
                <m:t xml:space="preserve">8,34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-5</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6,16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-6</m:t>
                  </m:r>
                </m:sup>
              </m:sSup>
            </m:oMath>
            <w:r w:rsidRPr="003A5942">
              <w:rPr>
                <w:color w:val="000000"/>
                <w:sz w:val="22"/>
                <w:szCs w:val="22"/>
              </w:rPr>
              <w:t xml:space="preserve"> </w:t>
            </w:r>
          </w:p>
        </w:tc>
      </w:tr>
      <w:tr w:rsidR="003A5942" w:rsidRPr="005111D7" w14:paraId="74AEFA0F" w14:textId="77777777" w:rsidTr="00D154D4">
        <w:trPr>
          <w:trHeight w:val="307"/>
          <w:jc w:val="center"/>
        </w:trPr>
        <w:tc>
          <w:tcPr>
            <w:tcW w:w="2096" w:type="dxa"/>
            <w:shd w:val="clear" w:color="auto" w:fill="auto"/>
            <w:noWrap/>
            <w:vAlign w:val="center"/>
            <w:hideMark/>
          </w:tcPr>
          <w:p w14:paraId="6C164DC4" w14:textId="35E040F2" w:rsidR="003A5942" w:rsidRPr="005111D7" w:rsidRDefault="003C5C89" w:rsidP="003A5942">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3</m:t>
                  </m:r>
                </m:sub>
              </m:sSub>
            </m:oMath>
            <w:r w:rsidR="003A5942" w:rsidRPr="005111D7">
              <w:rPr>
                <w:sz w:val="24"/>
                <w:szCs w:val="24"/>
              </w:rPr>
              <w:t>±</w:t>
            </w:r>
            <w:r w:rsidR="003A5942"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3</m:t>
                  </m:r>
                </m:sub>
              </m:sSub>
            </m:oMath>
          </w:p>
          <w:p w14:paraId="41E1BE84" w14:textId="07A8A6DE" w:rsidR="003A5942" w:rsidRPr="005111D7" w:rsidRDefault="003A5942" w:rsidP="003A5942">
            <w:pPr>
              <w:jc w:val="center"/>
              <w:rPr>
                <w:color w:val="000000"/>
                <w:szCs w:val="24"/>
              </w:rPr>
            </w:pPr>
          </w:p>
        </w:tc>
        <w:tc>
          <w:tcPr>
            <w:tcW w:w="3970" w:type="dxa"/>
            <w:shd w:val="clear" w:color="auto" w:fill="auto"/>
            <w:noWrap/>
            <w:vAlign w:val="center"/>
            <w:hideMark/>
          </w:tcPr>
          <w:p w14:paraId="0C56B01D" w14:textId="59A8260D" w:rsidR="003A5942" w:rsidRPr="003A5942" w:rsidRDefault="003A5942" w:rsidP="003A5942">
            <w:pPr>
              <w:jc w:val="center"/>
              <w:rPr>
                <w:color w:val="000000"/>
                <w:sz w:val="22"/>
                <w:szCs w:val="22"/>
              </w:rPr>
            </w:pPr>
            <m:oMath>
              <m:r>
                <w:rPr>
                  <w:rFonts w:ascii="Cambria Math" w:hAnsi="Cambria Math"/>
                  <w:color w:val="000000"/>
                  <w:sz w:val="22"/>
                  <w:szCs w:val="22"/>
                </w:rPr>
                <m:t xml:space="preserve">-1,10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-7</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1,83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-8</m:t>
                  </m:r>
                </m:sup>
              </m:sSup>
            </m:oMath>
            <w:r w:rsidRPr="003A5942">
              <w:rPr>
                <w:color w:val="000000"/>
                <w:sz w:val="22"/>
                <w:szCs w:val="22"/>
              </w:rPr>
              <w:t xml:space="preserve"> </w:t>
            </w:r>
          </w:p>
        </w:tc>
      </w:tr>
      <w:tr w:rsidR="003A5942" w:rsidRPr="005111D7" w14:paraId="57335A76" w14:textId="77777777" w:rsidTr="00D154D4">
        <w:trPr>
          <w:trHeight w:val="307"/>
          <w:jc w:val="center"/>
        </w:trPr>
        <w:tc>
          <w:tcPr>
            <w:tcW w:w="2096" w:type="dxa"/>
            <w:tcBorders>
              <w:top w:val="single" w:sz="4" w:space="0" w:color="7F7F7F"/>
              <w:bottom w:val="single" w:sz="4" w:space="0" w:color="7F7F7F"/>
            </w:tcBorders>
            <w:shd w:val="clear" w:color="auto" w:fill="auto"/>
            <w:noWrap/>
            <w:vAlign w:val="center"/>
            <w:hideMark/>
          </w:tcPr>
          <w:p w14:paraId="6073DFDF" w14:textId="2F43C8D5" w:rsidR="003A5942" w:rsidRPr="005111D7" w:rsidRDefault="003C5C89" w:rsidP="003A5942">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4</m:t>
                  </m:r>
                </m:sub>
              </m:sSub>
            </m:oMath>
            <w:r w:rsidR="003A5942" w:rsidRPr="005111D7">
              <w:rPr>
                <w:sz w:val="24"/>
                <w:szCs w:val="24"/>
              </w:rPr>
              <w:t>±</w:t>
            </w:r>
            <w:r w:rsidR="003A5942"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4</m:t>
                  </m:r>
                </m:sub>
              </m:sSub>
            </m:oMath>
          </w:p>
          <w:p w14:paraId="77BC141F" w14:textId="77284F37" w:rsidR="003A5942" w:rsidRPr="005111D7" w:rsidRDefault="003A5942" w:rsidP="003A5942">
            <w:pPr>
              <w:jc w:val="center"/>
              <w:rPr>
                <w:color w:val="000000"/>
                <w:szCs w:val="24"/>
              </w:rPr>
            </w:pPr>
          </w:p>
        </w:tc>
        <w:tc>
          <w:tcPr>
            <w:tcW w:w="3970" w:type="dxa"/>
            <w:tcBorders>
              <w:top w:val="single" w:sz="4" w:space="0" w:color="7F7F7F"/>
              <w:bottom w:val="single" w:sz="4" w:space="0" w:color="7F7F7F"/>
            </w:tcBorders>
            <w:shd w:val="clear" w:color="auto" w:fill="auto"/>
            <w:noWrap/>
            <w:vAlign w:val="center"/>
            <w:hideMark/>
          </w:tcPr>
          <w:p w14:paraId="055CE113" w14:textId="50AEC4B6" w:rsidR="003A5942" w:rsidRPr="003A5942" w:rsidRDefault="003A5942" w:rsidP="003A5942">
            <w:pPr>
              <w:jc w:val="center"/>
              <w:rPr>
                <w:color w:val="000000"/>
                <w:sz w:val="22"/>
                <w:szCs w:val="22"/>
              </w:rPr>
            </w:pPr>
            <w:r>
              <w:rPr>
                <w:color w:val="000000"/>
                <w:sz w:val="22"/>
                <w:szCs w:val="22"/>
              </w:rPr>
              <w:t>---</w:t>
            </w:r>
          </w:p>
        </w:tc>
      </w:tr>
      <w:tr w:rsidR="003A5942" w:rsidRPr="005111D7" w14:paraId="126BE0BB" w14:textId="77777777" w:rsidTr="00D154D4">
        <w:trPr>
          <w:trHeight w:val="307"/>
          <w:jc w:val="center"/>
        </w:trPr>
        <w:tc>
          <w:tcPr>
            <w:tcW w:w="2096" w:type="dxa"/>
            <w:tcBorders>
              <w:top w:val="single" w:sz="4" w:space="0" w:color="7F7F7F"/>
              <w:bottom w:val="single" w:sz="12" w:space="0" w:color="auto"/>
            </w:tcBorders>
            <w:shd w:val="clear" w:color="auto" w:fill="auto"/>
            <w:noWrap/>
            <w:vAlign w:val="center"/>
            <w:hideMark/>
          </w:tcPr>
          <w:p w14:paraId="6822426C" w14:textId="4081CBCE" w:rsidR="003A5942" w:rsidRPr="005111D7" w:rsidRDefault="003C5C89" w:rsidP="003A5942">
            <w:pPr>
              <w:jc w:val="center"/>
              <w:rPr>
                <w:color w:val="000000"/>
                <w:szCs w:val="24"/>
              </w:rPr>
            </w:pPr>
            <m:oMath>
              <m:sSubSup>
                <m:sSubSupPr>
                  <m:ctrlPr>
                    <w:rPr>
                      <w:rFonts w:ascii="Cambria Math" w:hAnsi="Cambria Math"/>
                      <w:i/>
                      <w:color w:val="000000"/>
                      <w:szCs w:val="24"/>
                    </w:rPr>
                  </m:ctrlPr>
                </m:sSubSupPr>
                <m:e>
                  <m:r>
                    <w:rPr>
                      <w:rFonts w:ascii="Cambria Math" w:hAnsi="Cambria Math"/>
                      <w:color w:val="000000"/>
                      <w:szCs w:val="24"/>
                    </w:rPr>
                    <m:t>x</m:t>
                  </m:r>
                </m:e>
                <m:sub>
                  <m:r>
                    <w:rPr>
                      <w:rFonts w:ascii="Cambria Math" w:hAnsi="Cambria Math"/>
                      <w:color w:val="000000"/>
                      <w:szCs w:val="24"/>
                    </w:rPr>
                    <m:t>min</m:t>
                  </m:r>
                </m:sub>
                <m:sup>
                  <m:r>
                    <w:rPr>
                      <w:rFonts w:ascii="Cambria Math" w:hAnsi="Cambria Math"/>
                      <w:color w:val="000000"/>
                      <w:szCs w:val="24"/>
                    </w:rPr>
                    <m:t>2</m:t>
                  </m:r>
                </m:sup>
              </m:sSubSup>
              <m:r>
                <w:rPr>
                  <w:rFonts w:ascii="Cambria Math" w:hAnsi="Cambria Math"/>
                  <w:color w:val="000000"/>
                  <w:szCs w:val="24"/>
                </w:rPr>
                <m:t xml:space="preserve"> ,</m:t>
              </m:r>
            </m:oMath>
            <w:r w:rsidR="003A5942" w:rsidRPr="005111D7">
              <w:rPr>
                <w:color w:val="000000"/>
                <w:szCs w:val="24"/>
              </w:rPr>
              <w:t xml:space="preserve"> </w:t>
            </w:r>
            <m:oMath>
              <m:r>
                <w:rPr>
                  <w:rFonts w:ascii="Cambria Math" w:hAnsi="Cambria Math"/>
                  <w:color w:val="000000"/>
                  <w:szCs w:val="24"/>
                </w:rPr>
                <m:t>Q(</m:t>
              </m:r>
              <m:f>
                <m:fPr>
                  <m:ctrlPr>
                    <w:rPr>
                      <w:rFonts w:ascii="Cambria Math" w:hAnsi="Cambria Math"/>
                      <w:i/>
                      <w:color w:val="000000"/>
                      <w:szCs w:val="24"/>
                    </w:rPr>
                  </m:ctrlPr>
                </m:fPr>
                <m:num>
                  <m:r>
                    <w:rPr>
                      <w:rFonts w:ascii="Cambria Math" w:hAnsi="Cambria Math"/>
                      <w:color w:val="000000"/>
                      <w:szCs w:val="24"/>
                    </w:rPr>
                    <m:t>ν</m:t>
                  </m:r>
                </m:num>
                <m:den>
                  <m:r>
                    <w:rPr>
                      <w:rFonts w:ascii="Cambria Math" w:hAnsi="Cambria Math"/>
                      <w:color w:val="000000"/>
                      <w:szCs w:val="24"/>
                    </w:rPr>
                    <m:t>2</m:t>
                  </m:r>
                </m:den>
              </m:f>
              <m:r>
                <w:rPr>
                  <w:rFonts w:ascii="Cambria Math" w:hAnsi="Cambria Math"/>
                  <w:color w:val="000000"/>
                  <w:szCs w:val="24"/>
                </w:rPr>
                <m:t xml:space="preserve"> , </m:t>
              </m:r>
              <m:f>
                <m:fPr>
                  <m:ctrlPr>
                    <w:rPr>
                      <w:rFonts w:ascii="Cambria Math" w:hAnsi="Cambria Math"/>
                      <w:i/>
                      <w:color w:val="000000"/>
                      <w:szCs w:val="24"/>
                    </w:rPr>
                  </m:ctrlPr>
                </m:fPr>
                <m:num>
                  <m:sSup>
                    <m:sSupPr>
                      <m:ctrlPr>
                        <w:rPr>
                          <w:rFonts w:ascii="Cambria Math" w:hAnsi="Cambria Math"/>
                          <w:i/>
                          <w:color w:val="000000"/>
                          <w:szCs w:val="24"/>
                        </w:rPr>
                      </m:ctrlPr>
                    </m:sSupPr>
                    <m:e>
                      <m:r>
                        <w:rPr>
                          <w:rFonts w:ascii="Cambria Math" w:hAnsi="Cambria Math"/>
                          <w:color w:val="000000"/>
                          <w:szCs w:val="24"/>
                        </w:rPr>
                        <m:t>x</m:t>
                      </m:r>
                    </m:e>
                    <m:sup>
                      <m:r>
                        <w:rPr>
                          <w:rFonts w:ascii="Cambria Math" w:hAnsi="Cambria Math"/>
                          <w:color w:val="000000"/>
                          <w:szCs w:val="24"/>
                        </w:rPr>
                        <m:t>2</m:t>
                      </m:r>
                    </m:sup>
                  </m:sSup>
                </m:num>
                <m:den>
                  <m:r>
                    <w:rPr>
                      <w:rFonts w:ascii="Cambria Math" w:hAnsi="Cambria Math"/>
                      <w:color w:val="000000"/>
                      <w:szCs w:val="24"/>
                    </w:rPr>
                    <m:t>2</m:t>
                  </m:r>
                </m:den>
              </m:f>
              <m:r>
                <w:rPr>
                  <w:rFonts w:ascii="Cambria Math" w:hAnsi="Cambria Math"/>
                  <w:color w:val="000000"/>
                  <w:szCs w:val="24"/>
                </w:rPr>
                <m:t xml:space="preserve"> )</m:t>
              </m:r>
            </m:oMath>
          </w:p>
        </w:tc>
        <w:tc>
          <w:tcPr>
            <w:tcW w:w="3970" w:type="dxa"/>
            <w:tcBorders>
              <w:top w:val="single" w:sz="4" w:space="0" w:color="7F7F7F"/>
              <w:bottom w:val="single" w:sz="12" w:space="0" w:color="auto"/>
            </w:tcBorders>
            <w:shd w:val="clear" w:color="auto" w:fill="auto"/>
            <w:noWrap/>
            <w:vAlign w:val="center"/>
            <w:hideMark/>
          </w:tcPr>
          <w:p w14:paraId="055B161C" w14:textId="761E6B2F" w:rsidR="003A5942" w:rsidRPr="003A5942" w:rsidRDefault="003A5942" w:rsidP="003A5942">
            <w:pPr>
              <w:jc w:val="center"/>
              <w:rPr>
                <w:color w:val="000000"/>
                <w:sz w:val="22"/>
                <w:szCs w:val="22"/>
              </w:rPr>
            </w:pPr>
            <m:oMath>
              <m:r>
                <w:rPr>
                  <w:rFonts w:ascii="Cambria Math" w:hAnsi="Cambria Math"/>
                  <w:color w:val="000000"/>
                  <w:sz w:val="20"/>
                </w:rPr>
                <m:t xml:space="preserve">9,32 × </m:t>
              </m:r>
              <m:sSup>
                <m:sSupPr>
                  <m:ctrlPr>
                    <w:rPr>
                      <w:rFonts w:ascii="Cambria Math" w:hAnsi="Cambria Math"/>
                      <w:i/>
                      <w:color w:val="000000"/>
                      <w:sz w:val="20"/>
                    </w:rPr>
                  </m:ctrlPr>
                </m:sSupPr>
                <m:e>
                  <m:r>
                    <w:rPr>
                      <w:rFonts w:ascii="Cambria Math" w:hAnsi="Cambria Math"/>
                      <w:color w:val="000000"/>
                      <w:sz w:val="20"/>
                    </w:rPr>
                    <m:t>10</m:t>
                  </m:r>
                </m:e>
                <m:sup>
                  <m:r>
                    <w:rPr>
                      <w:rFonts w:ascii="Cambria Math" w:hAnsi="Cambria Math"/>
                      <w:color w:val="000000"/>
                      <w:sz w:val="20"/>
                    </w:rPr>
                    <m:t>-2</m:t>
                  </m:r>
                </m:sup>
              </m:sSup>
              <m:r>
                <w:rPr>
                  <w:rFonts w:ascii="Cambria Math" w:hAnsi="Cambria Math"/>
                  <w:color w:val="000000"/>
                  <w:sz w:val="20"/>
                </w:rPr>
                <m:t xml:space="preserve"> ;</m:t>
              </m:r>
              <m:r>
                <m:rPr>
                  <m:sty m:val="p"/>
                </m:rPr>
                <w:rPr>
                  <w:rFonts w:ascii="Cambria Math" w:hAnsi="Cambria Math"/>
                  <w:color w:val="000000"/>
                  <w:sz w:val="20"/>
                </w:rPr>
                <m:t xml:space="preserve"> 1(</m:t>
              </m:r>
              <m:r>
                <m:rPr>
                  <m:sty m:val="p"/>
                </m:rPr>
                <w:rPr>
                  <w:rFonts w:ascii="Cambria Math" w:hAnsi="Cambria Math"/>
                  <w:sz w:val="20"/>
                  <w:szCs w:val="18"/>
                </w:rPr>
                <m:t>0.</m:t>
              </m:r>
              <m:r>
                <m:rPr>
                  <m:sty m:val="p"/>
                </m:rPr>
                <w:rPr>
                  <w:rFonts w:ascii="Cambria Math" w:hAnsi="Cambria Math"/>
                  <w:spacing w:val="-5"/>
                  <w:sz w:val="20"/>
                  <w:szCs w:val="18"/>
                </w:rPr>
                <m:t xml:space="preserve"> </m:t>
              </m:r>
              <m:r>
                <m:rPr>
                  <m:sty m:val="p"/>
                </m:rPr>
                <w:rPr>
                  <w:rFonts w:ascii="Cambria Math" w:hAnsi="Cambria Math"/>
                  <w:spacing w:val="-2"/>
                  <w:sz w:val="20"/>
                  <w:szCs w:val="18"/>
                </w:rPr>
                <m:t>99999999999992084)</m:t>
              </m:r>
            </m:oMath>
            <w:r w:rsidRPr="003A5942">
              <w:rPr>
                <w:color w:val="000000"/>
                <w:sz w:val="22"/>
                <w:szCs w:val="22"/>
              </w:rPr>
              <w:t xml:space="preserve"> </w:t>
            </w:r>
          </w:p>
        </w:tc>
      </w:tr>
    </w:tbl>
    <w:p w14:paraId="4F990E05" w14:textId="0F160920" w:rsidR="0037173C" w:rsidRDefault="0037173C" w:rsidP="0037173C">
      <w:pPr>
        <w:spacing w:after="240"/>
        <w:ind w:left="709"/>
        <w:rPr>
          <w:noProof/>
          <w:sz w:val="20"/>
        </w:rPr>
      </w:pPr>
      <w:r w:rsidRPr="0049479C">
        <w:rPr>
          <w:sz w:val="20"/>
        </w:rPr>
        <w:t xml:space="preserve">Fonte: </w:t>
      </w:r>
      <w:r w:rsidR="005111D7">
        <w:rPr>
          <w:sz w:val="20"/>
        </w:rPr>
        <w:t>Elaborado pelos autores</w:t>
      </w:r>
      <w:r w:rsidR="00565B8E">
        <w:rPr>
          <w:sz w:val="20"/>
        </w:rPr>
        <w:t>.</w:t>
      </w:r>
      <w:r w:rsidR="00C60059" w:rsidRPr="00C60059">
        <w:rPr>
          <w:noProof/>
          <w:sz w:val="20"/>
        </w:rPr>
        <w:t xml:space="preserve"> </w:t>
      </w:r>
    </w:p>
    <w:p w14:paraId="3BC606A7" w14:textId="77777777" w:rsidR="00A85EEF" w:rsidRPr="0049479C" w:rsidRDefault="00A85EEF" w:rsidP="0037173C">
      <w:pPr>
        <w:spacing w:after="240"/>
        <w:ind w:left="709"/>
        <w:rPr>
          <w:sz w:val="20"/>
        </w:rPr>
      </w:pPr>
    </w:p>
    <w:p w14:paraId="52892E5C" w14:textId="06CA3867" w:rsidR="0037173C" w:rsidRDefault="00C60059" w:rsidP="00C60059">
      <w:pPr>
        <w:jc w:val="center"/>
        <w:rPr>
          <w:szCs w:val="24"/>
          <w:lang w:val="pt-BR"/>
        </w:rPr>
      </w:pPr>
      <w:r>
        <w:rPr>
          <w:noProof/>
          <w:sz w:val="20"/>
        </w:rPr>
        <w:drawing>
          <wp:inline distT="0" distB="0" distL="0" distR="0" wp14:anchorId="16E27859" wp14:editId="092FB944">
            <wp:extent cx="3192780" cy="2407920"/>
            <wp:effectExtent l="0" t="0" r="7620" b="0"/>
            <wp:docPr id="5" name="Image 5" descr="Gráfi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Gráfico&#10;&#10;O conteúdo gerado por IA pode estar incorreto."/>
                    <pic:cNvPicPr/>
                  </pic:nvPicPr>
                  <pic:blipFill>
                    <a:blip r:embed="rId8" cstate="print"/>
                    <a:stretch>
                      <a:fillRect/>
                    </a:stretch>
                  </pic:blipFill>
                  <pic:spPr>
                    <a:xfrm>
                      <a:off x="0" y="0"/>
                      <a:ext cx="3193208" cy="2408243"/>
                    </a:xfrm>
                    <a:prstGeom prst="rect">
                      <a:avLst/>
                    </a:prstGeom>
                  </pic:spPr>
                </pic:pic>
              </a:graphicData>
            </a:graphic>
          </wp:inline>
        </w:drawing>
      </w:r>
    </w:p>
    <w:p w14:paraId="5A2CF102" w14:textId="16523791" w:rsidR="0037173C" w:rsidRDefault="0037173C" w:rsidP="005111D7">
      <w:pPr>
        <w:jc w:val="center"/>
        <w:rPr>
          <w:szCs w:val="24"/>
          <w:lang w:val="pt-BR"/>
        </w:rPr>
      </w:pPr>
    </w:p>
    <w:p w14:paraId="01AAE4A7" w14:textId="58C19524" w:rsidR="00D075FE" w:rsidRDefault="00D075FE" w:rsidP="00D075FE">
      <w:pPr>
        <w:spacing w:after="120"/>
        <w:jc w:val="center"/>
        <w:rPr>
          <w:bCs/>
          <w:sz w:val="20"/>
          <w:lang w:val="pt-BR"/>
        </w:rPr>
      </w:pPr>
      <w:r w:rsidRPr="0049479C">
        <w:rPr>
          <w:b/>
          <w:sz w:val="20"/>
          <w:lang w:val="pt-BR"/>
        </w:rPr>
        <w:t xml:space="preserve">Figura </w:t>
      </w:r>
      <w:r w:rsidRPr="0049479C">
        <w:rPr>
          <w:b/>
          <w:sz w:val="20"/>
        </w:rPr>
        <w:fldChar w:fldCharType="begin"/>
      </w:r>
      <w:r w:rsidRPr="0049479C">
        <w:rPr>
          <w:b/>
          <w:sz w:val="20"/>
          <w:lang w:val="pt-BR"/>
        </w:rPr>
        <w:instrText xml:space="preserve"> SEQ Figure \* ARABIC </w:instrText>
      </w:r>
      <w:r w:rsidRPr="0049479C">
        <w:rPr>
          <w:b/>
          <w:sz w:val="20"/>
        </w:rPr>
        <w:fldChar w:fldCharType="separate"/>
      </w:r>
      <w:r w:rsidRPr="0049479C">
        <w:rPr>
          <w:b/>
          <w:noProof/>
          <w:sz w:val="20"/>
          <w:lang w:val="pt-BR"/>
        </w:rPr>
        <w:t>1</w:t>
      </w:r>
      <w:r w:rsidRPr="0049479C">
        <w:rPr>
          <w:b/>
          <w:sz w:val="20"/>
        </w:rPr>
        <w:fldChar w:fldCharType="end"/>
      </w:r>
      <w:r w:rsidRPr="0049479C">
        <w:rPr>
          <w:b/>
          <w:sz w:val="20"/>
          <w:lang w:val="pt-BR"/>
        </w:rPr>
        <w:t xml:space="preserve">: </w:t>
      </w:r>
      <w:r w:rsidR="00BE67E7" w:rsidRPr="00BE67E7">
        <w:rPr>
          <w:bCs/>
          <w:sz w:val="20"/>
          <w:lang w:val="pt-BR"/>
        </w:rPr>
        <w:t>Gráfico dos investimentos em educação</w:t>
      </w:r>
      <w:r w:rsidRPr="00BE67E7">
        <w:rPr>
          <w:bCs/>
          <w:sz w:val="20"/>
          <w:lang w:val="pt-BR"/>
        </w:rPr>
        <w:t>.</w:t>
      </w:r>
      <w:r w:rsidRPr="0049479C">
        <w:rPr>
          <w:b/>
          <w:sz w:val="20"/>
          <w:lang w:val="pt-BR"/>
        </w:rPr>
        <w:t xml:space="preserve"> Fonte: </w:t>
      </w:r>
      <w:r w:rsidRPr="00D075FE">
        <w:rPr>
          <w:bCs/>
          <w:sz w:val="20"/>
          <w:lang w:val="pt-BR"/>
        </w:rPr>
        <w:t>elaborado pelos autores.</w:t>
      </w:r>
    </w:p>
    <w:p w14:paraId="3870B508" w14:textId="77777777" w:rsidR="002F66A3" w:rsidRDefault="002F66A3" w:rsidP="00D075FE">
      <w:pPr>
        <w:spacing w:after="120"/>
        <w:jc w:val="center"/>
        <w:rPr>
          <w:b/>
          <w:sz w:val="20"/>
          <w:lang w:val="pt-BR"/>
        </w:rPr>
      </w:pPr>
    </w:p>
    <w:p w14:paraId="5D178190" w14:textId="40DCBD50" w:rsidR="009B7D07" w:rsidRDefault="00944AB3" w:rsidP="009B7D07">
      <w:pPr>
        <w:spacing w:after="120"/>
        <w:ind w:firstLine="284"/>
        <w:rPr>
          <w:szCs w:val="24"/>
          <w:lang w:val="pt-BR"/>
        </w:rPr>
      </w:pPr>
      <w:r>
        <w:rPr>
          <w:szCs w:val="24"/>
          <w:lang w:val="pt-BR"/>
        </w:rPr>
        <w:t xml:space="preserve">Fazendo uma análise do resultado do gráfico ilustrado na </w:t>
      </w:r>
      <w:r w:rsidR="001F2667">
        <w:rPr>
          <w:szCs w:val="24"/>
          <w:lang w:val="pt-BR"/>
        </w:rPr>
        <w:t>Fi</w:t>
      </w:r>
      <w:r>
        <w:rPr>
          <w:szCs w:val="24"/>
          <w:lang w:val="pt-BR"/>
        </w:rPr>
        <w:t>gura 2, não houve melhora nos índices relacionados a</w:t>
      </w:r>
      <w:r w:rsidR="004379B1">
        <w:rPr>
          <w:szCs w:val="24"/>
          <w:lang w:val="pt-BR"/>
        </w:rPr>
        <w:t>o número de</w:t>
      </w:r>
      <w:r>
        <w:rPr>
          <w:szCs w:val="24"/>
          <w:lang w:val="pt-BR"/>
        </w:rPr>
        <w:t xml:space="preserve"> acidentes do trabalho</w:t>
      </w:r>
      <w:r w:rsidR="004379B1">
        <w:rPr>
          <w:szCs w:val="24"/>
          <w:lang w:val="pt-BR"/>
        </w:rPr>
        <w:t xml:space="preserve"> com afastamento</w:t>
      </w:r>
      <w:r>
        <w:rPr>
          <w:szCs w:val="24"/>
          <w:lang w:val="pt-BR"/>
        </w:rPr>
        <w:t xml:space="preserve"> com o aumento dos investimentos em capacitação e desenvolvimento profissional. Esse resultado pode ser explicado pelo fato de o investimento não ser direcionado, em particular, à área de engenharia e segurança do trabalho ou à medicina do trabalho. E sim, para toda, e qualquer área profissional</w:t>
      </w:r>
      <w:r w:rsidR="001F2667">
        <w:rPr>
          <w:szCs w:val="24"/>
          <w:lang w:val="pt-BR"/>
        </w:rPr>
        <w:t xml:space="preserve"> voltada às atividades da empresa Petrobrás.</w:t>
      </w:r>
      <w:r>
        <w:rPr>
          <w:szCs w:val="24"/>
          <w:lang w:val="pt-BR"/>
        </w:rPr>
        <w:t xml:space="preserve"> </w:t>
      </w:r>
    </w:p>
    <w:p w14:paraId="4D7A03D9" w14:textId="77777777" w:rsidR="003C5C89" w:rsidRDefault="003C5C89" w:rsidP="009B7D07">
      <w:pPr>
        <w:spacing w:after="120"/>
        <w:ind w:firstLine="284"/>
        <w:rPr>
          <w:szCs w:val="24"/>
          <w:lang w:val="pt-BR"/>
        </w:rPr>
      </w:pPr>
    </w:p>
    <w:p w14:paraId="5B2649D7" w14:textId="77777777" w:rsidR="003C5C89" w:rsidRDefault="003C5C89" w:rsidP="009B7D07">
      <w:pPr>
        <w:spacing w:after="120"/>
        <w:ind w:firstLine="284"/>
        <w:rPr>
          <w:szCs w:val="24"/>
          <w:lang w:val="pt-BR"/>
        </w:rPr>
      </w:pPr>
    </w:p>
    <w:p w14:paraId="76277DCD" w14:textId="77777777" w:rsidR="003C5C89" w:rsidRDefault="003C5C89" w:rsidP="009B7D07">
      <w:pPr>
        <w:spacing w:after="120"/>
        <w:ind w:firstLine="284"/>
        <w:rPr>
          <w:szCs w:val="24"/>
          <w:lang w:val="pt-BR"/>
        </w:rPr>
      </w:pPr>
    </w:p>
    <w:p w14:paraId="71505D63" w14:textId="73B0C807" w:rsidR="00D075FE" w:rsidRPr="000F5CC4" w:rsidRDefault="00D075FE" w:rsidP="00D075FE">
      <w:pPr>
        <w:spacing w:before="240" w:after="240"/>
        <w:jc w:val="center"/>
        <w:rPr>
          <w:sz w:val="20"/>
          <w:lang w:val="pt-BR"/>
        </w:rPr>
      </w:pPr>
      <w:r w:rsidRPr="000F5CC4">
        <w:rPr>
          <w:color w:val="000000"/>
          <w:sz w:val="20"/>
          <w:lang w:val="pt-BR"/>
        </w:rPr>
        <w:lastRenderedPageBreak/>
        <w:t xml:space="preserve">Tabela </w:t>
      </w:r>
      <w:r>
        <w:rPr>
          <w:color w:val="000000"/>
          <w:sz w:val="20"/>
          <w:lang w:val="pt-BR"/>
        </w:rPr>
        <w:t>2</w:t>
      </w:r>
      <w:r w:rsidRPr="000F5CC4">
        <w:rPr>
          <w:color w:val="000000"/>
          <w:sz w:val="20"/>
          <w:lang w:val="pt-BR"/>
        </w:rPr>
        <w:t xml:space="preserve">: </w:t>
      </w:r>
      <w:r>
        <w:rPr>
          <w:color w:val="000000"/>
          <w:sz w:val="20"/>
          <w:lang w:val="pt-BR"/>
        </w:rPr>
        <w:t xml:space="preserve">Funções polinomiais para os investimentos em </w:t>
      </w:r>
      <w:r w:rsidR="009B146D">
        <w:rPr>
          <w:color w:val="000000"/>
          <w:sz w:val="20"/>
          <w:lang w:val="pt-BR"/>
        </w:rPr>
        <w:t>i</w:t>
      </w:r>
      <w:r w:rsidR="00BE67E7" w:rsidRPr="00BE67E7">
        <w:rPr>
          <w:color w:val="000000"/>
          <w:sz w:val="20"/>
          <w:lang w:val="pt-BR"/>
        </w:rPr>
        <w:t xml:space="preserve">nvestimento em </w:t>
      </w:r>
      <w:r w:rsidR="009B146D">
        <w:rPr>
          <w:color w:val="000000"/>
          <w:sz w:val="20"/>
          <w:lang w:val="pt-BR"/>
        </w:rPr>
        <w:t>c</w:t>
      </w:r>
      <w:r w:rsidR="00BE67E7" w:rsidRPr="00BE67E7">
        <w:rPr>
          <w:color w:val="000000"/>
          <w:sz w:val="20"/>
          <w:lang w:val="pt-BR"/>
        </w:rPr>
        <w:t xml:space="preserve">apacitação e </w:t>
      </w:r>
      <w:r w:rsidR="009B146D">
        <w:rPr>
          <w:color w:val="000000"/>
          <w:sz w:val="20"/>
          <w:lang w:val="pt-BR"/>
        </w:rPr>
        <w:t>d</w:t>
      </w:r>
      <w:r w:rsidR="00BE67E7" w:rsidRPr="00BE67E7">
        <w:rPr>
          <w:color w:val="000000"/>
          <w:sz w:val="20"/>
          <w:lang w:val="pt-BR"/>
        </w:rPr>
        <w:t xml:space="preserve">esenvolvimento </w:t>
      </w:r>
      <w:r w:rsidR="009B146D">
        <w:rPr>
          <w:color w:val="000000"/>
          <w:sz w:val="20"/>
          <w:lang w:val="pt-BR"/>
        </w:rPr>
        <w:t>p</w:t>
      </w:r>
      <w:r w:rsidR="00BE67E7" w:rsidRPr="00BE67E7">
        <w:rPr>
          <w:color w:val="000000"/>
          <w:sz w:val="20"/>
          <w:lang w:val="pt-BR"/>
        </w:rPr>
        <w:t>rofissional</w:t>
      </w:r>
    </w:p>
    <w:tbl>
      <w:tblPr>
        <w:tblW w:w="6066" w:type="dxa"/>
        <w:jc w:val="center"/>
        <w:tblBorders>
          <w:top w:val="single" w:sz="4" w:space="0" w:color="7F7F7F"/>
          <w:bottom w:val="single" w:sz="4" w:space="0" w:color="7F7F7F"/>
        </w:tblBorders>
        <w:tblLook w:val="04A0" w:firstRow="1" w:lastRow="0" w:firstColumn="1" w:lastColumn="0" w:noHBand="0" w:noVBand="1"/>
      </w:tblPr>
      <w:tblGrid>
        <w:gridCol w:w="2096"/>
        <w:gridCol w:w="3970"/>
      </w:tblGrid>
      <w:tr w:rsidR="00D075FE" w:rsidRPr="005111D7" w14:paraId="7B152C35" w14:textId="77777777" w:rsidTr="00D154D4">
        <w:trPr>
          <w:trHeight w:val="307"/>
          <w:jc w:val="center"/>
        </w:trPr>
        <w:tc>
          <w:tcPr>
            <w:tcW w:w="2096" w:type="dxa"/>
            <w:tcBorders>
              <w:top w:val="single" w:sz="12" w:space="0" w:color="auto"/>
              <w:bottom w:val="single" w:sz="12" w:space="0" w:color="auto"/>
            </w:tcBorders>
            <w:shd w:val="clear" w:color="auto" w:fill="auto"/>
            <w:noWrap/>
            <w:vAlign w:val="center"/>
            <w:hideMark/>
          </w:tcPr>
          <w:p w14:paraId="331B9B59" w14:textId="77777777" w:rsidR="00D075FE" w:rsidRPr="005111D7" w:rsidRDefault="00D075FE" w:rsidP="00D154D4">
            <w:pPr>
              <w:jc w:val="center"/>
              <w:rPr>
                <w:b/>
                <w:bCs/>
                <w:color w:val="000000"/>
                <w:szCs w:val="24"/>
              </w:rPr>
            </w:pPr>
            <w:r w:rsidRPr="005111D7">
              <w:rPr>
                <w:b/>
                <w:bCs/>
                <w:i/>
                <w:color w:val="000000"/>
                <w:szCs w:val="24"/>
              </w:rPr>
              <w:t>Parâmetros</w:t>
            </w:r>
          </w:p>
        </w:tc>
        <w:tc>
          <w:tcPr>
            <w:tcW w:w="3970" w:type="dxa"/>
            <w:tcBorders>
              <w:top w:val="single" w:sz="12" w:space="0" w:color="auto"/>
              <w:bottom w:val="single" w:sz="12" w:space="0" w:color="auto"/>
            </w:tcBorders>
            <w:shd w:val="clear" w:color="auto" w:fill="auto"/>
            <w:noWrap/>
            <w:vAlign w:val="center"/>
            <w:hideMark/>
          </w:tcPr>
          <w:p w14:paraId="45236CE3" w14:textId="55BD7D2B" w:rsidR="00D075FE" w:rsidRPr="005111D7" w:rsidRDefault="00D075FE" w:rsidP="00D154D4">
            <w:pPr>
              <w:jc w:val="center"/>
              <w:rPr>
                <w:b/>
                <w:bCs/>
                <w:color w:val="000000"/>
                <w:szCs w:val="24"/>
              </w:rPr>
            </w:pPr>
            <w:r w:rsidRPr="005111D7">
              <w:rPr>
                <w:b/>
                <w:bCs/>
                <w:color w:val="000000"/>
                <w:szCs w:val="24"/>
              </w:rPr>
              <w:t>Tipo I</w:t>
            </w:r>
            <w:r w:rsidR="00B45B26" w:rsidRPr="005111D7">
              <w:rPr>
                <w:b/>
                <w:bCs/>
                <w:color w:val="000000"/>
                <w:szCs w:val="24"/>
              </w:rPr>
              <w:t>I</w:t>
            </w:r>
          </w:p>
        </w:tc>
      </w:tr>
      <w:tr w:rsidR="00D075FE" w:rsidRPr="005111D7" w14:paraId="24AF6F88" w14:textId="77777777" w:rsidTr="00D154D4">
        <w:trPr>
          <w:trHeight w:val="307"/>
          <w:jc w:val="center"/>
        </w:trPr>
        <w:tc>
          <w:tcPr>
            <w:tcW w:w="2096" w:type="dxa"/>
            <w:tcBorders>
              <w:top w:val="single" w:sz="12" w:space="0" w:color="auto"/>
              <w:bottom w:val="single" w:sz="4" w:space="0" w:color="7F7F7F"/>
            </w:tcBorders>
            <w:shd w:val="clear" w:color="auto" w:fill="auto"/>
            <w:noWrap/>
            <w:vAlign w:val="center"/>
            <w:hideMark/>
          </w:tcPr>
          <w:p w14:paraId="764DF519"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0</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0</m:t>
                  </m:r>
                </m:sub>
              </m:sSub>
            </m:oMath>
          </w:p>
        </w:tc>
        <w:tc>
          <w:tcPr>
            <w:tcW w:w="3970" w:type="dxa"/>
            <w:tcBorders>
              <w:top w:val="single" w:sz="12" w:space="0" w:color="auto"/>
              <w:bottom w:val="single" w:sz="4" w:space="0" w:color="7F7F7F"/>
            </w:tcBorders>
            <w:shd w:val="clear" w:color="auto" w:fill="auto"/>
            <w:noWrap/>
            <w:vAlign w:val="center"/>
            <w:hideMark/>
          </w:tcPr>
          <w:p w14:paraId="27C0A610" w14:textId="4AF23800" w:rsidR="00D075FE" w:rsidRPr="003A5942" w:rsidRDefault="00BC267B" w:rsidP="00D154D4">
            <w:pPr>
              <w:jc w:val="center"/>
              <w:rPr>
                <w:color w:val="000000"/>
                <w:sz w:val="22"/>
                <w:szCs w:val="22"/>
              </w:rPr>
            </w:pPr>
            <m:oMathPara>
              <m:oMath>
                <m:r>
                  <w:rPr>
                    <w:rFonts w:ascii="Cambria Math" w:hAnsi="Cambria Math"/>
                    <w:color w:val="000000"/>
                    <w:sz w:val="22"/>
                    <w:szCs w:val="22"/>
                  </w:rPr>
                  <m:t xml:space="preserve">-0,55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-1</m:t>
                    </m:r>
                  </m:sup>
                </m:sSup>
                <m:r>
                  <w:rPr>
                    <w:rFonts w:ascii="Cambria Math" w:hAnsi="Cambria Math"/>
                    <w:color w:val="000000"/>
                    <w:sz w:val="22"/>
                    <w:szCs w:val="22"/>
                  </w:rPr>
                  <m:t xml:space="preserve"> </m:t>
                </m:r>
                <m:r>
                  <m:rPr>
                    <m:sty m:val="p"/>
                  </m:rPr>
                  <w:rPr>
                    <w:rFonts w:ascii="Cambria Math" w:hAnsi="Cambria Math"/>
                    <w:color w:val="000000"/>
                    <w:sz w:val="22"/>
                    <w:szCs w:val="22"/>
                  </w:rPr>
                  <m:t>± 0,95</m:t>
                </m:r>
              </m:oMath>
            </m:oMathPara>
          </w:p>
        </w:tc>
      </w:tr>
      <w:tr w:rsidR="00D075FE" w:rsidRPr="005111D7" w14:paraId="7D75D292" w14:textId="77777777" w:rsidTr="00D154D4">
        <w:trPr>
          <w:trHeight w:val="307"/>
          <w:jc w:val="center"/>
        </w:trPr>
        <w:tc>
          <w:tcPr>
            <w:tcW w:w="2096" w:type="dxa"/>
            <w:shd w:val="clear" w:color="auto" w:fill="auto"/>
            <w:noWrap/>
            <w:vAlign w:val="center"/>
            <w:hideMark/>
          </w:tcPr>
          <w:p w14:paraId="79568553"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1</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1</m:t>
                  </m:r>
                </m:sub>
              </m:sSub>
            </m:oMath>
          </w:p>
          <w:p w14:paraId="0745C7F4" w14:textId="77777777" w:rsidR="00D075FE" w:rsidRPr="005111D7" w:rsidRDefault="00D075FE" w:rsidP="00D154D4">
            <w:pPr>
              <w:jc w:val="center"/>
              <w:rPr>
                <w:color w:val="000000"/>
                <w:szCs w:val="24"/>
              </w:rPr>
            </w:pPr>
          </w:p>
        </w:tc>
        <w:tc>
          <w:tcPr>
            <w:tcW w:w="3970" w:type="dxa"/>
            <w:shd w:val="clear" w:color="auto" w:fill="auto"/>
            <w:noWrap/>
            <w:vAlign w:val="center"/>
            <w:hideMark/>
          </w:tcPr>
          <w:p w14:paraId="1B14866D" w14:textId="4D8CD149" w:rsidR="00D075FE" w:rsidRPr="003A5942" w:rsidRDefault="00BC267B" w:rsidP="00D154D4">
            <w:pPr>
              <w:jc w:val="center"/>
              <w:rPr>
                <w:color w:val="000000"/>
                <w:sz w:val="22"/>
                <w:szCs w:val="22"/>
              </w:rPr>
            </w:pPr>
            <m:oMath>
              <m:r>
                <w:rPr>
                  <w:rFonts w:ascii="Cambria Math" w:hAnsi="Cambria Math"/>
                  <w:color w:val="000000"/>
                  <w:sz w:val="22"/>
                  <w:szCs w:val="22"/>
                </w:rPr>
                <m:t xml:space="preserve">0,12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-1</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0,11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-1</m:t>
                  </m:r>
                </m:sup>
              </m:sSup>
            </m:oMath>
            <w:r w:rsidR="00D075FE" w:rsidRPr="003A5942">
              <w:rPr>
                <w:color w:val="000000"/>
                <w:sz w:val="22"/>
                <w:szCs w:val="22"/>
              </w:rPr>
              <w:t xml:space="preserve"> </w:t>
            </w:r>
          </w:p>
        </w:tc>
      </w:tr>
      <w:tr w:rsidR="00D075FE" w:rsidRPr="005111D7" w14:paraId="43938142" w14:textId="77777777" w:rsidTr="00D154D4">
        <w:trPr>
          <w:trHeight w:val="307"/>
          <w:jc w:val="center"/>
        </w:trPr>
        <w:tc>
          <w:tcPr>
            <w:tcW w:w="2096" w:type="dxa"/>
            <w:tcBorders>
              <w:top w:val="single" w:sz="4" w:space="0" w:color="7F7F7F"/>
              <w:bottom w:val="single" w:sz="4" w:space="0" w:color="7F7F7F"/>
            </w:tcBorders>
            <w:shd w:val="clear" w:color="auto" w:fill="auto"/>
            <w:noWrap/>
            <w:vAlign w:val="center"/>
          </w:tcPr>
          <w:p w14:paraId="2C1C161D" w14:textId="77777777" w:rsidR="00D075FE" w:rsidRPr="005111D7" w:rsidRDefault="003C5C89" w:rsidP="00D154D4">
            <w:pPr>
              <w:pStyle w:val="TableParagraph"/>
              <w:spacing w:before="113" w:line="216" w:lineRule="exact"/>
              <w:ind w:right="131"/>
              <w:jc w:val="center"/>
              <w:rPr>
                <w:color w:val="000000"/>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2</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2</m:t>
                  </m:r>
                </m:sub>
              </m:sSub>
            </m:oMath>
          </w:p>
        </w:tc>
        <w:tc>
          <w:tcPr>
            <w:tcW w:w="3970" w:type="dxa"/>
            <w:tcBorders>
              <w:top w:val="single" w:sz="4" w:space="0" w:color="7F7F7F"/>
              <w:bottom w:val="single" w:sz="4" w:space="0" w:color="7F7F7F"/>
            </w:tcBorders>
            <w:shd w:val="clear" w:color="auto" w:fill="auto"/>
            <w:noWrap/>
            <w:vAlign w:val="center"/>
          </w:tcPr>
          <w:p w14:paraId="4C891FBD" w14:textId="59F5F0BB" w:rsidR="00D075FE" w:rsidRPr="003A5942" w:rsidRDefault="00BC267B" w:rsidP="00D154D4">
            <w:pPr>
              <w:jc w:val="center"/>
              <w:rPr>
                <w:color w:val="000000"/>
                <w:sz w:val="22"/>
                <w:szCs w:val="22"/>
              </w:rPr>
            </w:pPr>
            <m:oMath>
              <m:r>
                <w:rPr>
                  <w:rFonts w:ascii="Cambria Math" w:hAnsi="Cambria Math"/>
                  <w:color w:val="000000"/>
                  <w:sz w:val="22"/>
                  <w:szCs w:val="22"/>
                </w:rPr>
                <m:t xml:space="preserve">-0,50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-4</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0,40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-4</m:t>
                  </m:r>
                </m:sup>
              </m:sSup>
            </m:oMath>
            <w:r w:rsidR="00D075FE" w:rsidRPr="003A5942">
              <w:rPr>
                <w:color w:val="000000"/>
                <w:sz w:val="22"/>
                <w:szCs w:val="22"/>
              </w:rPr>
              <w:t xml:space="preserve"> </w:t>
            </w:r>
          </w:p>
        </w:tc>
      </w:tr>
      <w:tr w:rsidR="00D075FE" w:rsidRPr="005111D7" w14:paraId="707638A6" w14:textId="77777777" w:rsidTr="00D154D4">
        <w:trPr>
          <w:trHeight w:val="307"/>
          <w:jc w:val="center"/>
        </w:trPr>
        <w:tc>
          <w:tcPr>
            <w:tcW w:w="2096" w:type="dxa"/>
            <w:shd w:val="clear" w:color="auto" w:fill="auto"/>
            <w:noWrap/>
            <w:vAlign w:val="center"/>
            <w:hideMark/>
          </w:tcPr>
          <w:p w14:paraId="0CD29486"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3</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3</m:t>
                  </m:r>
                </m:sub>
              </m:sSub>
            </m:oMath>
          </w:p>
          <w:p w14:paraId="0598A077" w14:textId="77777777" w:rsidR="00D075FE" w:rsidRPr="005111D7" w:rsidRDefault="00D075FE" w:rsidP="00D154D4">
            <w:pPr>
              <w:jc w:val="center"/>
              <w:rPr>
                <w:color w:val="000000"/>
                <w:szCs w:val="24"/>
              </w:rPr>
            </w:pPr>
          </w:p>
        </w:tc>
        <w:tc>
          <w:tcPr>
            <w:tcW w:w="3970" w:type="dxa"/>
            <w:shd w:val="clear" w:color="auto" w:fill="auto"/>
            <w:noWrap/>
            <w:vAlign w:val="center"/>
            <w:hideMark/>
          </w:tcPr>
          <w:p w14:paraId="4B50A928" w14:textId="2D5AB770" w:rsidR="00D075FE" w:rsidRPr="003A5942" w:rsidRDefault="00D075FE" w:rsidP="00D154D4">
            <w:pPr>
              <w:jc w:val="center"/>
              <w:rPr>
                <w:color w:val="000000"/>
                <w:sz w:val="22"/>
                <w:szCs w:val="22"/>
              </w:rPr>
            </w:pPr>
            <m:oMath>
              <m:r>
                <w:rPr>
                  <w:rFonts w:ascii="Cambria Math" w:hAnsi="Cambria Math"/>
                  <w:color w:val="000000"/>
                  <w:sz w:val="22"/>
                  <w:szCs w:val="22"/>
                </w:rPr>
                <m:t xml:space="preserve">0,61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-7</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0,41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-7</m:t>
                  </m:r>
                </m:sup>
              </m:sSup>
            </m:oMath>
            <w:r w:rsidRPr="003A5942">
              <w:rPr>
                <w:color w:val="000000"/>
                <w:sz w:val="22"/>
                <w:szCs w:val="22"/>
              </w:rPr>
              <w:t xml:space="preserve"> </w:t>
            </w:r>
          </w:p>
        </w:tc>
      </w:tr>
      <w:tr w:rsidR="00D075FE" w:rsidRPr="005111D7" w14:paraId="139F22FB" w14:textId="77777777" w:rsidTr="00D154D4">
        <w:trPr>
          <w:trHeight w:val="307"/>
          <w:jc w:val="center"/>
        </w:trPr>
        <w:tc>
          <w:tcPr>
            <w:tcW w:w="2096" w:type="dxa"/>
            <w:tcBorders>
              <w:top w:val="single" w:sz="4" w:space="0" w:color="7F7F7F"/>
              <w:bottom w:val="single" w:sz="4" w:space="0" w:color="7F7F7F"/>
            </w:tcBorders>
            <w:shd w:val="clear" w:color="auto" w:fill="auto"/>
            <w:noWrap/>
            <w:vAlign w:val="center"/>
            <w:hideMark/>
          </w:tcPr>
          <w:p w14:paraId="02681F56"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4</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4</m:t>
                  </m:r>
                </m:sub>
              </m:sSub>
            </m:oMath>
          </w:p>
          <w:p w14:paraId="6F86D06D" w14:textId="77777777" w:rsidR="00D075FE" w:rsidRPr="005111D7" w:rsidRDefault="00D075FE" w:rsidP="00D154D4">
            <w:pPr>
              <w:jc w:val="center"/>
              <w:rPr>
                <w:color w:val="000000"/>
                <w:szCs w:val="24"/>
              </w:rPr>
            </w:pPr>
          </w:p>
        </w:tc>
        <w:tc>
          <w:tcPr>
            <w:tcW w:w="3970" w:type="dxa"/>
            <w:tcBorders>
              <w:top w:val="single" w:sz="4" w:space="0" w:color="7F7F7F"/>
              <w:bottom w:val="single" w:sz="4" w:space="0" w:color="7F7F7F"/>
            </w:tcBorders>
            <w:shd w:val="clear" w:color="auto" w:fill="auto"/>
            <w:noWrap/>
            <w:vAlign w:val="center"/>
            <w:hideMark/>
          </w:tcPr>
          <w:p w14:paraId="21F6C98E" w14:textId="77777777" w:rsidR="00D075FE" w:rsidRPr="003A5942" w:rsidRDefault="00D075FE" w:rsidP="00D154D4">
            <w:pPr>
              <w:jc w:val="center"/>
              <w:rPr>
                <w:color w:val="000000"/>
                <w:sz w:val="22"/>
                <w:szCs w:val="22"/>
              </w:rPr>
            </w:pPr>
            <w:r>
              <w:rPr>
                <w:color w:val="000000"/>
                <w:sz w:val="22"/>
                <w:szCs w:val="22"/>
              </w:rPr>
              <w:t>---</w:t>
            </w:r>
          </w:p>
        </w:tc>
      </w:tr>
      <w:tr w:rsidR="00D075FE" w:rsidRPr="005111D7" w14:paraId="3E6EBA67" w14:textId="77777777" w:rsidTr="00D154D4">
        <w:trPr>
          <w:trHeight w:val="307"/>
          <w:jc w:val="center"/>
        </w:trPr>
        <w:tc>
          <w:tcPr>
            <w:tcW w:w="2096" w:type="dxa"/>
            <w:tcBorders>
              <w:top w:val="single" w:sz="4" w:space="0" w:color="7F7F7F"/>
              <w:bottom w:val="single" w:sz="12" w:space="0" w:color="auto"/>
            </w:tcBorders>
            <w:shd w:val="clear" w:color="auto" w:fill="auto"/>
            <w:noWrap/>
            <w:vAlign w:val="center"/>
            <w:hideMark/>
          </w:tcPr>
          <w:p w14:paraId="5B0DBB38" w14:textId="77777777" w:rsidR="00D075FE" w:rsidRPr="005111D7" w:rsidRDefault="003C5C89" w:rsidP="00D154D4">
            <w:pPr>
              <w:jc w:val="center"/>
              <w:rPr>
                <w:color w:val="000000"/>
                <w:szCs w:val="24"/>
              </w:rPr>
            </w:pPr>
            <m:oMath>
              <m:sSubSup>
                <m:sSubSupPr>
                  <m:ctrlPr>
                    <w:rPr>
                      <w:rFonts w:ascii="Cambria Math" w:hAnsi="Cambria Math"/>
                      <w:i/>
                      <w:color w:val="000000"/>
                      <w:szCs w:val="24"/>
                    </w:rPr>
                  </m:ctrlPr>
                </m:sSubSupPr>
                <m:e>
                  <m:r>
                    <w:rPr>
                      <w:rFonts w:ascii="Cambria Math" w:hAnsi="Cambria Math"/>
                      <w:color w:val="000000"/>
                      <w:szCs w:val="24"/>
                    </w:rPr>
                    <m:t>x</m:t>
                  </m:r>
                </m:e>
                <m:sub>
                  <m:r>
                    <w:rPr>
                      <w:rFonts w:ascii="Cambria Math" w:hAnsi="Cambria Math"/>
                      <w:color w:val="000000"/>
                      <w:szCs w:val="24"/>
                    </w:rPr>
                    <m:t>min</m:t>
                  </m:r>
                </m:sub>
                <m:sup>
                  <m:r>
                    <w:rPr>
                      <w:rFonts w:ascii="Cambria Math" w:hAnsi="Cambria Math"/>
                      <w:color w:val="000000"/>
                      <w:szCs w:val="24"/>
                    </w:rPr>
                    <m:t>2</m:t>
                  </m:r>
                </m:sup>
              </m:sSubSup>
              <m:r>
                <w:rPr>
                  <w:rFonts w:ascii="Cambria Math" w:hAnsi="Cambria Math"/>
                  <w:color w:val="000000"/>
                  <w:szCs w:val="24"/>
                </w:rPr>
                <m:t xml:space="preserve"> ,</m:t>
              </m:r>
            </m:oMath>
            <w:r w:rsidR="00D075FE" w:rsidRPr="005111D7">
              <w:rPr>
                <w:color w:val="000000"/>
                <w:szCs w:val="24"/>
              </w:rPr>
              <w:t xml:space="preserve"> </w:t>
            </w:r>
            <m:oMath>
              <m:r>
                <w:rPr>
                  <w:rFonts w:ascii="Cambria Math" w:hAnsi="Cambria Math"/>
                  <w:color w:val="000000"/>
                  <w:szCs w:val="24"/>
                </w:rPr>
                <m:t>Q(</m:t>
              </m:r>
              <m:f>
                <m:fPr>
                  <m:ctrlPr>
                    <w:rPr>
                      <w:rFonts w:ascii="Cambria Math" w:hAnsi="Cambria Math"/>
                      <w:i/>
                      <w:color w:val="000000"/>
                      <w:szCs w:val="24"/>
                    </w:rPr>
                  </m:ctrlPr>
                </m:fPr>
                <m:num>
                  <m:r>
                    <w:rPr>
                      <w:rFonts w:ascii="Cambria Math" w:hAnsi="Cambria Math"/>
                      <w:color w:val="000000"/>
                      <w:szCs w:val="24"/>
                    </w:rPr>
                    <m:t>ν</m:t>
                  </m:r>
                </m:num>
                <m:den>
                  <m:r>
                    <w:rPr>
                      <w:rFonts w:ascii="Cambria Math" w:hAnsi="Cambria Math"/>
                      <w:color w:val="000000"/>
                      <w:szCs w:val="24"/>
                    </w:rPr>
                    <m:t>2</m:t>
                  </m:r>
                </m:den>
              </m:f>
              <m:r>
                <w:rPr>
                  <w:rFonts w:ascii="Cambria Math" w:hAnsi="Cambria Math"/>
                  <w:color w:val="000000"/>
                  <w:szCs w:val="24"/>
                </w:rPr>
                <m:t xml:space="preserve"> , </m:t>
              </m:r>
              <m:f>
                <m:fPr>
                  <m:ctrlPr>
                    <w:rPr>
                      <w:rFonts w:ascii="Cambria Math" w:hAnsi="Cambria Math"/>
                      <w:i/>
                      <w:color w:val="000000"/>
                      <w:szCs w:val="24"/>
                    </w:rPr>
                  </m:ctrlPr>
                </m:fPr>
                <m:num>
                  <m:sSup>
                    <m:sSupPr>
                      <m:ctrlPr>
                        <w:rPr>
                          <w:rFonts w:ascii="Cambria Math" w:hAnsi="Cambria Math"/>
                          <w:i/>
                          <w:color w:val="000000"/>
                          <w:szCs w:val="24"/>
                        </w:rPr>
                      </m:ctrlPr>
                    </m:sSupPr>
                    <m:e>
                      <m:r>
                        <w:rPr>
                          <w:rFonts w:ascii="Cambria Math" w:hAnsi="Cambria Math"/>
                          <w:color w:val="000000"/>
                          <w:szCs w:val="24"/>
                        </w:rPr>
                        <m:t>x</m:t>
                      </m:r>
                    </m:e>
                    <m:sup>
                      <m:r>
                        <w:rPr>
                          <w:rFonts w:ascii="Cambria Math" w:hAnsi="Cambria Math"/>
                          <w:color w:val="000000"/>
                          <w:szCs w:val="24"/>
                        </w:rPr>
                        <m:t>2</m:t>
                      </m:r>
                    </m:sup>
                  </m:sSup>
                </m:num>
                <m:den>
                  <m:r>
                    <w:rPr>
                      <w:rFonts w:ascii="Cambria Math" w:hAnsi="Cambria Math"/>
                      <w:color w:val="000000"/>
                      <w:szCs w:val="24"/>
                    </w:rPr>
                    <m:t>2</m:t>
                  </m:r>
                </m:den>
              </m:f>
              <m:r>
                <w:rPr>
                  <w:rFonts w:ascii="Cambria Math" w:hAnsi="Cambria Math"/>
                  <w:color w:val="000000"/>
                  <w:szCs w:val="24"/>
                </w:rPr>
                <m:t xml:space="preserve"> )</m:t>
              </m:r>
            </m:oMath>
          </w:p>
        </w:tc>
        <w:tc>
          <w:tcPr>
            <w:tcW w:w="3970" w:type="dxa"/>
            <w:tcBorders>
              <w:top w:val="single" w:sz="4" w:space="0" w:color="7F7F7F"/>
              <w:bottom w:val="single" w:sz="12" w:space="0" w:color="auto"/>
            </w:tcBorders>
            <w:shd w:val="clear" w:color="auto" w:fill="auto"/>
            <w:noWrap/>
            <w:vAlign w:val="center"/>
            <w:hideMark/>
          </w:tcPr>
          <w:p w14:paraId="38D42A7C" w14:textId="7D88666F" w:rsidR="00D075FE" w:rsidRPr="003A5942" w:rsidRDefault="00D075FE" w:rsidP="00D154D4">
            <w:pPr>
              <w:jc w:val="center"/>
              <w:rPr>
                <w:color w:val="000000"/>
                <w:sz w:val="22"/>
                <w:szCs w:val="22"/>
              </w:rPr>
            </w:pPr>
            <m:oMath>
              <m:r>
                <w:rPr>
                  <w:rFonts w:ascii="Cambria Math" w:hAnsi="Cambria Math"/>
                  <w:color w:val="000000"/>
                  <w:sz w:val="20"/>
                </w:rPr>
                <m:t xml:space="preserve">9,2 × </m:t>
              </m:r>
              <m:sSup>
                <m:sSupPr>
                  <m:ctrlPr>
                    <w:rPr>
                      <w:rFonts w:ascii="Cambria Math" w:hAnsi="Cambria Math"/>
                      <w:i/>
                      <w:color w:val="000000"/>
                      <w:sz w:val="20"/>
                    </w:rPr>
                  </m:ctrlPr>
                </m:sSupPr>
                <m:e>
                  <m:r>
                    <w:rPr>
                      <w:rFonts w:ascii="Cambria Math" w:hAnsi="Cambria Math"/>
                      <w:color w:val="000000"/>
                      <w:sz w:val="20"/>
                    </w:rPr>
                    <m:t>10</m:t>
                  </m:r>
                </m:e>
                <m:sup>
                  <m:r>
                    <w:rPr>
                      <w:rFonts w:ascii="Cambria Math" w:hAnsi="Cambria Math"/>
                      <w:color w:val="000000"/>
                      <w:sz w:val="20"/>
                    </w:rPr>
                    <m:t>-2</m:t>
                  </m:r>
                </m:sup>
              </m:sSup>
              <m:r>
                <w:rPr>
                  <w:rFonts w:ascii="Cambria Math" w:hAnsi="Cambria Math"/>
                  <w:color w:val="000000"/>
                  <w:sz w:val="20"/>
                </w:rPr>
                <m:t xml:space="preserve"> ;</m:t>
              </m:r>
              <m:r>
                <m:rPr>
                  <m:sty m:val="p"/>
                </m:rPr>
                <w:rPr>
                  <w:rFonts w:ascii="Cambria Math" w:hAnsi="Cambria Math"/>
                  <w:color w:val="000000"/>
                  <w:sz w:val="20"/>
                </w:rPr>
                <m:t xml:space="preserve"> 1(</m:t>
              </m:r>
              <m:r>
                <m:rPr>
                  <m:sty m:val="p"/>
                </m:rPr>
                <w:rPr>
                  <w:rFonts w:ascii="Cambria Math" w:hAnsi="Cambria Math"/>
                  <w:sz w:val="20"/>
                  <w:szCs w:val="18"/>
                </w:rPr>
                <m:t>0.</m:t>
              </m:r>
              <m:r>
                <m:rPr>
                  <m:sty m:val="p"/>
                </m:rPr>
                <w:rPr>
                  <w:rFonts w:ascii="Cambria Math" w:hAnsi="Cambria Math"/>
                  <w:spacing w:val="-5"/>
                  <w:sz w:val="20"/>
                  <w:szCs w:val="18"/>
                </w:rPr>
                <m:t xml:space="preserve"> </m:t>
              </m:r>
              <m:r>
                <m:rPr>
                  <m:sty m:val="p"/>
                </m:rPr>
                <w:rPr>
                  <w:rFonts w:ascii="Cambria Math" w:hAnsi="Cambria Math"/>
                  <w:spacing w:val="-2"/>
                  <w:sz w:val="20"/>
                  <w:szCs w:val="18"/>
                </w:rPr>
                <m:t>99999999999993605)</m:t>
              </m:r>
            </m:oMath>
            <w:r w:rsidRPr="003A5942">
              <w:rPr>
                <w:color w:val="000000"/>
                <w:sz w:val="22"/>
                <w:szCs w:val="22"/>
              </w:rPr>
              <w:t xml:space="preserve"> </w:t>
            </w:r>
          </w:p>
        </w:tc>
      </w:tr>
    </w:tbl>
    <w:p w14:paraId="38F1D5B7" w14:textId="7EF005C0" w:rsidR="00D075FE" w:rsidRDefault="00D075FE" w:rsidP="00D075FE">
      <w:pPr>
        <w:spacing w:after="240"/>
        <w:ind w:left="709"/>
        <w:rPr>
          <w:sz w:val="20"/>
        </w:rPr>
      </w:pPr>
      <w:r w:rsidRPr="0049479C">
        <w:rPr>
          <w:sz w:val="20"/>
        </w:rPr>
        <w:t xml:space="preserve">Fonte: </w:t>
      </w:r>
      <w:r>
        <w:rPr>
          <w:sz w:val="20"/>
        </w:rPr>
        <w:t>Elaborado pelos autores</w:t>
      </w:r>
      <w:r w:rsidR="00565B8E">
        <w:rPr>
          <w:sz w:val="20"/>
        </w:rPr>
        <w:t>.</w:t>
      </w:r>
    </w:p>
    <w:p w14:paraId="3FBE8F40" w14:textId="77777777" w:rsidR="001F2667" w:rsidRPr="0049479C" w:rsidRDefault="001F2667" w:rsidP="00D075FE">
      <w:pPr>
        <w:spacing w:after="240"/>
        <w:ind w:left="709"/>
        <w:rPr>
          <w:sz w:val="20"/>
        </w:rPr>
      </w:pPr>
    </w:p>
    <w:p w14:paraId="221E1BBC" w14:textId="76328C68" w:rsidR="00D075FE" w:rsidRDefault="006424B1" w:rsidP="00D075FE">
      <w:pPr>
        <w:spacing w:after="120"/>
        <w:jc w:val="center"/>
        <w:rPr>
          <w:b/>
          <w:sz w:val="20"/>
          <w:lang w:val="pt-BR"/>
        </w:rPr>
      </w:pPr>
      <w:r>
        <w:rPr>
          <w:noProof/>
          <w:sz w:val="20"/>
        </w:rPr>
        <w:drawing>
          <wp:inline distT="0" distB="0" distL="0" distR="0" wp14:anchorId="0C416EC4" wp14:editId="29191044">
            <wp:extent cx="3266437" cy="2545080"/>
            <wp:effectExtent l="0" t="0" r="6985" b="7620"/>
            <wp:docPr id="7" name="Image 7" descr="Gráfi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Gráfico&#10;&#10;O conteúdo gerado por IA pode estar incorreto."/>
                    <pic:cNvPicPr/>
                  </pic:nvPicPr>
                  <pic:blipFill>
                    <a:blip r:embed="rId9" cstate="print"/>
                    <a:stretch>
                      <a:fillRect/>
                    </a:stretch>
                  </pic:blipFill>
                  <pic:spPr>
                    <a:xfrm>
                      <a:off x="0" y="0"/>
                      <a:ext cx="3266437" cy="2545080"/>
                    </a:xfrm>
                    <a:prstGeom prst="rect">
                      <a:avLst/>
                    </a:prstGeom>
                  </pic:spPr>
                </pic:pic>
              </a:graphicData>
            </a:graphic>
          </wp:inline>
        </w:drawing>
      </w:r>
    </w:p>
    <w:p w14:paraId="34C7FF76" w14:textId="447022D1" w:rsidR="00D075FE" w:rsidRDefault="00D075FE" w:rsidP="00D075FE">
      <w:pPr>
        <w:spacing w:after="120"/>
        <w:jc w:val="center"/>
        <w:rPr>
          <w:bCs/>
          <w:sz w:val="20"/>
          <w:lang w:val="pt-BR"/>
        </w:rPr>
      </w:pPr>
      <w:r w:rsidRPr="0049479C">
        <w:rPr>
          <w:b/>
          <w:sz w:val="20"/>
          <w:lang w:val="pt-BR"/>
        </w:rPr>
        <w:t xml:space="preserve">Figura </w:t>
      </w:r>
      <w:r w:rsidRPr="00BE67E7">
        <w:rPr>
          <w:b/>
          <w:sz w:val="20"/>
          <w:lang w:val="pt-BR"/>
        </w:rPr>
        <w:t>2</w:t>
      </w:r>
      <w:r w:rsidRPr="0049479C">
        <w:rPr>
          <w:b/>
          <w:sz w:val="20"/>
          <w:lang w:val="pt-BR"/>
        </w:rPr>
        <w:t xml:space="preserve">: </w:t>
      </w:r>
      <w:r w:rsidR="00BE67E7">
        <w:rPr>
          <w:bCs/>
          <w:sz w:val="20"/>
          <w:lang w:val="pt-BR"/>
        </w:rPr>
        <w:t>Gráfico dos</w:t>
      </w:r>
      <w:r w:rsidR="00BE67E7">
        <w:rPr>
          <w:color w:val="000000"/>
          <w:sz w:val="20"/>
          <w:lang w:val="pt-BR"/>
        </w:rPr>
        <w:t xml:space="preserve"> investimentos</w:t>
      </w:r>
      <w:r w:rsidR="00BE67E7" w:rsidRPr="00BE67E7">
        <w:rPr>
          <w:color w:val="000000"/>
          <w:sz w:val="20"/>
          <w:lang w:val="pt-BR"/>
        </w:rPr>
        <w:t xml:space="preserve"> em </w:t>
      </w:r>
      <w:r w:rsidR="009B146D">
        <w:rPr>
          <w:color w:val="000000"/>
          <w:sz w:val="20"/>
          <w:lang w:val="pt-BR"/>
        </w:rPr>
        <w:t>c</w:t>
      </w:r>
      <w:r w:rsidR="00BE67E7" w:rsidRPr="00BE67E7">
        <w:rPr>
          <w:color w:val="000000"/>
          <w:sz w:val="20"/>
          <w:lang w:val="pt-BR"/>
        </w:rPr>
        <w:t xml:space="preserve">apacitação e </w:t>
      </w:r>
      <w:r w:rsidR="009B146D">
        <w:rPr>
          <w:color w:val="000000"/>
          <w:sz w:val="20"/>
          <w:lang w:val="pt-BR"/>
        </w:rPr>
        <w:t>d</w:t>
      </w:r>
      <w:r w:rsidR="00BE67E7" w:rsidRPr="00BE67E7">
        <w:rPr>
          <w:color w:val="000000"/>
          <w:sz w:val="20"/>
          <w:lang w:val="pt-BR"/>
        </w:rPr>
        <w:t xml:space="preserve">esenvolvimento </w:t>
      </w:r>
      <w:r w:rsidR="009B146D">
        <w:rPr>
          <w:color w:val="000000"/>
          <w:sz w:val="20"/>
          <w:lang w:val="pt-BR"/>
        </w:rPr>
        <w:t>p</w:t>
      </w:r>
      <w:r w:rsidR="00BE67E7" w:rsidRPr="00BE67E7">
        <w:rPr>
          <w:color w:val="000000"/>
          <w:sz w:val="20"/>
          <w:lang w:val="pt-BR"/>
        </w:rPr>
        <w:t>rofissional</w:t>
      </w:r>
      <w:r w:rsidRPr="00D075FE">
        <w:rPr>
          <w:bCs/>
          <w:sz w:val="20"/>
          <w:lang w:val="pt-BR"/>
        </w:rPr>
        <w:t>.</w:t>
      </w:r>
      <w:r w:rsidRPr="0049479C">
        <w:rPr>
          <w:b/>
          <w:sz w:val="20"/>
          <w:lang w:val="pt-BR"/>
        </w:rPr>
        <w:t xml:space="preserve"> Fonte: </w:t>
      </w:r>
      <w:r w:rsidRPr="00D075FE">
        <w:rPr>
          <w:bCs/>
          <w:sz w:val="20"/>
          <w:lang w:val="pt-BR"/>
        </w:rPr>
        <w:t>elaborado pelos autores.</w:t>
      </w:r>
    </w:p>
    <w:p w14:paraId="32E6E6C6" w14:textId="77777777" w:rsidR="001F2667" w:rsidRDefault="001F2667" w:rsidP="00D075FE">
      <w:pPr>
        <w:spacing w:after="120"/>
        <w:jc w:val="center"/>
        <w:rPr>
          <w:bCs/>
          <w:sz w:val="20"/>
          <w:lang w:val="pt-BR"/>
        </w:rPr>
      </w:pPr>
    </w:p>
    <w:p w14:paraId="06F8941D" w14:textId="77777777" w:rsidR="00177DD8" w:rsidRDefault="001F2667" w:rsidP="00944AB3">
      <w:pPr>
        <w:spacing w:after="120"/>
        <w:ind w:firstLine="360"/>
        <w:rPr>
          <w:szCs w:val="24"/>
          <w:lang w:val="pt-BR"/>
        </w:rPr>
      </w:pPr>
      <w:r>
        <w:rPr>
          <w:szCs w:val="24"/>
          <w:lang w:val="pt-BR"/>
        </w:rPr>
        <w:t xml:space="preserve">Em relação ao gráfico ilustrado na Figura </w:t>
      </w:r>
      <w:r w:rsidR="009B7D07">
        <w:rPr>
          <w:szCs w:val="24"/>
          <w:lang w:val="pt-BR"/>
        </w:rPr>
        <w:t>3</w:t>
      </w:r>
      <w:r>
        <w:rPr>
          <w:szCs w:val="24"/>
          <w:lang w:val="pt-BR"/>
        </w:rPr>
        <w:t xml:space="preserve">, o aumento dos investimentos em segurança e saúde do trabalho </w:t>
      </w:r>
      <w:r w:rsidR="007839A6">
        <w:rPr>
          <w:szCs w:val="24"/>
          <w:lang w:val="pt-BR"/>
        </w:rPr>
        <w:t>gerou a diminuição d</w:t>
      </w:r>
      <w:r w:rsidR="004379B1">
        <w:rPr>
          <w:szCs w:val="24"/>
          <w:lang w:val="pt-BR"/>
        </w:rPr>
        <w:t>o</w:t>
      </w:r>
      <w:r w:rsidR="00C34F16">
        <w:rPr>
          <w:szCs w:val="24"/>
          <w:lang w:val="pt-BR"/>
        </w:rPr>
        <w:t xml:space="preserve"> </w:t>
      </w:r>
      <w:r w:rsidR="004379B1" w:rsidRPr="004379B1">
        <w:rPr>
          <w:szCs w:val="24"/>
          <w:lang w:val="pt-BR"/>
        </w:rPr>
        <w:t>número de acidentes do trabalho com afastamento</w:t>
      </w:r>
      <w:r w:rsidR="00C34F16">
        <w:rPr>
          <w:szCs w:val="24"/>
          <w:lang w:val="pt-BR"/>
        </w:rPr>
        <w:t xml:space="preserve">, o que é um reforça a importância do investimento nessa área. </w:t>
      </w:r>
    </w:p>
    <w:p w14:paraId="3C60430C" w14:textId="14D33DDA" w:rsidR="00944AB3" w:rsidRDefault="00C34F16" w:rsidP="00944AB3">
      <w:pPr>
        <w:spacing w:after="120"/>
        <w:ind w:firstLine="360"/>
        <w:rPr>
          <w:szCs w:val="24"/>
          <w:lang w:val="pt-BR"/>
        </w:rPr>
      </w:pPr>
      <w:r>
        <w:rPr>
          <w:szCs w:val="24"/>
          <w:lang w:val="pt-BR"/>
        </w:rPr>
        <w:t>De acordo com o gráfico ilustrado na Figura 4, os investimentos em capacitação e desenvolvimento profissional somados aos investimentos em educação também geraram uma queda n</w:t>
      </w:r>
      <w:r w:rsidR="004379B1">
        <w:rPr>
          <w:szCs w:val="24"/>
          <w:lang w:val="pt-BR"/>
        </w:rPr>
        <w:t>o</w:t>
      </w:r>
      <w:r>
        <w:rPr>
          <w:szCs w:val="24"/>
          <w:lang w:val="pt-BR"/>
        </w:rPr>
        <w:t xml:space="preserve"> </w:t>
      </w:r>
      <w:r w:rsidR="004379B1" w:rsidRPr="004379B1">
        <w:rPr>
          <w:szCs w:val="24"/>
          <w:lang w:val="pt-BR"/>
        </w:rPr>
        <w:t>número de acidentes do trabalho com afastamento</w:t>
      </w:r>
      <w:r>
        <w:rPr>
          <w:szCs w:val="24"/>
          <w:lang w:val="pt-BR"/>
        </w:rPr>
        <w:t xml:space="preserve">, entretanto, por não ser um investimento direcionado, não teve tanto impacto quanto </w:t>
      </w:r>
      <w:r w:rsidR="004379B1">
        <w:rPr>
          <w:szCs w:val="24"/>
          <w:lang w:val="pt-BR"/>
        </w:rPr>
        <w:t>ao mostrado na</w:t>
      </w:r>
      <w:r>
        <w:rPr>
          <w:szCs w:val="24"/>
          <w:lang w:val="pt-BR"/>
        </w:rPr>
        <w:t xml:space="preserve"> Figura 5, que representa o gráfico dos investimentos em segurança e saúde do trabalho somados aos investimentos em capacitação e desenvolvimento profissional e em educação, que retratam tanto os investimentos em conhecimentos gerais da profissão</w:t>
      </w:r>
      <w:r w:rsidR="004379B1">
        <w:rPr>
          <w:szCs w:val="24"/>
          <w:lang w:val="pt-BR"/>
        </w:rPr>
        <w:t>,</w:t>
      </w:r>
      <w:r>
        <w:rPr>
          <w:szCs w:val="24"/>
          <w:lang w:val="pt-BR"/>
        </w:rPr>
        <w:t xml:space="preserve"> quanto àqueles específicos da área de segurança do trabalho.</w:t>
      </w:r>
    </w:p>
    <w:p w14:paraId="43324E43" w14:textId="77777777" w:rsidR="00133340" w:rsidRDefault="00133340" w:rsidP="00944AB3">
      <w:pPr>
        <w:spacing w:after="120"/>
        <w:ind w:firstLine="360"/>
        <w:rPr>
          <w:szCs w:val="24"/>
          <w:lang w:val="pt-BR"/>
        </w:rPr>
      </w:pPr>
    </w:p>
    <w:p w14:paraId="6EB3DB01" w14:textId="77777777" w:rsidR="00133340" w:rsidRDefault="00133340" w:rsidP="00944AB3">
      <w:pPr>
        <w:spacing w:after="120"/>
        <w:ind w:firstLine="360"/>
        <w:rPr>
          <w:szCs w:val="24"/>
          <w:lang w:val="pt-BR"/>
        </w:rPr>
      </w:pPr>
    </w:p>
    <w:p w14:paraId="7859F11D" w14:textId="77777777" w:rsidR="00133340" w:rsidRDefault="00133340" w:rsidP="00944AB3">
      <w:pPr>
        <w:spacing w:after="120"/>
        <w:ind w:firstLine="360"/>
        <w:rPr>
          <w:szCs w:val="24"/>
          <w:lang w:val="pt-BR"/>
        </w:rPr>
      </w:pPr>
    </w:p>
    <w:p w14:paraId="37060183" w14:textId="77777777" w:rsidR="00133340" w:rsidRDefault="00133340" w:rsidP="00944AB3">
      <w:pPr>
        <w:spacing w:after="120"/>
        <w:ind w:firstLine="360"/>
        <w:rPr>
          <w:szCs w:val="24"/>
          <w:lang w:val="pt-BR"/>
        </w:rPr>
      </w:pPr>
    </w:p>
    <w:p w14:paraId="1A7CD1CA" w14:textId="67192E3B" w:rsidR="00D075FE" w:rsidRPr="000F5CC4" w:rsidRDefault="00D075FE" w:rsidP="00D075FE">
      <w:pPr>
        <w:spacing w:before="240" w:after="240"/>
        <w:jc w:val="center"/>
        <w:rPr>
          <w:sz w:val="20"/>
          <w:lang w:val="pt-BR"/>
        </w:rPr>
      </w:pPr>
      <w:r w:rsidRPr="000F5CC4">
        <w:rPr>
          <w:color w:val="000000"/>
          <w:sz w:val="20"/>
          <w:lang w:val="pt-BR"/>
        </w:rPr>
        <w:lastRenderedPageBreak/>
        <w:t xml:space="preserve">Tabela </w:t>
      </w:r>
      <w:r>
        <w:rPr>
          <w:color w:val="000000"/>
          <w:sz w:val="20"/>
          <w:lang w:val="pt-BR"/>
        </w:rPr>
        <w:t>3</w:t>
      </w:r>
      <w:r w:rsidRPr="000F5CC4">
        <w:rPr>
          <w:color w:val="000000"/>
          <w:sz w:val="20"/>
          <w:lang w:val="pt-BR"/>
        </w:rPr>
        <w:t xml:space="preserve">: </w:t>
      </w:r>
      <w:r>
        <w:rPr>
          <w:color w:val="000000"/>
          <w:sz w:val="20"/>
          <w:lang w:val="pt-BR"/>
        </w:rPr>
        <w:t>Funções polinomiais para os investimentos</w:t>
      </w:r>
      <w:r w:rsidR="00A47061" w:rsidRPr="00A47061">
        <w:rPr>
          <w:color w:val="000000"/>
          <w:sz w:val="20"/>
          <w:lang w:val="pt-BR"/>
        </w:rPr>
        <w:t xml:space="preserve"> em </w:t>
      </w:r>
      <w:r w:rsidR="009B146D">
        <w:rPr>
          <w:color w:val="000000"/>
          <w:sz w:val="20"/>
          <w:lang w:val="pt-BR"/>
        </w:rPr>
        <w:t>s</w:t>
      </w:r>
      <w:r w:rsidR="00A47061" w:rsidRPr="00A47061">
        <w:rPr>
          <w:color w:val="000000"/>
          <w:sz w:val="20"/>
          <w:lang w:val="pt-BR"/>
        </w:rPr>
        <w:t xml:space="preserve">egurança e </w:t>
      </w:r>
      <w:r w:rsidR="009B146D">
        <w:rPr>
          <w:color w:val="000000"/>
          <w:sz w:val="20"/>
          <w:lang w:val="pt-BR"/>
        </w:rPr>
        <w:t>s</w:t>
      </w:r>
      <w:r w:rsidR="00A47061" w:rsidRPr="00A47061">
        <w:rPr>
          <w:color w:val="000000"/>
          <w:sz w:val="20"/>
          <w:lang w:val="pt-BR"/>
        </w:rPr>
        <w:t xml:space="preserve">aúde no </w:t>
      </w:r>
      <w:r w:rsidR="009B146D">
        <w:rPr>
          <w:color w:val="000000"/>
          <w:sz w:val="20"/>
          <w:lang w:val="pt-BR"/>
        </w:rPr>
        <w:t>t</w:t>
      </w:r>
      <w:r w:rsidR="00A47061" w:rsidRPr="00A47061">
        <w:rPr>
          <w:color w:val="000000"/>
          <w:sz w:val="20"/>
          <w:lang w:val="pt-BR"/>
        </w:rPr>
        <w:t>rabalho</w:t>
      </w:r>
    </w:p>
    <w:tbl>
      <w:tblPr>
        <w:tblW w:w="6066" w:type="dxa"/>
        <w:jc w:val="center"/>
        <w:tblBorders>
          <w:top w:val="single" w:sz="4" w:space="0" w:color="7F7F7F"/>
          <w:bottom w:val="single" w:sz="4" w:space="0" w:color="7F7F7F"/>
        </w:tblBorders>
        <w:tblLook w:val="04A0" w:firstRow="1" w:lastRow="0" w:firstColumn="1" w:lastColumn="0" w:noHBand="0" w:noVBand="1"/>
      </w:tblPr>
      <w:tblGrid>
        <w:gridCol w:w="2096"/>
        <w:gridCol w:w="3970"/>
      </w:tblGrid>
      <w:tr w:rsidR="00D075FE" w:rsidRPr="005111D7" w14:paraId="0D951208" w14:textId="77777777" w:rsidTr="00D154D4">
        <w:trPr>
          <w:trHeight w:val="307"/>
          <w:jc w:val="center"/>
        </w:trPr>
        <w:tc>
          <w:tcPr>
            <w:tcW w:w="2096" w:type="dxa"/>
            <w:tcBorders>
              <w:top w:val="single" w:sz="12" w:space="0" w:color="auto"/>
              <w:bottom w:val="single" w:sz="12" w:space="0" w:color="auto"/>
            </w:tcBorders>
            <w:shd w:val="clear" w:color="auto" w:fill="auto"/>
            <w:noWrap/>
            <w:vAlign w:val="center"/>
            <w:hideMark/>
          </w:tcPr>
          <w:p w14:paraId="4188E4E2" w14:textId="77777777" w:rsidR="00D075FE" w:rsidRPr="005111D7" w:rsidRDefault="00D075FE" w:rsidP="00D154D4">
            <w:pPr>
              <w:jc w:val="center"/>
              <w:rPr>
                <w:b/>
                <w:bCs/>
                <w:color w:val="000000"/>
                <w:szCs w:val="24"/>
              </w:rPr>
            </w:pPr>
            <w:r w:rsidRPr="005111D7">
              <w:rPr>
                <w:b/>
                <w:bCs/>
                <w:i/>
                <w:color w:val="000000"/>
                <w:szCs w:val="24"/>
              </w:rPr>
              <w:t>Parâmetros</w:t>
            </w:r>
          </w:p>
        </w:tc>
        <w:tc>
          <w:tcPr>
            <w:tcW w:w="3970" w:type="dxa"/>
            <w:tcBorders>
              <w:top w:val="single" w:sz="12" w:space="0" w:color="auto"/>
              <w:bottom w:val="single" w:sz="12" w:space="0" w:color="auto"/>
            </w:tcBorders>
            <w:shd w:val="clear" w:color="auto" w:fill="auto"/>
            <w:noWrap/>
            <w:vAlign w:val="center"/>
            <w:hideMark/>
          </w:tcPr>
          <w:p w14:paraId="3BC19C47" w14:textId="02FDA3E5" w:rsidR="00D075FE" w:rsidRPr="005111D7" w:rsidRDefault="00D075FE" w:rsidP="00D154D4">
            <w:pPr>
              <w:jc w:val="center"/>
              <w:rPr>
                <w:b/>
                <w:bCs/>
                <w:color w:val="000000"/>
                <w:szCs w:val="24"/>
              </w:rPr>
            </w:pPr>
            <w:r w:rsidRPr="005111D7">
              <w:rPr>
                <w:b/>
                <w:bCs/>
                <w:color w:val="000000"/>
                <w:szCs w:val="24"/>
              </w:rPr>
              <w:t>Tipo I</w:t>
            </w:r>
            <w:r w:rsidR="00B45B26" w:rsidRPr="005111D7">
              <w:rPr>
                <w:b/>
                <w:bCs/>
                <w:color w:val="000000"/>
                <w:szCs w:val="24"/>
              </w:rPr>
              <w:t>II</w:t>
            </w:r>
          </w:p>
        </w:tc>
      </w:tr>
      <w:tr w:rsidR="00D075FE" w:rsidRPr="005111D7" w14:paraId="7C3CEBE4" w14:textId="77777777" w:rsidTr="00D154D4">
        <w:trPr>
          <w:trHeight w:val="307"/>
          <w:jc w:val="center"/>
        </w:trPr>
        <w:tc>
          <w:tcPr>
            <w:tcW w:w="2096" w:type="dxa"/>
            <w:tcBorders>
              <w:top w:val="single" w:sz="12" w:space="0" w:color="auto"/>
              <w:bottom w:val="single" w:sz="4" w:space="0" w:color="7F7F7F"/>
            </w:tcBorders>
            <w:shd w:val="clear" w:color="auto" w:fill="auto"/>
            <w:noWrap/>
            <w:vAlign w:val="center"/>
            <w:hideMark/>
          </w:tcPr>
          <w:p w14:paraId="2AE18643"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0</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0</m:t>
                  </m:r>
                </m:sub>
              </m:sSub>
            </m:oMath>
          </w:p>
        </w:tc>
        <w:tc>
          <w:tcPr>
            <w:tcW w:w="3970" w:type="dxa"/>
            <w:tcBorders>
              <w:top w:val="single" w:sz="12" w:space="0" w:color="auto"/>
              <w:bottom w:val="single" w:sz="4" w:space="0" w:color="7F7F7F"/>
            </w:tcBorders>
            <w:shd w:val="clear" w:color="auto" w:fill="auto"/>
            <w:noWrap/>
            <w:vAlign w:val="center"/>
            <w:hideMark/>
          </w:tcPr>
          <w:p w14:paraId="28E88B83" w14:textId="6FC258A0" w:rsidR="00D075FE" w:rsidRPr="003A5942" w:rsidRDefault="00D075FE" w:rsidP="00D154D4">
            <w:pPr>
              <w:jc w:val="center"/>
              <w:rPr>
                <w:color w:val="000000"/>
                <w:sz w:val="22"/>
                <w:szCs w:val="22"/>
              </w:rPr>
            </w:pPr>
            <m:oMathPara>
              <m:oMath>
                <m:r>
                  <w:rPr>
                    <w:rFonts w:ascii="Cambria Math" w:hAnsi="Cambria Math"/>
                    <w:color w:val="000000"/>
                    <w:sz w:val="22"/>
                    <w:szCs w:val="22"/>
                  </w:rPr>
                  <m:t xml:space="preserve">2,76 </m:t>
                </m:r>
                <m:r>
                  <m:rPr>
                    <m:sty m:val="p"/>
                  </m:rPr>
                  <w:rPr>
                    <w:rFonts w:ascii="Cambria Math" w:hAnsi="Cambria Math"/>
                    <w:color w:val="000000"/>
                    <w:sz w:val="22"/>
                    <w:szCs w:val="22"/>
                  </w:rPr>
                  <m:t>± 0,42</m:t>
                </m:r>
              </m:oMath>
            </m:oMathPara>
          </w:p>
        </w:tc>
      </w:tr>
      <w:tr w:rsidR="00D075FE" w:rsidRPr="005111D7" w14:paraId="65BBCEEA" w14:textId="77777777" w:rsidTr="00D154D4">
        <w:trPr>
          <w:trHeight w:val="307"/>
          <w:jc w:val="center"/>
        </w:trPr>
        <w:tc>
          <w:tcPr>
            <w:tcW w:w="2096" w:type="dxa"/>
            <w:shd w:val="clear" w:color="auto" w:fill="auto"/>
            <w:noWrap/>
            <w:vAlign w:val="center"/>
            <w:hideMark/>
          </w:tcPr>
          <w:p w14:paraId="483278B9"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1</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1</m:t>
                  </m:r>
                </m:sub>
              </m:sSub>
            </m:oMath>
          </w:p>
          <w:p w14:paraId="534E2474" w14:textId="77777777" w:rsidR="00D075FE" w:rsidRPr="005111D7" w:rsidRDefault="00D075FE" w:rsidP="00D154D4">
            <w:pPr>
              <w:jc w:val="center"/>
              <w:rPr>
                <w:color w:val="000000"/>
                <w:szCs w:val="24"/>
              </w:rPr>
            </w:pPr>
          </w:p>
        </w:tc>
        <w:tc>
          <w:tcPr>
            <w:tcW w:w="3970" w:type="dxa"/>
            <w:shd w:val="clear" w:color="auto" w:fill="auto"/>
            <w:noWrap/>
            <w:vAlign w:val="center"/>
            <w:hideMark/>
          </w:tcPr>
          <w:p w14:paraId="77D94869" w14:textId="68204FAD" w:rsidR="00D075FE" w:rsidRPr="003A5942" w:rsidRDefault="00B45B26" w:rsidP="00D154D4">
            <w:pPr>
              <w:jc w:val="center"/>
              <w:rPr>
                <w:color w:val="000000"/>
                <w:sz w:val="22"/>
                <w:szCs w:val="22"/>
              </w:rPr>
            </w:pPr>
            <m:oMath>
              <m:r>
                <w:rPr>
                  <w:rFonts w:ascii="Cambria Math" w:hAnsi="Cambria Math"/>
                  <w:color w:val="000000"/>
                  <w:sz w:val="22"/>
                  <w:szCs w:val="22"/>
                </w:rPr>
                <m:t xml:space="preserve">-0,43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-1</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0,57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-2</m:t>
                  </m:r>
                </m:sup>
              </m:sSup>
            </m:oMath>
            <w:r w:rsidR="00D075FE" w:rsidRPr="003A5942">
              <w:rPr>
                <w:color w:val="000000"/>
                <w:sz w:val="22"/>
                <w:szCs w:val="22"/>
              </w:rPr>
              <w:t xml:space="preserve"> </w:t>
            </w:r>
          </w:p>
        </w:tc>
      </w:tr>
      <w:tr w:rsidR="00D075FE" w:rsidRPr="005111D7" w14:paraId="3D9E093D" w14:textId="77777777" w:rsidTr="00D154D4">
        <w:trPr>
          <w:trHeight w:val="307"/>
          <w:jc w:val="center"/>
        </w:trPr>
        <w:tc>
          <w:tcPr>
            <w:tcW w:w="2096" w:type="dxa"/>
            <w:tcBorders>
              <w:top w:val="single" w:sz="4" w:space="0" w:color="7F7F7F"/>
              <w:bottom w:val="single" w:sz="4" w:space="0" w:color="7F7F7F"/>
            </w:tcBorders>
            <w:shd w:val="clear" w:color="auto" w:fill="auto"/>
            <w:noWrap/>
            <w:vAlign w:val="center"/>
          </w:tcPr>
          <w:p w14:paraId="70FDE110" w14:textId="77777777" w:rsidR="00D075FE" w:rsidRPr="005111D7" w:rsidRDefault="003C5C89" w:rsidP="00D154D4">
            <w:pPr>
              <w:pStyle w:val="TableParagraph"/>
              <w:spacing w:before="113" w:line="216" w:lineRule="exact"/>
              <w:ind w:right="131"/>
              <w:jc w:val="center"/>
              <w:rPr>
                <w:color w:val="000000"/>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2</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2</m:t>
                  </m:r>
                </m:sub>
              </m:sSub>
            </m:oMath>
          </w:p>
        </w:tc>
        <w:tc>
          <w:tcPr>
            <w:tcW w:w="3970" w:type="dxa"/>
            <w:tcBorders>
              <w:top w:val="single" w:sz="4" w:space="0" w:color="7F7F7F"/>
              <w:bottom w:val="single" w:sz="4" w:space="0" w:color="7F7F7F"/>
            </w:tcBorders>
            <w:shd w:val="clear" w:color="auto" w:fill="auto"/>
            <w:noWrap/>
            <w:vAlign w:val="center"/>
          </w:tcPr>
          <w:p w14:paraId="56B01EE5" w14:textId="702EBBD7" w:rsidR="00D075FE" w:rsidRPr="003A5942" w:rsidRDefault="00B45B26" w:rsidP="00D154D4">
            <w:pPr>
              <w:jc w:val="center"/>
              <w:rPr>
                <w:color w:val="000000"/>
                <w:sz w:val="22"/>
                <w:szCs w:val="22"/>
              </w:rPr>
            </w:pPr>
            <m:oMath>
              <m:r>
                <w:rPr>
                  <w:rFonts w:ascii="Cambria Math" w:hAnsi="Cambria Math"/>
                  <w:color w:val="000000"/>
                  <w:sz w:val="22"/>
                  <w:szCs w:val="22"/>
                </w:rPr>
                <m:t xml:space="preserve">0,25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-3</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0,45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-4</m:t>
                  </m:r>
                </m:sup>
              </m:sSup>
            </m:oMath>
            <w:r w:rsidR="00D075FE" w:rsidRPr="003A5942">
              <w:rPr>
                <w:color w:val="000000"/>
                <w:sz w:val="22"/>
                <w:szCs w:val="22"/>
              </w:rPr>
              <w:t xml:space="preserve"> </w:t>
            </w:r>
          </w:p>
        </w:tc>
      </w:tr>
      <w:tr w:rsidR="00D075FE" w:rsidRPr="005111D7" w14:paraId="3AE5CFCD" w14:textId="77777777" w:rsidTr="00D154D4">
        <w:trPr>
          <w:trHeight w:val="307"/>
          <w:jc w:val="center"/>
        </w:trPr>
        <w:tc>
          <w:tcPr>
            <w:tcW w:w="2096" w:type="dxa"/>
            <w:shd w:val="clear" w:color="auto" w:fill="auto"/>
            <w:noWrap/>
            <w:vAlign w:val="center"/>
            <w:hideMark/>
          </w:tcPr>
          <w:p w14:paraId="72D53F06"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3</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3</m:t>
                  </m:r>
                </m:sub>
              </m:sSub>
            </m:oMath>
          </w:p>
          <w:p w14:paraId="79DFCF86" w14:textId="77777777" w:rsidR="00D075FE" w:rsidRPr="005111D7" w:rsidRDefault="00D075FE" w:rsidP="00D154D4">
            <w:pPr>
              <w:jc w:val="center"/>
              <w:rPr>
                <w:color w:val="000000"/>
                <w:szCs w:val="24"/>
              </w:rPr>
            </w:pPr>
          </w:p>
        </w:tc>
        <w:tc>
          <w:tcPr>
            <w:tcW w:w="3970" w:type="dxa"/>
            <w:shd w:val="clear" w:color="auto" w:fill="auto"/>
            <w:noWrap/>
            <w:vAlign w:val="center"/>
            <w:hideMark/>
          </w:tcPr>
          <w:p w14:paraId="1A293BBF" w14:textId="44A2113B" w:rsidR="00D075FE" w:rsidRPr="003A5942" w:rsidRDefault="00D075FE" w:rsidP="00D154D4">
            <w:pPr>
              <w:jc w:val="center"/>
              <w:rPr>
                <w:color w:val="000000"/>
                <w:sz w:val="22"/>
                <w:szCs w:val="22"/>
              </w:rPr>
            </w:pPr>
            <m:oMath>
              <m:r>
                <w:rPr>
                  <w:rFonts w:ascii="Cambria Math" w:hAnsi="Cambria Math"/>
                  <w:color w:val="000000"/>
                  <w:sz w:val="22"/>
                  <w:szCs w:val="22"/>
                </w:rPr>
                <m:t xml:space="preserve">-0,45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-6</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0,17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-6</m:t>
                  </m:r>
                </m:sup>
              </m:sSup>
            </m:oMath>
            <w:r w:rsidRPr="003A5942">
              <w:rPr>
                <w:color w:val="000000"/>
                <w:sz w:val="22"/>
                <w:szCs w:val="22"/>
              </w:rPr>
              <w:t xml:space="preserve"> </w:t>
            </w:r>
          </w:p>
        </w:tc>
      </w:tr>
      <w:tr w:rsidR="00D075FE" w:rsidRPr="005111D7" w14:paraId="59E3F9C1" w14:textId="77777777" w:rsidTr="00D154D4">
        <w:trPr>
          <w:trHeight w:val="307"/>
          <w:jc w:val="center"/>
        </w:trPr>
        <w:tc>
          <w:tcPr>
            <w:tcW w:w="2096" w:type="dxa"/>
            <w:tcBorders>
              <w:top w:val="single" w:sz="4" w:space="0" w:color="7F7F7F"/>
              <w:bottom w:val="single" w:sz="4" w:space="0" w:color="7F7F7F"/>
            </w:tcBorders>
            <w:shd w:val="clear" w:color="auto" w:fill="auto"/>
            <w:noWrap/>
            <w:vAlign w:val="center"/>
            <w:hideMark/>
          </w:tcPr>
          <w:p w14:paraId="1D61B4E8"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4</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4</m:t>
                  </m:r>
                </m:sub>
              </m:sSub>
            </m:oMath>
          </w:p>
          <w:p w14:paraId="4865DC0E" w14:textId="77777777" w:rsidR="00D075FE" w:rsidRPr="005111D7" w:rsidRDefault="00D075FE" w:rsidP="00D154D4">
            <w:pPr>
              <w:jc w:val="center"/>
              <w:rPr>
                <w:color w:val="000000"/>
                <w:szCs w:val="24"/>
              </w:rPr>
            </w:pPr>
          </w:p>
        </w:tc>
        <w:tc>
          <w:tcPr>
            <w:tcW w:w="3970" w:type="dxa"/>
            <w:tcBorders>
              <w:top w:val="single" w:sz="4" w:space="0" w:color="7F7F7F"/>
              <w:bottom w:val="single" w:sz="4" w:space="0" w:color="7F7F7F"/>
            </w:tcBorders>
            <w:shd w:val="clear" w:color="auto" w:fill="auto"/>
            <w:noWrap/>
            <w:vAlign w:val="center"/>
            <w:hideMark/>
          </w:tcPr>
          <w:p w14:paraId="06B7F2A3" w14:textId="77777777" w:rsidR="00D075FE" w:rsidRPr="003A5942" w:rsidRDefault="00D075FE" w:rsidP="00D154D4">
            <w:pPr>
              <w:jc w:val="center"/>
              <w:rPr>
                <w:color w:val="000000"/>
                <w:sz w:val="22"/>
                <w:szCs w:val="22"/>
              </w:rPr>
            </w:pPr>
            <w:r>
              <w:rPr>
                <w:color w:val="000000"/>
                <w:sz w:val="22"/>
                <w:szCs w:val="22"/>
              </w:rPr>
              <w:t>---</w:t>
            </w:r>
          </w:p>
        </w:tc>
      </w:tr>
      <w:tr w:rsidR="00D075FE" w:rsidRPr="005111D7" w14:paraId="727FEB3B" w14:textId="77777777" w:rsidTr="00D154D4">
        <w:trPr>
          <w:trHeight w:val="307"/>
          <w:jc w:val="center"/>
        </w:trPr>
        <w:tc>
          <w:tcPr>
            <w:tcW w:w="2096" w:type="dxa"/>
            <w:tcBorders>
              <w:top w:val="single" w:sz="4" w:space="0" w:color="7F7F7F"/>
              <w:bottom w:val="single" w:sz="12" w:space="0" w:color="auto"/>
            </w:tcBorders>
            <w:shd w:val="clear" w:color="auto" w:fill="auto"/>
            <w:noWrap/>
            <w:vAlign w:val="center"/>
            <w:hideMark/>
          </w:tcPr>
          <w:p w14:paraId="19F15734" w14:textId="77777777" w:rsidR="00D075FE" w:rsidRPr="005111D7" w:rsidRDefault="003C5C89" w:rsidP="00D154D4">
            <w:pPr>
              <w:jc w:val="center"/>
              <w:rPr>
                <w:color w:val="000000"/>
                <w:szCs w:val="24"/>
              </w:rPr>
            </w:pPr>
            <m:oMath>
              <m:sSubSup>
                <m:sSubSupPr>
                  <m:ctrlPr>
                    <w:rPr>
                      <w:rFonts w:ascii="Cambria Math" w:hAnsi="Cambria Math"/>
                      <w:i/>
                      <w:color w:val="000000"/>
                      <w:szCs w:val="24"/>
                    </w:rPr>
                  </m:ctrlPr>
                </m:sSubSupPr>
                <m:e>
                  <m:r>
                    <w:rPr>
                      <w:rFonts w:ascii="Cambria Math" w:hAnsi="Cambria Math"/>
                      <w:color w:val="000000"/>
                      <w:szCs w:val="24"/>
                    </w:rPr>
                    <m:t>x</m:t>
                  </m:r>
                </m:e>
                <m:sub>
                  <m:r>
                    <w:rPr>
                      <w:rFonts w:ascii="Cambria Math" w:hAnsi="Cambria Math"/>
                      <w:color w:val="000000"/>
                      <w:szCs w:val="24"/>
                    </w:rPr>
                    <m:t>min</m:t>
                  </m:r>
                </m:sub>
                <m:sup>
                  <m:r>
                    <w:rPr>
                      <w:rFonts w:ascii="Cambria Math" w:hAnsi="Cambria Math"/>
                      <w:color w:val="000000"/>
                      <w:szCs w:val="24"/>
                    </w:rPr>
                    <m:t>2</m:t>
                  </m:r>
                </m:sup>
              </m:sSubSup>
              <m:r>
                <w:rPr>
                  <w:rFonts w:ascii="Cambria Math" w:hAnsi="Cambria Math"/>
                  <w:color w:val="000000"/>
                  <w:szCs w:val="24"/>
                </w:rPr>
                <m:t xml:space="preserve"> ,</m:t>
              </m:r>
            </m:oMath>
            <w:r w:rsidR="00D075FE" w:rsidRPr="005111D7">
              <w:rPr>
                <w:color w:val="000000"/>
                <w:szCs w:val="24"/>
              </w:rPr>
              <w:t xml:space="preserve"> </w:t>
            </w:r>
            <m:oMath>
              <m:r>
                <w:rPr>
                  <w:rFonts w:ascii="Cambria Math" w:hAnsi="Cambria Math"/>
                  <w:color w:val="000000"/>
                  <w:szCs w:val="24"/>
                </w:rPr>
                <m:t>Q(</m:t>
              </m:r>
              <m:f>
                <m:fPr>
                  <m:ctrlPr>
                    <w:rPr>
                      <w:rFonts w:ascii="Cambria Math" w:hAnsi="Cambria Math"/>
                      <w:i/>
                      <w:color w:val="000000"/>
                      <w:szCs w:val="24"/>
                    </w:rPr>
                  </m:ctrlPr>
                </m:fPr>
                <m:num>
                  <m:r>
                    <w:rPr>
                      <w:rFonts w:ascii="Cambria Math" w:hAnsi="Cambria Math"/>
                      <w:color w:val="000000"/>
                      <w:szCs w:val="24"/>
                    </w:rPr>
                    <m:t>ν</m:t>
                  </m:r>
                </m:num>
                <m:den>
                  <m:r>
                    <w:rPr>
                      <w:rFonts w:ascii="Cambria Math" w:hAnsi="Cambria Math"/>
                      <w:color w:val="000000"/>
                      <w:szCs w:val="24"/>
                    </w:rPr>
                    <m:t>2</m:t>
                  </m:r>
                </m:den>
              </m:f>
              <m:r>
                <w:rPr>
                  <w:rFonts w:ascii="Cambria Math" w:hAnsi="Cambria Math"/>
                  <w:color w:val="000000"/>
                  <w:szCs w:val="24"/>
                </w:rPr>
                <m:t xml:space="preserve"> , </m:t>
              </m:r>
              <m:f>
                <m:fPr>
                  <m:ctrlPr>
                    <w:rPr>
                      <w:rFonts w:ascii="Cambria Math" w:hAnsi="Cambria Math"/>
                      <w:i/>
                      <w:color w:val="000000"/>
                      <w:szCs w:val="24"/>
                    </w:rPr>
                  </m:ctrlPr>
                </m:fPr>
                <m:num>
                  <m:sSup>
                    <m:sSupPr>
                      <m:ctrlPr>
                        <w:rPr>
                          <w:rFonts w:ascii="Cambria Math" w:hAnsi="Cambria Math"/>
                          <w:i/>
                          <w:color w:val="000000"/>
                          <w:szCs w:val="24"/>
                        </w:rPr>
                      </m:ctrlPr>
                    </m:sSupPr>
                    <m:e>
                      <m:r>
                        <w:rPr>
                          <w:rFonts w:ascii="Cambria Math" w:hAnsi="Cambria Math"/>
                          <w:color w:val="000000"/>
                          <w:szCs w:val="24"/>
                        </w:rPr>
                        <m:t>x</m:t>
                      </m:r>
                    </m:e>
                    <m:sup>
                      <m:r>
                        <w:rPr>
                          <w:rFonts w:ascii="Cambria Math" w:hAnsi="Cambria Math"/>
                          <w:color w:val="000000"/>
                          <w:szCs w:val="24"/>
                        </w:rPr>
                        <m:t>2</m:t>
                      </m:r>
                    </m:sup>
                  </m:sSup>
                </m:num>
                <m:den>
                  <m:r>
                    <w:rPr>
                      <w:rFonts w:ascii="Cambria Math" w:hAnsi="Cambria Math"/>
                      <w:color w:val="000000"/>
                      <w:szCs w:val="24"/>
                    </w:rPr>
                    <m:t>2</m:t>
                  </m:r>
                </m:den>
              </m:f>
              <m:r>
                <w:rPr>
                  <w:rFonts w:ascii="Cambria Math" w:hAnsi="Cambria Math"/>
                  <w:color w:val="000000"/>
                  <w:szCs w:val="24"/>
                </w:rPr>
                <m:t xml:space="preserve"> )</m:t>
              </m:r>
            </m:oMath>
          </w:p>
        </w:tc>
        <w:tc>
          <w:tcPr>
            <w:tcW w:w="3970" w:type="dxa"/>
            <w:tcBorders>
              <w:top w:val="single" w:sz="4" w:space="0" w:color="7F7F7F"/>
              <w:bottom w:val="single" w:sz="12" w:space="0" w:color="auto"/>
            </w:tcBorders>
            <w:shd w:val="clear" w:color="auto" w:fill="auto"/>
            <w:noWrap/>
            <w:vAlign w:val="center"/>
            <w:hideMark/>
          </w:tcPr>
          <w:p w14:paraId="5AAB238E" w14:textId="7177B3E7" w:rsidR="00D075FE" w:rsidRPr="003A5942" w:rsidRDefault="00B45B26" w:rsidP="00D154D4">
            <w:pPr>
              <w:jc w:val="center"/>
              <w:rPr>
                <w:color w:val="000000"/>
                <w:sz w:val="22"/>
                <w:szCs w:val="22"/>
              </w:rPr>
            </w:pPr>
            <m:oMath>
              <m:r>
                <w:rPr>
                  <w:rFonts w:ascii="Cambria Math" w:hAnsi="Cambria Math"/>
                  <w:color w:val="000000"/>
                  <w:sz w:val="20"/>
                </w:rPr>
                <m:t xml:space="preserve">3,94 × </m:t>
              </m:r>
              <m:sSup>
                <m:sSupPr>
                  <m:ctrlPr>
                    <w:rPr>
                      <w:rFonts w:ascii="Cambria Math" w:hAnsi="Cambria Math"/>
                      <w:i/>
                      <w:color w:val="000000"/>
                      <w:sz w:val="20"/>
                    </w:rPr>
                  </m:ctrlPr>
                </m:sSupPr>
                <m:e>
                  <m:r>
                    <w:rPr>
                      <w:rFonts w:ascii="Cambria Math" w:hAnsi="Cambria Math"/>
                      <w:color w:val="000000"/>
                      <w:sz w:val="20"/>
                    </w:rPr>
                    <m:t>10</m:t>
                  </m:r>
                </m:e>
                <m:sup>
                  <m:r>
                    <w:rPr>
                      <w:rFonts w:ascii="Cambria Math" w:hAnsi="Cambria Math"/>
                      <w:color w:val="000000"/>
                      <w:sz w:val="20"/>
                    </w:rPr>
                    <m:t>-2</m:t>
                  </m:r>
                </m:sup>
              </m:sSup>
              <m:r>
                <w:rPr>
                  <w:rFonts w:ascii="Cambria Math" w:hAnsi="Cambria Math"/>
                  <w:color w:val="000000"/>
                  <w:sz w:val="20"/>
                </w:rPr>
                <m:t xml:space="preserve"> ;</m:t>
              </m:r>
              <m:r>
                <m:rPr>
                  <m:sty m:val="p"/>
                </m:rPr>
                <w:rPr>
                  <w:rFonts w:ascii="Cambria Math" w:hAnsi="Cambria Math"/>
                  <w:color w:val="000000"/>
                  <w:sz w:val="20"/>
                </w:rPr>
                <m:t xml:space="preserve"> 1</m:t>
              </m:r>
            </m:oMath>
            <w:r w:rsidR="00D075FE" w:rsidRPr="003A5942">
              <w:rPr>
                <w:color w:val="000000"/>
                <w:sz w:val="22"/>
                <w:szCs w:val="22"/>
              </w:rPr>
              <w:t xml:space="preserve"> </w:t>
            </w:r>
          </w:p>
        </w:tc>
      </w:tr>
    </w:tbl>
    <w:p w14:paraId="442D280E" w14:textId="136670BD" w:rsidR="002F66A3" w:rsidRDefault="00D075FE" w:rsidP="00D075FE">
      <w:pPr>
        <w:spacing w:after="240"/>
        <w:ind w:left="709"/>
        <w:rPr>
          <w:sz w:val="20"/>
        </w:rPr>
      </w:pPr>
      <w:r w:rsidRPr="0049479C">
        <w:rPr>
          <w:sz w:val="20"/>
        </w:rPr>
        <w:t xml:space="preserve">Fonte: </w:t>
      </w:r>
      <w:r>
        <w:rPr>
          <w:sz w:val="20"/>
        </w:rPr>
        <w:t>Elaborado pelos autores</w:t>
      </w:r>
      <w:r w:rsidR="00565B8E">
        <w:rPr>
          <w:sz w:val="20"/>
        </w:rPr>
        <w:t>.</w:t>
      </w:r>
    </w:p>
    <w:p w14:paraId="691F95FB" w14:textId="77777777" w:rsidR="002F66A3" w:rsidRDefault="002F66A3" w:rsidP="00D075FE">
      <w:pPr>
        <w:spacing w:after="240"/>
        <w:ind w:left="709"/>
        <w:rPr>
          <w:sz w:val="20"/>
        </w:rPr>
      </w:pPr>
    </w:p>
    <w:p w14:paraId="11CCB6BC" w14:textId="661760CA" w:rsidR="006424B1" w:rsidRPr="0049479C" w:rsidRDefault="006424B1" w:rsidP="008872A4">
      <w:pPr>
        <w:spacing w:after="240"/>
        <w:jc w:val="center"/>
        <w:rPr>
          <w:sz w:val="20"/>
        </w:rPr>
      </w:pPr>
      <w:r>
        <w:rPr>
          <w:noProof/>
          <w:sz w:val="20"/>
        </w:rPr>
        <w:drawing>
          <wp:inline distT="0" distB="0" distL="0" distR="0" wp14:anchorId="29E9072A" wp14:editId="249841B4">
            <wp:extent cx="3467100" cy="2431415"/>
            <wp:effectExtent l="0" t="0" r="0" b="6985"/>
            <wp:docPr id="9" name="Image 9" descr="Gráfico, Gráfico de linhas&#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Gráfico, Gráfico de linhas&#10;&#10;O conteúdo gerado por IA pode estar incorreto."/>
                    <pic:cNvPicPr/>
                  </pic:nvPicPr>
                  <pic:blipFill>
                    <a:blip r:embed="rId10" cstate="print"/>
                    <a:stretch>
                      <a:fillRect/>
                    </a:stretch>
                  </pic:blipFill>
                  <pic:spPr>
                    <a:xfrm>
                      <a:off x="0" y="0"/>
                      <a:ext cx="3467592" cy="2431760"/>
                    </a:xfrm>
                    <a:prstGeom prst="rect">
                      <a:avLst/>
                    </a:prstGeom>
                  </pic:spPr>
                </pic:pic>
              </a:graphicData>
            </a:graphic>
          </wp:inline>
        </w:drawing>
      </w:r>
    </w:p>
    <w:p w14:paraId="470A608F" w14:textId="58571DD3" w:rsidR="00D075FE" w:rsidRDefault="00D075FE" w:rsidP="00D075FE">
      <w:pPr>
        <w:spacing w:after="120"/>
        <w:jc w:val="center"/>
        <w:rPr>
          <w:bCs/>
          <w:sz w:val="20"/>
          <w:lang w:val="pt-BR"/>
        </w:rPr>
      </w:pPr>
      <w:r w:rsidRPr="0049479C">
        <w:rPr>
          <w:b/>
          <w:sz w:val="20"/>
          <w:lang w:val="pt-BR"/>
        </w:rPr>
        <w:t xml:space="preserve">Figura </w:t>
      </w:r>
      <w:r>
        <w:rPr>
          <w:b/>
          <w:sz w:val="20"/>
          <w:lang w:val="pt-BR"/>
        </w:rPr>
        <w:t>3</w:t>
      </w:r>
      <w:r w:rsidRPr="0049479C">
        <w:rPr>
          <w:b/>
          <w:sz w:val="20"/>
          <w:lang w:val="pt-BR"/>
        </w:rPr>
        <w:t xml:space="preserve">: </w:t>
      </w:r>
      <w:r w:rsidR="009B146D">
        <w:rPr>
          <w:bCs/>
          <w:sz w:val="20"/>
          <w:lang w:val="pt-BR"/>
        </w:rPr>
        <w:t xml:space="preserve">Gráfico dos </w:t>
      </w:r>
      <w:r w:rsidR="009B146D">
        <w:rPr>
          <w:color w:val="000000"/>
          <w:sz w:val="20"/>
          <w:lang w:val="pt-BR"/>
        </w:rPr>
        <w:t>investimentos</w:t>
      </w:r>
      <w:r w:rsidR="009B146D" w:rsidRPr="00A47061">
        <w:rPr>
          <w:color w:val="000000"/>
          <w:sz w:val="20"/>
          <w:lang w:val="pt-BR"/>
        </w:rPr>
        <w:t xml:space="preserve"> em </w:t>
      </w:r>
      <w:r w:rsidR="009B146D">
        <w:rPr>
          <w:color w:val="000000"/>
          <w:sz w:val="20"/>
          <w:lang w:val="pt-BR"/>
        </w:rPr>
        <w:t>s</w:t>
      </w:r>
      <w:r w:rsidR="009B146D" w:rsidRPr="00A47061">
        <w:rPr>
          <w:color w:val="000000"/>
          <w:sz w:val="20"/>
          <w:lang w:val="pt-BR"/>
        </w:rPr>
        <w:t xml:space="preserve">egurança e </w:t>
      </w:r>
      <w:r w:rsidR="009B146D">
        <w:rPr>
          <w:color w:val="000000"/>
          <w:sz w:val="20"/>
          <w:lang w:val="pt-BR"/>
        </w:rPr>
        <w:t>s</w:t>
      </w:r>
      <w:r w:rsidR="009B146D" w:rsidRPr="00A47061">
        <w:rPr>
          <w:color w:val="000000"/>
          <w:sz w:val="20"/>
          <w:lang w:val="pt-BR"/>
        </w:rPr>
        <w:t xml:space="preserve">aúde no </w:t>
      </w:r>
      <w:r w:rsidR="009B146D">
        <w:rPr>
          <w:color w:val="000000"/>
          <w:sz w:val="20"/>
          <w:lang w:val="pt-BR"/>
        </w:rPr>
        <w:t>t</w:t>
      </w:r>
      <w:r w:rsidR="009B146D" w:rsidRPr="00A47061">
        <w:rPr>
          <w:color w:val="000000"/>
          <w:sz w:val="20"/>
          <w:lang w:val="pt-BR"/>
        </w:rPr>
        <w:t>rabalho</w:t>
      </w:r>
      <w:r w:rsidRPr="00D075FE">
        <w:rPr>
          <w:bCs/>
          <w:sz w:val="20"/>
          <w:lang w:val="pt-BR"/>
        </w:rPr>
        <w:t>.</w:t>
      </w:r>
      <w:r w:rsidRPr="0049479C">
        <w:rPr>
          <w:b/>
          <w:sz w:val="20"/>
          <w:lang w:val="pt-BR"/>
        </w:rPr>
        <w:t xml:space="preserve"> Fonte: </w:t>
      </w:r>
      <w:r w:rsidRPr="00D075FE">
        <w:rPr>
          <w:bCs/>
          <w:sz w:val="20"/>
          <w:lang w:val="pt-BR"/>
        </w:rPr>
        <w:t>elaborado pelos autores.</w:t>
      </w:r>
    </w:p>
    <w:p w14:paraId="0468FB59" w14:textId="77777777" w:rsidR="002F66A3" w:rsidRDefault="002F66A3" w:rsidP="00D075FE">
      <w:pPr>
        <w:spacing w:after="120"/>
        <w:jc w:val="center"/>
        <w:rPr>
          <w:bCs/>
          <w:sz w:val="20"/>
          <w:lang w:val="pt-BR"/>
        </w:rPr>
      </w:pPr>
    </w:p>
    <w:p w14:paraId="2D6E207F" w14:textId="33FE5BC5" w:rsidR="00D075FE" w:rsidRPr="000F5CC4" w:rsidRDefault="00D075FE" w:rsidP="00D075FE">
      <w:pPr>
        <w:spacing w:before="240" w:after="240"/>
        <w:jc w:val="center"/>
        <w:rPr>
          <w:sz w:val="20"/>
          <w:lang w:val="pt-BR"/>
        </w:rPr>
      </w:pPr>
      <w:r w:rsidRPr="000F5CC4">
        <w:rPr>
          <w:color w:val="000000"/>
          <w:sz w:val="20"/>
          <w:lang w:val="pt-BR"/>
        </w:rPr>
        <w:t xml:space="preserve">Tabela </w:t>
      </w:r>
      <w:r>
        <w:rPr>
          <w:color w:val="000000"/>
          <w:sz w:val="20"/>
          <w:lang w:val="pt-BR"/>
        </w:rPr>
        <w:t>4</w:t>
      </w:r>
      <w:r w:rsidRPr="000F5CC4">
        <w:rPr>
          <w:color w:val="000000"/>
          <w:sz w:val="20"/>
          <w:lang w:val="pt-BR"/>
        </w:rPr>
        <w:t xml:space="preserve">: </w:t>
      </w:r>
      <w:r>
        <w:rPr>
          <w:color w:val="000000"/>
          <w:sz w:val="20"/>
          <w:lang w:val="pt-BR"/>
        </w:rPr>
        <w:t xml:space="preserve">Funções polinomiais para os </w:t>
      </w:r>
      <w:r w:rsidR="009B146D">
        <w:rPr>
          <w:color w:val="000000"/>
          <w:sz w:val="20"/>
          <w:lang w:val="pt-BR"/>
        </w:rPr>
        <w:t>i</w:t>
      </w:r>
      <w:r w:rsidR="00A47061" w:rsidRPr="00A47061">
        <w:rPr>
          <w:color w:val="000000"/>
          <w:sz w:val="20"/>
          <w:lang w:val="pt-BR"/>
        </w:rPr>
        <w:t>nvestimento</w:t>
      </w:r>
      <w:r w:rsidR="00C34F16">
        <w:rPr>
          <w:color w:val="000000"/>
          <w:sz w:val="20"/>
          <w:lang w:val="pt-BR"/>
        </w:rPr>
        <w:t>s</w:t>
      </w:r>
      <w:r w:rsidR="00A47061" w:rsidRPr="00A47061">
        <w:rPr>
          <w:color w:val="000000"/>
          <w:sz w:val="20"/>
          <w:lang w:val="pt-BR"/>
        </w:rPr>
        <w:t xml:space="preserve"> em </w:t>
      </w:r>
      <w:r w:rsidR="009B146D">
        <w:rPr>
          <w:color w:val="000000"/>
          <w:sz w:val="20"/>
          <w:lang w:val="pt-BR"/>
        </w:rPr>
        <w:t>c</w:t>
      </w:r>
      <w:r w:rsidR="00A47061" w:rsidRPr="00A47061">
        <w:rPr>
          <w:color w:val="000000"/>
          <w:sz w:val="20"/>
          <w:lang w:val="pt-BR"/>
        </w:rPr>
        <w:t xml:space="preserve">apacitação e </w:t>
      </w:r>
      <w:r w:rsidR="009B146D">
        <w:rPr>
          <w:color w:val="000000"/>
          <w:sz w:val="20"/>
          <w:lang w:val="pt-BR"/>
        </w:rPr>
        <w:t>d</w:t>
      </w:r>
      <w:r w:rsidR="00A47061" w:rsidRPr="00A47061">
        <w:rPr>
          <w:color w:val="000000"/>
          <w:sz w:val="20"/>
          <w:lang w:val="pt-BR"/>
        </w:rPr>
        <w:t xml:space="preserve">esenvolvimento </w:t>
      </w:r>
      <w:r w:rsidR="009B146D">
        <w:rPr>
          <w:color w:val="000000"/>
          <w:sz w:val="20"/>
          <w:lang w:val="pt-BR"/>
        </w:rPr>
        <w:t>p</w:t>
      </w:r>
      <w:r w:rsidR="00A47061" w:rsidRPr="00A47061">
        <w:rPr>
          <w:color w:val="000000"/>
          <w:sz w:val="20"/>
          <w:lang w:val="pt-BR"/>
        </w:rPr>
        <w:t xml:space="preserve">rofissional e em </w:t>
      </w:r>
      <w:r w:rsidR="009B146D">
        <w:rPr>
          <w:color w:val="000000"/>
          <w:sz w:val="20"/>
          <w:lang w:val="pt-BR"/>
        </w:rPr>
        <w:t>s</w:t>
      </w:r>
      <w:r w:rsidR="00A47061" w:rsidRPr="00A47061">
        <w:rPr>
          <w:color w:val="000000"/>
          <w:sz w:val="20"/>
          <w:lang w:val="pt-BR"/>
        </w:rPr>
        <w:t>egurança</w:t>
      </w:r>
      <w:r w:rsidR="00A47061">
        <w:rPr>
          <w:color w:val="000000"/>
          <w:sz w:val="20"/>
          <w:lang w:val="pt-BR"/>
        </w:rPr>
        <w:t xml:space="preserve"> e </w:t>
      </w:r>
      <w:r w:rsidR="009B146D">
        <w:rPr>
          <w:color w:val="000000"/>
          <w:sz w:val="20"/>
          <w:lang w:val="pt-BR"/>
        </w:rPr>
        <w:t>s</w:t>
      </w:r>
      <w:r w:rsidR="00A47061" w:rsidRPr="00A47061">
        <w:rPr>
          <w:color w:val="000000"/>
          <w:sz w:val="20"/>
          <w:lang w:val="pt-BR"/>
        </w:rPr>
        <w:t xml:space="preserve">aúde do </w:t>
      </w:r>
      <w:r w:rsidR="009B146D">
        <w:rPr>
          <w:color w:val="000000"/>
          <w:sz w:val="20"/>
          <w:lang w:val="pt-BR"/>
        </w:rPr>
        <w:t>t</w:t>
      </w:r>
      <w:r w:rsidR="00A47061" w:rsidRPr="00A47061">
        <w:rPr>
          <w:color w:val="000000"/>
          <w:sz w:val="20"/>
          <w:lang w:val="pt-BR"/>
        </w:rPr>
        <w:t>rabalhador</w:t>
      </w:r>
    </w:p>
    <w:tbl>
      <w:tblPr>
        <w:tblW w:w="6066" w:type="dxa"/>
        <w:jc w:val="center"/>
        <w:tblBorders>
          <w:top w:val="single" w:sz="4" w:space="0" w:color="7F7F7F"/>
          <w:bottom w:val="single" w:sz="4" w:space="0" w:color="7F7F7F"/>
        </w:tblBorders>
        <w:tblLook w:val="04A0" w:firstRow="1" w:lastRow="0" w:firstColumn="1" w:lastColumn="0" w:noHBand="0" w:noVBand="1"/>
      </w:tblPr>
      <w:tblGrid>
        <w:gridCol w:w="2096"/>
        <w:gridCol w:w="3970"/>
      </w:tblGrid>
      <w:tr w:rsidR="00D075FE" w:rsidRPr="005111D7" w14:paraId="3AC1F92E" w14:textId="77777777" w:rsidTr="00D154D4">
        <w:trPr>
          <w:trHeight w:val="307"/>
          <w:jc w:val="center"/>
        </w:trPr>
        <w:tc>
          <w:tcPr>
            <w:tcW w:w="2096" w:type="dxa"/>
            <w:tcBorders>
              <w:top w:val="single" w:sz="12" w:space="0" w:color="auto"/>
              <w:bottom w:val="single" w:sz="12" w:space="0" w:color="auto"/>
            </w:tcBorders>
            <w:shd w:val="clear" w:color="auto" w:fill="auto"/>
            <w:noWrap/>
            <w:vAlign w:val="center"/>
            <w:hideMark/>
          </w:tcPr>
          <w:p w14:paraId="74E16E31" w14:textId="77777777" w:rsidR="00D075FE" w:rsidRPr="005111D7" w:rsidRDefault="00D075FE" w:rsidP="00D154D4">
            <w:pPr>
              <w:jc w:val="center"/>
              <w:rPr>
                <w:b/>
                <w:bCs/>
                <w:color w:val="000000"/>
                <w:szCs w:val="24"/>
              </w:rPr>
            </w:pPr>
            <w:r w:rsidRPr="005111D7">
              <w:rPr>
                <w:b/>
                <w:bCs/>
                <w:i/>
                <w:color w:val="000000"/>
                <w:szCs w:val="24"/>
              </w:rPr>
              <w:t>Parâmetros</w:t>
            </w:r>
          </w:p>
        </w:tc>
        <w:tc>
          <w:tcPr>
            <w:tcW w:w="3970" w:type="dxa"/>
            <w:tcBorders>
              <w:top w:val="single" w:sz="12" w:space="0" w:color="auto"/>
              <w:bottom w:val="single" w:sz="12" w:space="0" w:color="auto"/>
            </w:tcBorders>
            <w:shd w:val="clear" w:color="auto" w:fill="auto"/>
            <w:noWrap/>
            <w:vAlign w:val="center"/>
            <w:hideMark/>
          </w:tcPr>
          <w:p w14:paraId="074D47A3" w14:textId="34BCF35C" w:rsidR="00D075FE" w:rsidRPr="005111D7" w:rsidRDefault="00D075FE" w:rsidP="00D154D4">
            <w:pPr>
              <w:jc w:val="center"/>
              <w:rPr>
                <w:b/>
                <w:bCs/>
                <w:color w:val="000000"/>
                <w:szCs w:val="24"/>
              </w:rPr>
            </w:pPr>
            <w:r w:rsidRPr="005111D7">
              <w:rPr>
                <w:b/>
                <w:bCs/>
                <w:color w:val="000000"/>
                <w:szCs w:val="24"/>
              </w:rPr>
              <w:t>Tipo I</w:t>
            </w:r>
            <w:r w:rsidR="004E1649">
              <w:rPr>
                <w:b/>
                <w:bCs/>
                <w:color w:val="000000"/>
                <w:szCs w:val="24"/>
              </w:rPr>
              <w:t>V</w:t>
            </w:r>
          </w:p>
        </w:tc>
      </w:tr>
      <w:tr w:rsidR="00D075FE" w:rsidRPr="005111D7" w14:paraId="5CA4828E" w14:textId="77777777" w:rsidTr="00D154D4">
        <w:trPr>
          <w:trHeight w:val="307"/>
          <w:jc w:val="center"/>
        </w:trPr>
        <w:tc>
          <w:tcPr>
            <w:tcW w:w="2096" w:type="dxa"/>
            <w:tcBorders>
              <w:top w:val="single" w:sz="12" w:space="0" w:color="auto"/>
              <w:bottom w:val="single" w:sz="4" w:space="0" w:color="7F7F7F"/>
            </w:tcBorders>
            <w:shd w:val="clear" w:color="auto" w:fill="auto"/>
            <w:noWrap/>
            <w:vAlign w:val="center"/>
            <w:hideMark/>
          </w:tcPr>
          <w:p w14:paraId="3E811FB2"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0</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0</m:t>
                  </m:r>
                </m:sub>
              </m:sSub>
            </m:oMath>
          </w:p>
        </w:tc>
        <w:tc>
          <w:tcPr>
            <w:tcW w:w="3970" w:type="dxa"/>
            <w:tcBorders>
              <w:top w:val="single" w:sz="12" w:space="0" w:color="auto"/>
              <w:bottom w:val="single" w:sz="4" w:space="0" w:color="7F7F7F"/>
            </w:tcBorders>
            <w:shd w:val="clear" w:color="auto" w:fill="auto"/>
            <w:noWrap/>
            <w:vAlign w:val="center"/>
            <w:hideMark/>
          </w:tcPr>
          <w:p w14:paraId="7AA9BC2A" w14:textId="716105FB" w:rsidR="00D075FE" w:rsidRPr="003A5942" w:rsidRDefault="004E1649" w:rsidP="00D154D4">
            <w:pPr>
              <w:jc w:val="center"/>
              <w:rPr>
                <w:color w:val="000000"/>
                <w:sz w:val="22"/>
                <w:szCs w:val="22"/>
              </w:rPr>
            </w:pPr>
            <m:oMathPara>
              <m:oMath>
                <m:r>
                  <w:rPr>
                    <w:rFonts w:ascii="Cambria Math" w:hAnsi="Cambria Math"/>
                    <w:color w:val="000000"/>
                    <w:sz w:val="22"/>
                    <w:szCs w:val="22"/>
                  </w:rPr>
                  <m:t xml:space="preserve">1,68 </m:t>
                </m:r>
                <m:r>
                  <m:rPr>
                    <m:sty m:val="p"/>
                  </m:rPr>
                  <w:rPr>
                    <w:rFonts w:ascii="Cambria Math" w:hAnsi="Cambria Math"/>
                    <w:color w:val="000000"/>
                    <w:sz w:val="22"/>
                    <w:szCs w:val="22"/>
                  </w:rPr>
                  <m:t>± 0,43</m:t>
                </m:r>
              </m:oMath>
            </m:oMathPara>
          </w:p>
        </w:tc>
      </w:tr>
      <w:tr w:rsidR="00D075FE" w:rsidRPr="005111D7" w14:paraId="7C19B815" w14:textId="77777777" w:rsidTr="00D154D4">
        <w:trPr>
          <w:trHeight w:val="307"/>
          <w:jc w:val="center"/>
        </w:trPr>
        <w:tc>
          <w:tcPr>
            <w:tcW w:w="2096" w:type="dxa"/>
            <w:shd w:val="clear" w:color="auto" w:fill="auto"/>
            <w:noWrap/>
            <w:vAlign w:val="center"/>
            <w:hideMark/>
          </w:tcPr>
          <w:p w14:paraId="2E315F9F"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1</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1</m:t>
                  </m:r>
                </m:sub>
              </m:sSub>
            </m:oMath>
          </w:p>
          <w:p w14:paraId="372E2F07" w14:textId="77777777" w:rsidR="00D075FE" w:rsidRPr="005111D7" w:rsidRDefault="00D075FE" w:rsidP="00D154D4">
            <w:pPr>
              <w:jc w:val="center"/>
              <w:rPr>
                <w:color w:val="000000"/>
                <w:szCs w:val="24"/>
              </w:rPr>
            </w:pPr>
          </w:p>
        </w:tc>
        <w:tc>
          <w:tcPr>
            <w:tcW w:w="3970" w:type="dxa"/>
            <w:shd w:val="clear" w:color="auto" w:fill="auto"/>
            <w:noWrap/>
            <w:vAlign w:val="center"/>
            <w:hideMark/>
          </w:tcPr>
          <w:p w14:paraId="01CEF856" w14:textId="0190EC58" w:rsidR="00D075FE" w:rsidRPr="003A5942" w:rsidRDefault="00D075FE" w:rsidP="00D154D4">
            <w:pPr>
              <w:jc w:val="center"/>
              <w:rPr>
                <w:color w:val="000000"/>
                <w:sz w:val="22"/>
                <w:szCs w:val="22"/>
              </w:rPr>
            </w:pPr>
            <m:oMath>
              <m:r>
                <w:rPr>
                  <w:rFonts w:ascii="Cambria Math" w:hAnsi="Cambria Math"/>
                  <w:color w:val="000000"/>
                  <w:sz w:val="22"/>
                  <w:szCs w:val="22"/>
                </w:rPr>
                <m:t xml:space="preserve">-0,72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-2</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0,14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-2</m:t>
                  </m:r>
                </m:sup>
              </m:sSup>
            </m:oMath>
            <w:r w:rsidRPr="003A5942">
              <w:rPr>
                <w:color w:val="000000"/>
                <w:sz w:val="22"/>
                <w:szCs w:val="22"/>
              </w:rPr>
              <w:t xml:space="preserve"> </w:t>
            </w:r>
          </w:p>
        </w:tc>
      </w:tr>
      <w:tr w:rsidR="00D075FE" w:rsidRPr="005111D7" w14:paraId="148B06D8" w14:textId="77777777" w:rsidTr="00D154D4">
        <w:trPr>
          <w:trHeight w:val="307"/>
          <w:jc w:val="center"/>
        </w:trPr>
        <w:tc>
          <w:tcPr>
            <w:tcW w:w="2096" w:type="dxa"/>
            <w:tcBorders>
              <w:top w:val="single" w:sz="4" w:space="0" w:color="7F7F7F"/>
              <w:bottom w:val="single" w:sz="4" w:space="0" w:color="7F7F7F"/>
            </w:tcBorders>
            <w:shd w:val="clear" w:color="auto" w:fill="auto"/>
            <w:noWrap/>
            <w:vAlign w:val="center"/>
          </w:tcPr>
          <w:p w14:paraId="01B7EA5B" w14:textId="77777777" w:rsidR="00D075FE" w:rsidRPr="005111D7" w:rsidRDefault="003C5C89" w:rsidP="00D154D4">
            <w:pPr>
              <w:pStyle w:val="TableParagraph"/>
              <w:spacing w:before="113" w:line="216" w:lineRule="exact"/>
              <w:ind w:right="131"/>
              <w:jc w:val="center"/>
              <w:rPr>
                <w:color w:val="000000"/>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2</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2</m:t>
                  </m:r>
                </m:sub>
              </m:sSub>
            </m:oMath>
          </w:p>
        </w:tc>
        <w:tc>
          <w:tcPr>
            <w:tcW w:w="3970" w:type="dxa"/>
            <w:tcBorders>
              <w:top w:val="single" w:sz="4" w:space="0" w:color="7F7F7F"/>
              <w:bottom w:val="single" w:sz="4" w:space="0" w:color="7F7F7F"/>
            </w:tcBorders>
            <w:shd w:val="clear" w:color="auto" w:fill="auto"/>
            <w:noWrap/>
            <w:vAlign w:val="center"/>
          </w:tcPr>
          <w:p w14:paraId="07A65EAF" w14:textId="76983DE8" w:rsidR="00D075FE" w:rsidRPr="003A5942" w:rsidRDefault="004E1649" w:rsidP="00D154D4">
            <w:pPr>
              <w:jc w:val="center"/>
              <w:rPr>
                <w:color w:val="000000"/>
                <w:sz w:val="22"/>
                <w:szCs w:val="22"/>
              </w:rPr>
            </w:pPr>
            <m:oMath>
              <m:r>
                <w:rPr>
                  <w:rFonts w:ascii="Cambria Math" w:hAnsi="Cambria Math"/>
                  <w:color w:val="000000"/>
                  <w:sz w:val="22"/>
                  <w:szCs w:val="22"/>
                </w:rPr>
                <m:t xml:space="preserve">0,16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-4</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0,18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-5</m:t>
                  </m:r>
                </m:sup>
              </m:sSup>
            </m:oMath>
            <w:r w:rsidR="00D075FE" w:rsidRPr="003A5942">
              <w:rPr>
                <w:color w:val="000000"/>
                <w:sz w:val="22"/>
                <w:szCs w:val="22"/>
              </w:rPr>
              <w:t xml:space="preserve"> </w:t>
            </w:r>
          </w:p>
        </w:tc>
      </w:tr>
      <w:tr w:rsidR="00D075FE" w:rsidRPr="005111D7" w14:paraId="742367A9" w14:textId="77777777" w:rsidTr="00D154D4">
        <w:trPr>
          <w:trHeight w:val="307"/>
          <w:jc w:val="center"/>
        </w:trPr>
        <w:tc>
          <w:tcPr>
            <w:tcW w:w="2096" w:type="dxa"/>
            <w:shd w:val="clear" w:color="auto" w:fill="auto"/>
            <w:noWrap/>
            <w:vAlign w:val="center"/>
            <w:hideMark/>
          </w:tcPr>
          <w:p w14:paraId="34923778"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3</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3</m:t>
                  </m:r>
                </m:sub>
              </m:sSub>
            </m:oMath>
          </w:p>
          <w:p w14:paraId="6866CB39" w14:textId="77777777" w:rsidR="00D075FE" w:rsidRPr="005111D7" w:rsidRDefault="00D075FE" w:rsidP="00D154D4">
            <w:pPr>
              <w:jc w:val="center"/>
              <w:rPr>
                <w:color w:val="000000"/>
                <w:szCs w:val="24"/>
              </w:rPr>
            </w:pPr>
          </w:p>
        </w:tc>
        <w:tc>
          <w:tcPr>
            <w:tcW w:w="3970" w:type="dxa"/>
            <w:shd w:val="clear" w:color="auto" w:fill="auto"/>
            <w:noWrap/>
            <w:vAlign w:val="center"/>
            <w:hideMark/>
          </w:tcPr>
          <w:p w14:paraId="4A8F3CFC" w14:textId="098E4315" w:rsidR="00D075FE" w:rsidRPr="003A5942" w:rsidRDefault="00D075FE" w:rsidP="00D154D4">
            <w:pPr>
              <w:jc w:val="center"/>
              <w:rPr>
                <w:color w:val="000000"/>
                <w:sz w:val="22"/>
                <w:szCs w:val="22"/>
              </w:rPr>
            </w:pPr>
            <m:oMath>
              <m:r>
                <w:rPr>
                  <w:rFonts w:ascii="Cambria Math" w:hAnsi="Cambria Math"/>
                  <w:color w:val="000000"/>
                  <w:sz w:val="22"/>
                  <w:szCs w:val="22"/>
                </w:rPr>
                <m:t xml:space="preserve">-0,94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-8</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0,24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-8</m:t>
                  </m:r>
                </m:sup>
              </m:sSup>
            </m:oMath>
            <w:r w:rsidRPr="003A5942">
              <w:rPr>
                <w:color w:val="000000"/>
                <w:sz w:val="22"/>
                <w:szCs w:val="22"/>
              </w:rPr>
              <w:t xml:space="preserve"> </w:t>
            </w:r>
          </w:p>
        </w:tc>
      </w:tr>
      <w:tr w:rsidR="00D075FE" w:rsidRPr="005111D7" w14:paraId="2C573DED" w14:textId="77777777" w:rsidTr="00D154D4">
        <w:trPr>
          <w:trHeight w:val="307"/>
          <w:jc w:val="center"/>
        </w:trPr>
        <w:tc>
          <w:tcPr>
            <w:tcW w:w="2096" w:type="dxa"/>
            <w:tcBorders>
              <w:top w:val="single" w:sz="4" w:space="0" w:color="7F7F7F"/>
              <w:bottom w:val="single" w:sz="4" w:space="0" w:color="7F7F7F"/>
            </w:tcBorders>
            <w:shd w:val="clear" w:color="auto" w:fill="auto"/>
            <w:noWrap/>
            <w:vAlign w:val="center"/>
            <w:hideMark/>
          </w:tcPr>
          <w:p w14:paraId="0D4CAF9D"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4</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4</m:t>
                  </m:r>
                </m:sub>
              </m:sSub>
            </m:oMath>
          </w:p>
          <w:p w14:paraId="51F9DF31" w14:textId="77777777" w:rsidR="00D075FE" w:rsidRPr="005111D7" w:rsidRDefault="00D075FE" w:rsidP="00D154D4">
            <w:pPr>
              <w:jc w:val="center"/>
              <w:rPr>
                <w:color w:val="000000"/>
                <w:szCs w:val="24"/>
              </w:rPr>
            </w:pPr>
          </w:p>
        </w:tc>
        <w:tc>
          <w:tcPr>
            <w:tcW w:w="3970" w:type="dxa"/>
            <w:tcBorders>
              <w:top w:val="single" w:sz="4" w:space="0" w:color="7F7F7F"/>
              <w:bottom w:val="single" w:sz="4" w:space="0" w:color="7F7F7F"/>
            </w:tcBorders>
            <w:shd w:val="clear" w:color="auto" w:fill="auto"/>
            <w:noWrap/>
            <w:vAlign w:val="center"/>
            <w:hideMark/>
          </w:tcPr>
          <w:p w14:paraId="79F44DBD" w14:textId="77777777" w:rsidR="00D075FE" w:rsidRPr="003A5942" w:rsidRDefault="00D075FE" w:rsidP="00D154D4">
            <w:pPr>
              <w:jc w:val="center"/>
              <w:rPr>
                <w:color w:val="000000"/>
                <w:sz w:val="22"/>
                <w:szCs w:val="22"/>
              </w:rPr>
            </w:pPr>
            <w:r>
              <w:rPr>
                <w:color w:val="000000"/>
                <w:sz w:val="22"/>
                <w:szCs w:val="22"/>
              </w:rPr>
              <w:t>---</w:t>
            </w:r>
          </w:p>
        </w:tc>
      </w:tr>
      <w:tr w:rsidR="00D075FE" w:rsidRPr="005111D7" w14:paraId="53218318" w14:textId="77777777" w:rsidTr="00D154D4">
        <w:trPr>
          <w:trHeight w:val="307"/>
          <w:jc w:val="center"/>
        </w:trPr>
        <w:tc>
          <w:tcPr>
            <w:tcW w:w="2096" w:type="dxa"/>
            <w:tcBorders>
              <w:top w:val="single" w:sz="4" w:space="0" w:color="7F7F7F"/>
              <w:bottom w:val="single" w:sz="12" w:space="0" w:color="auto"/>
            </w:tcBorders>
            <w:shd w:val="clear" w:color="auto" w:fill="auto"/>
            <w:noWrap/>
            <w:vAlign w:val="center"/>
            <w:hideMark/>
          </w:tcPr>
          <w:p w14:paraId="29EF8717" w14:textId="77777777" w:rsidR="00D075FE" w:rsidRPr="005111D7" w:rsidRDefault="003C5C89" w:rsidP="00D154D4">
            <w:pPr>
              <w:jc w:val="center"/>
              <w:rPr>
                <w:color w:val="000000"/>
                <w:szCs w:val="24"/>
              </w:rPr>
            </w:pPr>
            <m:oMath>
              <m:sSubSup>
                <m:sSubSupPr>
                  <m:ctrlPr>
                    <w:rPr>
                      <w:rFonts w:ascii="Cambria Math" w:hAnsi="Cambria Math"/>
                      <w:i/>
                      <w:color w:val="000000"/>
                      <w:szCs w:val="24"/>
                    </w:rPr>
                  </m:ctrlPr>
                </m:sSubSupPr>
                <m:e>
                  <m:r>
                    <w:rPr>
                      <w:rFonts w:ascii="Cambria Math" w:hAnsi="Cambria Math"/>
                      <w:color w:val="000000"/>
                      <w:szCs w:val="24"/>
                    </w:rPr>
                    <m:t>x</m:t>
                  </m:r>
                </m:e>
                <m:sub>
                  <m:r>
                    <w:rPr>
                      <w:rFonts w:ascii="Cambria Math" w:hAnsi="Cambria Math"/>
                      <w:color w:val="000000"/>
                      <w:szCs w:val="24"/>
                    </w:rPr>
                    <m:t>min</m:t>
                  </m:r>
                </m:sub>
                <m:sup>
                  <m:r>
                    <w:rPr>
                      <w:rFonts w:ascii="Cambria Math" w:hAnsi="Cambria Math"/>
                      <w:color w:val="000000"/>
                      <w:szCs w:val="24"/>
                    </w:rPr>
                    <m:t>2</m:t>
                  </m:r>
                </m:sup>
              </m:sSubSup>
              <m:r>
                <w:rPr>
                  <w:rFonts w:ascii="Cambria Math" w:hAnsi="Cambria Math"/>
                  <w:color w:val="000000"/>
                  <w:szCs w:val="24"/>
                </w:rPr>
                <m:t xml:space="preserve"> ,</m:t>
              </m:r>
            </m:oMath>
            <w:r w:rsidR="00D075FE" w:rsidRPr="005111D7">
              <w:rPr>
                <w:color w:val="000000"/>
                <w:szCs w:val="24"/>
              </w:rPr>
              <w:t xml:space="preserve"> </w:t>
            </w:r>
            <m:oMath>
              <m:r>
                <w:rPr>
                  <w:rFonts w:ascii="Cambria Math" w:hAnsi="Cambria Math"/>
                  <w:color w:val="000000"/>
                  <w:szCs w:val="24"/>
                </w:rPr>
                <m:t>Q(</m:t>
              </m:r>
              <m:f>
                <m:fPr>
                  <m:ctrlPr>
                    <w:rPr>
                      <w:rFonts w:ascii="Cambria Math" w:hAnsi="Cambria Math"/>
                      <w:i/>
                      <w:color w:val="000000"/>
                      <w:szCs w:val="24"/>
                    </w:rPr>
                  </m:ctrlPr>
                </m:fPr>
                <m:num>
                  <m:r>
                    <w:rPr>
                      <w:rFonts w:ascii="Cambria Math" w:hAnsi="Cambria Math"/>
                      <w:color w:val="000000"/>
                      <w:szCs w:val="24"/>
                    </w:rPr>
                    <m:t>ν</m:t>
                  </m:r>
                </m:num>
                <m:den>
                  <m:r>
                    <w:rPr>
                      <w:rFonts w:ascii="Cambria Math" w:hAnsi="Cambria Math"/>
                      <w:color w:val="000000"/>
                      <w:szCs w:val="24"/>
                    </w:rPr>
                    <m:t>2</m:t>
                  </m:r>
                </m:den>
              </m:f>
              <m:r>
                <w:rPr>
                  <w:rFonts w:ascii="Cambria Math" w:hAnsi="Cambria Math"/>
                  <w:color w:val="000000"/>
                  <w:szCs w:val="24"/>
                </w:rPr>
                <m:t xml:space="preserve"> , </m:t>
              </m:r>
              <m:f>
                <m:fPr>
                  <m:ctrlPr>
                    <w:rPr>
                      <w:rFonts w:ascii="Cambria Math" w:hAnsi="Cambria Math"/>
                      <w:i/>
                      <w:color w:val="000000"/>
                      <w:szCs w:val="24"/>
                    </w:rPr>
                  </m:ctrlPr>
                </m:fPr>
                <m:num>
                  <m:sSup>
                    <m:sSupPr>
                      <m:ctrlPr>
                        <w:rPr>
                          <w:rFonts w:ascii="Cambria Math" w:hAnsi="Cambria Math"/>
                          <w:i/>
                          <w:color w:val="000000"/>
                          <w:szCs w:val="24"/>
                        </w:rPr>
                      </m:ctrlPr>
                    </m:sSupPr>
                    <m:e>
                      <m:r>
                        <w:rPr>
                          <w:rFonts w:ascii="Cambria Math" w:hAnsi="Cambria Math"/>
                          <w:color w:val="000000"/>
                          <w:szCs w:val="24"/>
                        </w:rPr>
                        <m:t>x</m:t>
                      </m:r>
                    </m:e>
                    <m:sup>
                      <m:r>
                        <w:rPr>
                          <w:rFonts w:ascii="Cambria Math" w:hAnsi="Cambria Math"/>
                          <w:color w:val="000000"/>
                          <w:szCs w:val="24"/>
                        </w:rPr>
                        <m:t>2</m:t>
                      </m:r>
                    </m:sup>
                  </m:sSup>
                </m:num>
                <m:den>
                  <m:r>
                    <w:rPr>
                      <w:rFonts w:ascii="Cambria Math" w:hAnsi="Cambria Math"/>
                      <w:color w:val="000000"/>
                      <w:szCs w:val="24"/>
                    </w:rPr>
                    <m:t>2</m:t>
                  </m:r>
                </m:den>
              </m:f>
              <m:r>
                <w:rPr>
                  <w:rFonts w:ascii="Cambria Math" w:hAnsi="Cambria Math"/>
                  <w:color w:val="000000"/>
                  <w:szCs w:val="24"/>
                </w:rPr>
                <m:t xml:space="preserve"> )</m:t>
              </m:r>
            </m:oMath>
          </w:p>
        </w:tc>
        <w:tc>
          <w:tcPr>
            <w:tcW w:w="3970" w:type="dxa"/>
            <w:tcBorders>
              <w:top w:val="single" w:sz="4" w:space="0" w:color="7F7F7F"/>
              <w:bottom w:val="single" w:sz="12" w:space="0" w:color="auto"/>
            </w:tcBorders>
            <w:shd w:val="clear" w:color="auto" w:fill="auto"/>
            <w:noWrap/>
            <w:vAlign w:val="center"/>
            <w:hideMark/>
          </w:tcPr>
          <w:p w14:paraId="651E3699" w14:textId="54D0FC82" w:rsidR="00D075FE" w:rsidRPr="003A5942" w:rsidRDefault="00071B9D" w:rsidP="00D154D4">
            <w:pPr>
              <w:jc w:val="center"/>
              <w:rPr>
                <w:color w:val="000000"/>
                <w:sz w:val="22"/>
                <w:szCs w:val="22"/>
              </w:rPr>
            </w:pPr>
            <m:oMath>
              <m:r>
                <w:rPr>
                  <w:rFonts w:ascii="Cambria Math" w:hAnsi="Cambria Math"/>
                  <w:color w:val="000000"/>
                  <w:sz w:val="20"/>
                </w:rPr>
                <m:t xml:space="preserve">31,07 × </m:t>
              </m:r>
              <m:sSup>
                <m:sSupPr>
                  <m:ctrlPr>
                    <w:rPr>
                      <w:rFonts w:ascii="Cambria Math" w:hAnsi="Cambria Math"/>
                      <w:i/>
                      <w:color w:val="000000"/>
                      <w:sz w:val="20"/>
                    </w:rPr>
                  </m:ctrlPr>
                </m:sSupPr>
                <m:e>
                  <m:r>
                    <w:rPr>
                      <w:rFonts w:ascii="Cambria Math" w:hAnsi="Cambria Math"/>
                      <w:color w:val="000000"/>
                      <w:sz w:val="20"/>
                    </w:rPr>
                    <m:t>10</m:t>
                  </m:r>
                </m:e>
                <m:sup>
                  <m:r>
                    <w:rPr>
                      <w:rFonts w:ascii="Cambria Math" w:hAnsi="Cambria Math"/>
                      <w:color w:val="000000"/>
                      <w:sz w:val="20"/>
                    </w:rPr>
                    <m:t>-2</m:t>
                  </m:r>
                </m:sup>
              </m:sSup>
              <m:r>
                <w:rPr>
                  <w:rFonts w:ascii="Cambria Math" w:hAnsi="Cambria Math"/>
                  <w:color w:val="000000"/>
                  <w:sz w:val="20"/>
                </w:rPr>
                <m:t xml:space="preserve"> ;</m:t>
              </m:r>
              <m:r>
                <m:rPr>
                  <m:sty m:val="p"/>
                </m:rPr>
                <w:rPr>
                  <w:rFonts w:ascii="Cambria Math" w:hAnsi="Cambria Math"/>
                  <w:color w:val="000000"/>
                  <w:sz w:val="20"/>
                </w:rPr>
                <m:t xml:space="preserve"> 1(</m:t>
              </m:r>
              <m:r>
                <m:rPr>
                  <m:sty m:val="p"/>
                </m:rPr>
                <w:rPr>
                  <w:rFonts w:ascii="Cambria Math" w:hAnsi="Cambria Math"/>
                  <w:sz w:val="20"/>
                  <w:szCs w:val="18"/>
                </w:rPr>
                <m:t>0.</m:t>
              </m:r>
              <m:r>
                <m:rPr>
                  <m:sty m:val="p"/>
                </m:rPr>
                <w:rPr>
                  <w:rFonts w:ascii="Cambria Math" w:hAnsi="Cambria Math"/>
                  <w:spacing w:val="-5"/>
                  <w:sz w:val="20"/>
                  <w:szCs w:val="18"/>
                </w:rPr>
                <m:t xml:space="preserve"> </m:t>
              </m:r>
              <m:r>
                <m:rPr>
                  <m:sty m:val="p"/>
                </m:rPr>
                <w:rPr>
                  <w:rFonts w:ascii="Cambria Math" w:hAnsi="Cambria Math"/>
                  <w:spacing w:val="-2"/>
                  <w:sz w:val="20"/>
                  <w:szCs w:val="18"/>
                </w:rPr>
                <m:t>99998585165465215)</m:t>
              </m:r>
            </m:oMath>
            <w:r w:rsidR="00D075FE" w:rsidRPr="003A5942">
              <w:rPr>
                <w:color w:val="000000"/>
                <w:sz w:val="22"/>
                <w:szCs w:val="22"/>
              </w:rPr>
              <w:t xml:space="preserve"> </w:t>
            </w:r>
          </w:p>
        </w:tc>
      </w:tr>
    </w:tbl>
    <w:p w14:paraId="47AEFEB1" w14:textId="3A6DF0FF" w:rsidR="00D075FE" w:rsidRPr="001014D2" w:rsidRDefault="00D075FE" w:rsidP="00D075FE">
      <w:pPr>
        <w:spacing w:after="240"/>
        <w:ind w:left="709"/>
        <w:rPr>
          <w:sz w:val="20"/>
          <w:lang w:val="pt-BR"/>
        </w:rPr>
      </w:pPr>
      <w:r w:rsidRPr="001014D2">
        <w:rPr>
          <w:sz w:val="20"/>
          <w:lang w:val="pt-BR"/>
        </w:rPr>
        <w:t>Fonte: Elaborado pelos autores</w:t>
      </w:r>
      <w:r w:rsidR="00565B8E" w:rsidRPr="001014D2">
        <w:rPr>
          <w:sz w:val="20"/>
          <w:lang w:val="pt-BR"/>
        </w:rPr>
        <w:t>.</w:t>
      </w:r>
    </w:p>
    <w:p w14:paraId="222B6A7E" w14:textId="2FB666E3" w:rsidR="002F66A3" w:rsidRPr="001014D2" w:rsidRDefault="002F66A3" w:rsidP="00D075FE">
      <w:pPr>
        <w:spacing w:after="240"/>
        <w:ind w:left="709"/>
        <w:rPr>
          <w:sz w:val="20"/>
          <w:lang w:val="pt-BR"/>
        </w:rPr>
      </w:pPr>
    </w:p>
    <w:p w14:paraId="0FDB160B" w14:textId="06E30B65" w:rsidR="002F66A3" w:rsidRDefault="002F66A3" w:rsidP="00C60059">
      <w:pPr>
        <w:spacing w:after="240"/>
        <w:rPr>
          <w:b/>
          <w:sz w:val="20"/>
          <w:lang w:val="pt-BR"/>
        </w:rPr>
      </w:pPr>
      <w:r>
        <w:rPr>
          <w:rFonts w:ascii="Arial"/>
          <w:b/>
          <w:noProof/>
          <w:sz w:val="20"/>
        </w:rPr>
        <w:lastRenderedPageBreak/>
        <w:drawing>
          <wp:anchor distT="0" distB="0" distL="0" distR="0" simplePos="0" relativeHeight="251659264" behindDoc="1" locked="0" layoutInCell="1" allowOverlap="1" wp14:anchorId="2424AF68" wp14:editId="17932334">
            <wp:simplePos x="0" y="0"/>
            <wp:positionH relativeFrom="page">
              <wp:posOffset>2247900</wp:posOffset>
            </wp:positionH>
            <wp:positionV relativeFrom="paragraph">
              <wp:posOffset>0</wp:posOffset>
            </wp:positionV>
            <wp:extent cx="3390900" cy="2651760"/>
            <wp:effectExtent l="0" t="0" r="0" b="0"/>
            <wp:wrapTopAndBottom/>
            <wp:docPr id="11" name="Image 11" descr="Gráfico, Gráfico de linhas&#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Gráfico, Gráfico de linhas&#10;&#10;O conteúdo gerado por IA pode estar incorreto."/>
                    <pic:cNvPicPr/>
                  </pic:nvPicPr>
                  <pic:blipFill>
                    <a:blip r:embed="rId11" cstate="print"/>
                    <a:stretch>
                      <a:fillRect/>
                    </a:stretch>
                  </pic:blipFill>
                  <pic:spPr>
                    <a:xfrm>
                      <a:off x="0" y="0"/>
                      <a:ext cx="3390900" cy="2651760"/>
                    </a:xfrm>
                    <a:prstGeom prst="rect">
                      <a:avLst/>
                    </a:prstGeom>
                  </pic:spPr>
                </pic:pic>
              </a:graphicData>
            </a:graphic>
            <wp14:sizeRelH relativeFrom="margin">
              <wp14:pctWidth>0</wp14:pctWidth>
            </wp14:sizeRelH>
            <wp14:sizeRelV relativeFrom="margin">
              <wp14:pctHeight>0</wp14:pctHeight>
            </wp14:sizeRelV>
          </wp:anchor>
        </w:drawing>
      </w:r>
    </w:p>
    <w:p w14:paraId="500CD0BE" w14:textId="46D90661" w:rsidR="00D075FE" w:rsidRDefault="00D075FE" w:rsidP="00D075FE">
      <w:pPr>
        <w:spacing w:after="120"/>
        <w:jc w:val="center"/>
        <w:rPr>
          <w:bCs/>
          <w:sz w:val="20"/>
          <w:lang w:val="pt-BR"/>
        </w:rPr>
      </w:pPr>
      <w:r w:rsidRPr="0049479C">
        <w:rPr>
          <w:b/>
          <w:sz w:val="20"/>
          <w:lang w:val="pt-BR"/>
        </w:rPr>
        <w:t xml:space="preserve">Figura </w:t>
      </w:r>
      <w:r w:rsidRPr="009B146D">
        <w:rPr>
          <w:b/>
          <w:sz w:val="20"/>
          <w:lang w:val="pt-BR"/>
        </w:rPr>
        <w:t>4</w:t>
      </w:r>
      <w:r w:rsidRPr="0049479C">
        <w:rPr>
          <w:b/>
          <w:sz w:val="20"/>
          <w:lang w:val="pt-BR"/>
        </w:rPr>
        <w:t xml:space="preserve">: </w:t>
      </w:r>
      <w:r w:rsidR="009B146D">
        <w:rPr>
          <w:bCs/>
          <w:sz w:val="20"/>
          <w:lang w:val="pt-BR"/>
        </w:rPr>
        <w:t xml:space="preserve">Gráfico </w:t>
      </w:r>
      <w:r w:rsidR="008F66D4">
        <w:rPr>
          <w:bCs/>
          <w:sz w:val="20"/>
          <w:lang w:val="pt-BR"/>
        </w:rPr>
        <w:t xml:space="preserve">dos </w:t>
      </w:r>
      <w:r w:rsidR="008F66D4">
        <w:rPr>
          <w:color w:val="000000"/>
          <w:sz w:val="20"/>
          <w:lang w:val="pt-BR"/>
        </w:rPr>
        <w:t>i</w:t>
      </w:r>
      <w:r w:rsidR="008F66D4" w:rsidRPr="00A47061">
        <w:rPr>
          <w:color w:val="000000"/>
          <w:sz w:val="20"/>
          <w:lang w:val="pt-BR"/>
        </w:rPr>
        <w:t>nvestimentos</w:t>
      </w:r>
      <w:r w:rsidR="009B146D" w:rsidRPr="00A47061">
        <w:rPr>
          <w:color w:val="000000"/>
          <w:sz w:val="20"/>
          <w:lang w:val="pt-BR"/>
        </w:rPr>
        <w:t xml:space="preserve"> em </w:t>
      </w:r>
      <w:r w:rsidR="009B146D">
        <w:rPr>
          <w:color w:val="000000"/>
          <w:sz w:val="20"/>
          <w:lang w:val="pt-BR"/>
        </w:rPr>
        <w:t>c</w:t>
      </w:r>
      <w:r w:rsidR="009B146D" w:rsidRPr="00A47061">
        <w:rPr>
          <w:color w:val="000000"/>
          <w:sz w:val="20"/>
          <w:lang w:val="pt-BR"/>
        </w:rPr>
        <w:t xml:space="preserve">apacitação e </w:t>
      </w:r>
      <w:r w:rsidR="009B146D">
        <w:rPr>
          <w:color w:val="000000"/>
          <w:sz w:val="20"/>
          <w:lang w:val="pt-BR"/>
        </w:rPr>
        <w:t>d</w:t>
      </w:r>
      <w:r w:rsidR="009B146D" w:rsidRPr="00A47061">
        <w:rPr>
          <w:color w:val="000000"/>
          <w:sz w:val="20"/>
          <w:lang w:val="pt-BR"/>
        </w:rPr>
        <w:t xml:space="preserve">esenvolvimento </w:t>
      </w:r>
      <w:r w:rsidR="009B146D">
        <w:rPr>
          <w:color w:val="000000"/>
          <w:sz w:val="20"/>
          <w:lang w:val="pt-BR"/>
        </w:rPr>
        <w:t>p</w:t>
      </w:r>
      <w:r w:rsidR="009B146D" w:rsidRPr="00A47061">
        <w:rPr>
          <w:color w:val="000000"/>
          <w:sz w:val="20"/>
          <w:lang w:val="pt-BR"/>
        </w:rPr>
        <w:t xml:space="preserve">rofissional e em </w:t>
      </w:r>
      <w:r w:rsidR="009B146D">
        <w:rPr>
          <w:color w:val="000000"/>
          <w:sz w:val="20"/>
          <w:lang w:val="pt-BR"/>
        </w:rPr>
        <w:t>s</w:t>
      </w:r>
      <w:r w:rsidR="009B146D" w:rsidRPr="00A47061">
        <w:rPr>
          <w:color w:val="000000"/>
          <w:sz w:val="20"/>
          <w:lang w:val="pt-BR"/>
        </w:rPr>
        <w:t>egurança</w:t>
      </w:r>
      <w:r w:rsidR="009B146D">
        <w:rPr>
          <w:color w:val="000000"/>
          <w:sz w:val="20"/>
          <w:lang w:val="pt-BR"/>
        </w:rPr>
        <w:t xml:space="preserve"> e s</w:t>
      </w:r>
      <w:r w:rsidR="009B146D" w:rsidRPr="00A47061">
        <w:rPr>
          <w:color w:val="000000"/>
          <w:sz w:val="20"/>
          <w:lang w:val="pt-BR"/>
        </w:rPr>
        <w:t xml:space="preserve">aúde do </w:t>
      </w:r>
      <w:r w:rsidR="009B146D">
        <w:rPr>
          <w:color w:val="000000"/>
          <w:sz w:val="20"/>
          <w:lang w:val="pt-BR"/>
        </w:rPr>
        <w:t>t</w:t>
      </w:r>
      <w:r w:rsidR="009B146D" w:rsidRPr="00A47061">
        <w:rPr>
          <w:color w:val="000000"/>
          <w:sz w:val="20"/>
          <w:lang w:val="pt-BR"/>
        </w:rPr>
        <w:t>rabalhador</w:t>
      </w:r>
      <w:r w:rsidRPr="00D075FE">
        <w:rPr>
          <w:bCs/>
          <w:sz w:val="20"/>
          <w:lang w:val="pt-BR"/>
        </w:rPr>
        <w:t>.</w:t>
      </w:r>
      <w:r w:rsidRPr="0049479C">
        <w:rPr>
          <w:b/>
          <w:sz w:val="20"/>
          <w:lang w:val="pt-BR"/>
        </w:rPr>
        <w:t xml:space="preserve"> Fonte: </w:t>
      </w:r>
      <w:r w:rsidRPr="00D075FE">
        <w:rPr>
          <w:bCs/>
          <w:sz w:val="20"/>
          <w:lang w:val="pt-BR"/>
        </w:rPr>
        <w:t>elaborado pelos autores.</w:t>
      </w:r>
    </w:p>
    <w:p w14:paraId="4F20A701" w14:textId="1180E5ED" w:rsidR="00D075FE" w:rsidRPr="000F5CC4" w:rsidRDefault="00D075FE" w:rsidP="00D075FE">
      <w:pPr>
        <w:spacing w:before="240" w:after="240"/>
        <w:jc w:val="center"/>
        <w:rPr>
          <w:sz w:val="20"/>
          <w:lang w:val="pt-BR"/>
        </w:rPr>
      </w:pPr>
      <w:r w:rsidRPr="000F5CC4">
        <w:rPr>
          <w:color w:val="000000"/>
          <w:sz w:val="20"/>
          <w:lang w:val="pt-BR"/>
        </w:rPr>
        <w:t xml:space="preserve">Tabela </w:t>
      </w:r>
      <w:r>
        <w:rPr>
          <w:color w:val="000000"/>
          <w:sz w:val="20"/>
          <w:lang w:val="pt-BR"/>
        </w:rPr>
        <w:t>5</w:t>
      </w:r>
      <w:r w:rsidRPr="000F5CC4">
        <w:rPr>
          <w:color w:val="000000"/>
          <w:sz w:val="20"/>
          <w:lang w:val="pt-BR"/>
        </w:rPr>
        <w:t xml:space="preserve">: </w:t>
      </w:r>
      <w:r>
        <w:rPr>
          <w:color w:val="000000"/>
          <w:sz w:val="20"/>
          <w:lang w:val="pt-BR"/>
        </w:rPr>
        <w:t>Funções polinomiais para</w:t>
      </w:r>
      <w:r w:rsidR="00A47061">
        <w:rPr>
          <w:color w:val="000000"/>
          <w:sz w:val="20"/>
          <w:lang w:val="pt-BR"/>
        </w:rPr>
        <w:t xml:space="preserve"> o</w:t>
      </w:r>
      <w:r>
        <w:rPr>
          <w:color w:val="000000"/>
          <w:sz w:val="20"/>
          <w:lang w:val="pt-BR"/>
        </w:rPr>
        <w:t xml:space="preserve"> </w:t>
      </w:r>
      <w:r w:rsidR="00A47061" w:rsidRPr="00A47061">
        <w:rPr>
          <w:color w:val="000000"/>
          <w:sz w:val="20"/>
          <w:lang w:val="pt-BR"/>
        </w:rPr>
        <w:t>Investimento Total (Tipo I, II e III)</w:t>
      </w:r>
    </w:p>
    <w:tbl>
      <w:tblPr>
        <w:tblW w:w="6066" w:type="dxa"/>
        <w:jc w:val="center"/>
        <w:tblBorders>
          <w:top w:val="single" w:sz="4" w:space="0" w:color="7F7F7F"/>
          <w:bottom w:val="single" w:sz="4" w:space="0" w:color="7F7F7F"/>
        </w:tblBorders>
        <w:tblLook w:val="04A0" w:firstRow="1" w:lastRow="0" w:firstColumn="1" w:lastColumn="0" w:noHBand="0" w:noVBand="1"/>
      </w:tblPr>
      <w:tblGrid>
        <w:gridCol w:w="2096"/>
        <w:gridCol w:w="3970"/>
      </w:tblGrid>
      <w:tr w:rsidR="00D075FE" w:rsidRPr="005111D7" w14:paraId="11B2ECF6" w14:textId="77777777" w:rsidTr="00D154D4">
        <w:trPr>
          <w:trHeight w:val="307"/>
          <w:jc w:val="center"/>
        </w:trPr>
        <w:tc>
          <w:tcPr>
            <w:tcW w:w="2096" w:type="dxa"/>
            <w:tcBorders>
              <w:top w:val="single" w:sz="12" w:space="0" w:color="auto"/>
              <w:bottom w:val="single" w:sz="12" w:space="0" w:color="auto"/>
            </w:tcBorders>
            <w:shd w:val="clear" w:color="auto" w:fill="auto"/>
            <w:noWrap/>
            <w:vAlign w:val="center"/>
            <w:hideMark/>
          </w:tcPr>
          <w:p w14:paraId="32B3B5FE" w14:textId="77777777" w:rsidR="00D075FE" w:rsidRPr="005111D7" w:rsidRDefault="00D075FE" w:rsidP="00D154D4">
            <w:pPr>
              <w:jc w:val="center"/>
              <w:rPr>
                <w:b/>
                <w:bCs/>
                <w:color w:val="000000"/>
                <w:szCs w:val="24"/>
              </w:rPr>
            </w:pPr>
            <w:r w:rsidRPr="005111D7">
              <w:rPr>
                <w:b/>
                <w:bCs/>
                <w:i/>
                <w:color w:val="000000"/>
                <w:szCs w:val="24"/>
              </w:rPr>
              <w:t>Parâmetros</w:t>
            </w:r>
          </w:p>
        </w:tc>
        <w:tc>
          <w:tcPr>
            <w:tcW w:w="3970" w:type="dxa"/>
            <w:tcBorders>
              <w:top w:val="single" w:sz="12" w:space="0" w:color="auto"/>
              <w:bottom w:val="single" w:sz="12" w:space="0" w:color="auto"/>
            </w:tcBorders>
            <w:shd w:val="clear" w:color="auto" w:fill="auto"/>
            <w:noWrap/>
            <w:vAlign w:val="center"/>
            <w:hideMark/>
          </w:tcPr>
          <w:p w14:paraId="3359A8F1" w14:textId="1A2E3B3E" w:rsidR="00D075FE" w:rsidRPr="005111D7" w:rsidRDefault="00D075FE" w:rsidP="00D154D4">
            <w:pPr>
              <w:jc w:val="center"/>
              <w:rPr>
                <w:b/>
                <w:bCs/>
                <w:color w:val="000000"/>
                <w:szCs w:val="24"/>
              </w:rPr>
            </w:pPr>
            <w:r w:rsidRPr="005111D7">
              <w:rPr>
                <w:b/>
                <w:bCs/>
                <w:color w:val="000000"/>
                <w:szCs w:val="24"/>
              </w:rPr>
              <w:t xml:space="preserve">Tipo </w:t>
            </w:r>
            <w:r w:rsidR="004E1649">
              <w:rPr>
                <w:b/>
                <w:bCs/>
                <w:color w:val="000000"/>
                <w:szCs w:val="24"/>
              </w:rPr>
              <w:t>V</w:t>
            </w:r>
          </w:p>
        </w:tc>
      </w:tr>
      <w:tr w:rsidR="00D075FE" w:rsidRPr="005111D7" w14:paraId="0A4946AD" w14:textId="77777777" w:rsidTr="00D154D4">
        <w:trPr>
          <w:trHeight w:val="307"/>
          <w:jc w:val="center"/>
        </w:trPr>
        <w:tc>
          <w:tcPr>
            <w:tcW w:w="2096" w:type="dxa"/>
            <w:tcBorders>
              <w:top w:val="single" w:sz="12" w:space="0" w:color="auto"/>
              <w:bottom w:val="single" w:sz="4" w:space="0" w:color="7F7F7F"/>
            </w:tcBorders>
            <w:shd w:val="clear" w:color="auto" w:fill="auto"/>
            <w:noWrap/>
            <w:vAlign w:val="center"/>
            <w:hideMark/>
          </w:tcPr>
          <w:p w14:paraId="183950D1"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0</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0</m:t>
                  </m:r>
                </m:sub>
              </m:sSub>
            </m:oMath>
          </w:p>
        </w:tc>
        <w:tc>
          <w:tcPr>
            <w:tcW w:w="3970" w:type="dxa"/>
            <w:tcBorders>
              <w:top w:val="single" w:sz="12" w:space="0" w:color="auto"/>
              <w:bottom w:val="single" w:sz="4" w:space="0" w:color="7F7F7F"/>
            </w:tcBorders>
            <w:shd w:val="clear" w:color="auto" w:fill="auto"/>
            <w:noWrap/>
            <w:vAlign w:val="center"/>
            <w:hideMark/>
          </w:tcPr>
          <w:p w14:paraId="69DE2549" w14:textId="7C00F847" w:rsidR="00D075FE" w:rsidRPr="003A5942" w:rsidRDefault="00D075FE" w:rsidP="00D154D4">
            <w:pPr>
              <w:jc w:val="center"/>
              <w:rPr>
                <w:color w:val="000000"/>
                <w:sz w:val="22"/>
                <w:szCs w:val="22"/>
              </w:rPr>
            </w:pPr>
            <m:oMathPara>
              <m:oMath>
                <m:r>
                  <w:rPr>
                    <w:rFonts w:ascii="Cambria Math" w:hAnsi="Cambria Math"/>
                    <w:color w:val="000000"/>
                    <w:sz w:val="22"/>
                    <w:szCs w:val="22"/>
                  </w:rPr>
                  <m:t xml:space="preserve">2,77 </m:t>
                </m:r>
                <m:r>
                  <m:rPr>
                    <m:sty m:val="p"/>
                  </m:rPr>
                  <w:rPr>
                    <w:rFonts w:ascii="Cambria Math" w:hAnsi="Cambria Math"/>
                    <w:color w:val="000000"/>
                    <w:sz w:val="22"/>
                    <w:szCs w:val="22"/>
                  </w:rPr>
                  <m:t>± 2,27</m:t>
                </m:r>
              </m:oMath>
            </m:oMathPara>
          </w:p>
        </w:tc>
      </w:tr>
      <w:tr w:rsidR="00D075FE" w:rsidRPr="005111D7" w14:paraId="1F5ED187" w14:textId="77777777" w:rsidTr="00D154D4">
        <w:trPr>
          <w:trHeight w:val="307"/>
          <w:jc w:val="center"/>
        </w:trPr>
        <w:tc>
          <w:tcPr>
            <w:tcW w:w="2096" w:type="dxa"/>
            <w:shd w:val="clear" w:color="auto" w:fill="auto"/>
            <w:noWrap/>
            <w:vAlign w:val="center"/>
            <w:hideMark/>
          </w:tcPr>
          <w:p w14:paraId="38291691"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1</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1</m:t>
                  </m:r>
                </m:sub>
              </m:sSub>
            </m:oMath>
          </w:p>
          <w:p w14:paraId="1B53899A" w14:textId="77777777" w:rsidR="00D075FE" w:rsidRPr="005111D7" w:rsidRDefault="00D075FE" w:rsidP="00D154D4">
            <w:pPr>
              <w:jc w:val="center"/>
              <w:rPr>
                <w:color w:val="000000"/>
                <w:szCs w:val="24"/>
              </w:rPr>
            </w:pPr>
          </w:p>
        </w:tc>
        <w:tc>
          <w:tcPr>
            <w:tcW w:w="3970" w:type="dxa"/>
            <w:shd w:val="clear" w:color="auto" w:fill="auto"/>
            <w:noWrap/>
            <w:vAlign w:val="center"/>
            <w:hideMark/>
          </w:tcPr>
          <w:p w14:paraId="6ED29303" w14:textId="6D43086C" w:rsidR="00D075FE" w:rsidRPr="003A5942" w:rsidRDefault="00D075FE" w:rsidP="00D154D4">
            <w:pPr>
              <w:jc w:val="center"/>
              <w:rPr>
                <w:color w:val="000000"/>
                <w:sz w:val="22"/>
                <w:szCs w:val="22"/>
              </w:rPr>
            </w:pPr>
            <m:oMath>
              <m:r>
                <w:rPr>
                  <w:rFonts w:ascii="Cambria Math" w:hAnsi="Cambria Math"/>
                  <w:color w:val="000000"/>
                  <w:sz w:val="22"/>
                  <w:szCs w:val="22"/>
                </w:rPr>
                <m:t xml:space="preserve">-9,20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-3</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1,19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-2</m:t>
                  </m:r>
                </m:sup>
              </m:sSup>
            </m:oMath>
            <w:r w:rsidRPr="003A5942">
              <w:rPr>
                <w:color w:val="000000"/>
                <w:sz w:val="22"/>
                <w:szCs w:val="22"/>
              </w:rPr>
              <w:t xml:space="preserve"> </w:t>
            </w:r>
          </w:p>
        </w:tc>
      </w:tr>
      <w:tr w:rsidR="00D075FE" w:rsidRPr="005111D7" w14:paraId="580F431F" w14:textId="77777777" w:rsidTr="00D154D4">
        <w:trPr>
          <w:trHeight w:val="307"/>
          <w:jc w:val="center"/>
        </w:trPr>
        <w:tc>
          <w:tcPr>
            <w:tcW w:w="2096" w:type="dxa"/>
            <w:tcBorders>
              <w:top w:val="single" w:sz="4" w:space="0" w:color="7F7F7F"/>
              <w:bottom w:val="single" w:sz="4" w:space="0" w:color="7F7F7F"/>
            </w:tcBorders>
            <w:shd w:val="clear" w:color="auto" w:fill="auto"/>
            <w:noWrap/>
            <w:vAlign w:val="center"/>
          </w:tcPr>
          <w:p w14:paraId="1398F034" w14:textId="77777777" w:rsidR="00D075FE" w:rsidRPr="005111D7" w:rsidRDefault="003C5C89" w:rsidP="00D154D4">
            <w:pPr>
              <w:pStyle w:val="TableParagraph"/>
              <w:spacing w:before="113" w:line="216" w:lineRule="exact"/>
              <w:ind w:right="131"/>
              <w:jc w:val="center"/>
              <w:rPr>
                <w:color w:val="000000"/>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2</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2</m:t>
                  </m:r>
                </m:sub>
              </m:sSub>
            </m:oMath>
          </w:p>
        </w:tc>
        <w:tc>
          <w:tcPr>
            <w:tcW w:w="3970" w:type="dxa"/>
            <w:tcBorders>
              <w:top w:val="single" w:sz="4" w:space="0" w:color="7F7F7F"/>
              <w:bottom w:val="single" w:sz="4" w:space="0" w:color="7F7F7F"/>
            </w:tcBorders>
            <w:shd w:val="clear" w:color="auto" w:fill="auto"/>
            <w:noWrap/>
            <w:vAlign w:val="center"/>
          </w:tcPr>
          <w:p w14:paraId="6D43AB4B" w14:textId="6F1AF2D9" w:rsidR="00D075FE" w:rsidRPr="003A5942" w:rsidRDefault="00D4087B" w:rsidP="00D154D4">
            <w:pPr>
              <w:jc w:val="center"/>
              <w:rPr>
                <w:color w:val="000000"/>
                <w:sz w:val="22"/>
                <w:szCs w:val="22"/>
              </w:rPr>
            </w:pPr>
            <m:oMath>
              <m:r>
                <w:rPr>
                  <w:rFonts w:ascii="Cambria Math" w:hAnsi="Cambria Math"/>
                  <w:color w:val="000000"/>
                  <w:sz w:val="22"/>
                  <w:szCs w:val="22"/>
                </w:rPr>
                <m:t xml:space="preserve">1,38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-5</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2,02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-5</m:t>
                  </m:r>
                </m:sup>
              </m:sSup>
            </m:oMath>
            <w:r w:rsidR="00D075FE" w:rsidRPr="003A5942">
              <w:rPr>
                <w:color w:val="000000"/>
                <w:sz w:val="22"/>
                <w:szCs w:val="22"/>
              </w:rPr>
              <w:t xml:space="preserve"> </w:t>
            </w:r>
          </w:p>
        </w:tc>
      </w:tr>
      <w:tr w:rsidR="00D075FE" w:rsidRPr="005111D7" w14:paraId="05E10325" w14:textId="77777777" w:rsidTr="00D154D4">
        <w:trPr>
          <w:trHeight w:val="307"/>
          <w:jc w:val="center"/>
        </w:trPr>
        <w:tc>
          <w:tcPr>
            <w:tcW w:w="2096" w:type="dxa"/>
            <w:shd w:val="clear" w:color="auto" w:fill="auto"/>
            <w:noWrap/>
            <w:vAlign w:val="center"/>
            <w:hideMark/>
          </w:tcPr>
          <w:p w14:paraId="5C8EE53C"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3</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3</m:t>
                  </m:r>
                </m:sub>
              </m:sSub>
            </m:oMath>
          </w:p>
          <w:p w14:paraId="70FD1AFE" w14:textId="77777777" w:rsidR="00D075FE" w:rsidRPr="005111D7" w:rsidRDefault="00D075FE" w:rsidP="00D154D4">
            <w:pPr>
              <w:jc w:val="center"/>
              <w:rPr>
                <w:color w:val="000000"/>
                <w:szCs w:val="24"/>
              </w:rPr>
            </w:pPr>
          </w:p>
        </w:tc>
        <w:tc>
          <w:tcPr>
            <w:tcW w:w="3970" w:type="dxa"/>
            <w:shd w:val="clear" w:color="auto" w:fill="auto"/>
            <w:noWrap/>
            <w:vAlign w:val="center"/>
            <w:hideMark/>
          </w:tcPr>
          <w:p w14:paraId="39016734" w14:textId="2A3DF1C8" w:rsidR="00D075FE" w:rsidRPr="003A5942" w:rsidRDefault="00D075FE" w:rsidP="00D154D4">
            <w:pPr>
              <w:jc w:val="center"/>
              <w:rPr>
                <w:color w:val="000000"/>
                <w:sz w:val="22"/>
                <w:szCs w:val="22"/>
              </w:rPr>
            </w:pPr>
            <m:oMath>
              <m:r>
                <w:rPr>
                  <w:rFonts w:ascii="Cambria Math" w:hAnsi="Cambria Math"/>
                  <w:color w:val="000000"/>
                  <w:sz w:val="22"/>
                  <w:szCs w:val="22"/>
                </w:rPr>
                <m:t xml:space="preserve">-6,71 ×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-9</m:t>
                  </m:r>
                </m:sup>
              </m:sSup>
              <m:r>
                <w:rPr>
                  <w:rFonts w:ascii="Cambria Math" w:hAnsi="Cambria Math"/>
                  <w:color w:val="000000"/>
                  <w:sz w:val="22"/>
                  <w:szCs w:val="22"/>
                </w:rPr>
                <m:t xml:space="preserve"> </m:t>
              </m:r>
              <m:r>
                <m:rPr>
                  <m:sty m:val="p"/>
                </m:rPr>
                <w:rPr>
                  <w:rFonts w:ascii="Cambria Math" w:hAnsi="Cambria Math"/>
                  <w:color w:val="000000"/>
                  <w:sz w:val="22"/>
                  <w:szCs w:val="22"/>
                </w:rPr>
                <m:t xml:space="preserve">± 1,08 </m:t>
              </m:r>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10</m:t>
                  </m:r>
                </m:e>
                <m:sup>
                  <m:r>
                    <w:rPr>
                      <w:rFonts w:ascii="Cambria Math" w:hAnsi="Cambria Math"/>
                      <w:color w:val="000000"/>
                      <w:sz w:val="22"/>
                      <w:szCs w:val="22"/>
                    </w:rPr>
                    <m:t>-8</m:t>
                  </m:r>
                </m:sup>
              </m:sSup>
            </m:oMath>
            <w:r w:rsidRPr="003A5942">
              <w:rPr>
                <w:color w:val="000000"/>
                <w:sz w:val="22"/>
                <w:szCs w:val="22"/>
              </w:rPr>
              <w:t xml:space="preserve"> </w:t>
            </w:r>
          </w:p>
        </w:tc>
      </w:tr>
      <w:tr w:rsidR="00D075FE" w:rsidRPr="005111D7" w14:paraId="7DB90D5F" w14:textId="77777777" w:rsidTr="00D154D4">
        <w:trPr>
          <w:trHeight w:val="307"/>
          <w:jc w:val="center"/>
        </w:trPr>
        <w:tc>
          <w:tcPr>
            <w:tcW w:w="2096" w:type="dxa"/>
            <w:tcBorders>
              <w:top w:val="single" w:sz="4" w:space="0" w:color="7F7F7F"/>
              <w:bottom w:val="single" w:sz="4" w:space="0" w:color="7F7F7F"/>
            </w:tcBorders>
            <w:shd w:val="clear" w:color="auto" w:fill="auto"/>
            <w:noWrap/>
            <w:vAlign w:val="center"/>
            <w:hideMark/>
          </w:tcPr>
          <w:p w14:paraId="24426056" w14:textId="77777777" w:rsidR="00D075FE" w:rsidRPr="005111D7" w:rsidRDefault="003C5C89" w:rsidP="00D154D4">
            <w:pPr>
              <w:pStyle w:val="TableParagraph"/>
              <w:spacing w:before="113" w:line="216" w:lineRule="exact"/>
              <w:ind w:right="131"/>
              <w:jc w:val="center"/>
              <w:rPr>
                <w:sz w:val="24"/>
                <w:szCs w:val="24"/>
              </w:rPr>
            </w:pPr>
            <m:oMath>
              <m:sSub>
                <m:sSubPr>
                  <m:ctrlPr>
                    <w:rPr>
                      <w:i/>
                      <w:sz w:val="24"/>
                      <w:szCs w:val="24"/>
                    </w:rPr>
                  </m:ctrlPr>
                </m:sSubPr>
                <m:e>
                  <m:r>
                    <w:rPr>
                      <w:sz w:val="24"/>
                      <w:szCs w:val="24"/>
                    </w:rPr>
                    <m:t>a</m:t>
                  </m:r>
                  <m:r>
                    <w:rPr>
                      <w:spacing w:val="77"/>
                      <w:w w:val="150"/>
                      <w:sz w:val="24"/>
                      <w:szCs w:val="24"/>
                    </w:rPr>
                    <m:t xml:space="preserve"> </m:t>
                  </m:r>
                </m:e>
                <m:sub>
                  <m:r>
                    <w:rPr>
                      <w:sz w:val="24"/>
                      <w:szCs w:val="24"/>
                    </w:rPr>
                    <m:t>4</m:t>
                  </m:r>
                </m:sub>
              </m:sSub>
            </m:oMath>
            <w:r w:rsidR="00D075FE" w:rsidRPr="005111D7">
              <w:rPr>
                <w:sz w:val="24"/>
                <w:szCs w:val="24"/>
              </w:rPr>
              <w:t>±</w:t>
            </w:r>
            <w:r w:rsidR="00D075FE" w:rsidRPr="005111D7">
              <w:rPr>
                <w:spacing w:val="17"/>
                <w:sz w:val="24"/>
                <w:szCs w:val="24"/>
              </w:rPr>
              <w:t xml:space="preserve"> </w:t>
            </w:r>
            <m:oMath>
              <m:sSub>
                <m:sSubPr>
                  <m:ctrlPr>
                    <w:rPr>
                      <w:i/>
                      <w:spacing w:val="-10"/>
                      <w:sz w:val="24"/>
                      <w:szCs w:val="24"/>
                    </w:rPr>
                  </m:ctrlPr>
                </m:sSubPr>
                <m:e>
                  <m:r>
                    <w:rPr>
                      <w:spacing w:val="-10"/>
                      <w:sz w:val="24"/>
                      <w:szCs w:val="24"/>
                    </w:rPr>
                    <m:t>σ</m:t>
                  </m:r>
                </m:e>
                <m:sub>
                  <m:r>
                    <w:rPr>
                      <w:spacing w:val="-10"/>
                      <w:sz w:val="24"/>
                      <w:szCs w:val="24"/>
                    </w:rPr>
                    <m:t>4</m:t>
                  </m:r>
                </m:sub>
              </m:sSub>
            </m:oMath>
          </w:p>
          <w:p w14:paraId="21767812" w14:textId="77777777" w:rsidR="00D075FE" w:rsidRPr="005111D7" w:rsidRDefault="00D075FE" w:rsidP="00D154D4">
            <w:pPr>
              <w:jc w:val="center"/>
              <w:rPr>
                <w:color w:val="000000"/>
                <w:szCs w:val="24"/>
              </w:rPr>
            </w:pPr>
          </w:p>
        </w:tc>
        <w:tc>
          <w:tcPr>
            <w:tcW w:w="3970" w:type="dxa"/>
            <w:tcBorders>
              <w:top w:val="single" w:sz="4" w:space="0" w:color="7F7F7F"/>
              <w:bottom w:val="single" w:sz="4" w:space="0" w:color="7F7F7F"/>
            </w:tcBorders>
            <w:shd w:val="clear" w:color="auto" w:fill="auto"/>
            <w:noWrap/>
            <w:vAlign w:val="center"/>
            <w:hideMark/>
          </w:tcPr>
          <w:p w14:paraId="58E90030" w14:textId="77777777" w:rsidR="00D075FE" w:rsidRPr="003A5942" w:rsidRDefault="00D075FE" w:rsidP="00D154D4">
            <w:pPr>
              <w:jc w:val="center"/>
              <w:rPr>
                <w:color w:val="000000"/>
                <w:sz w:val="22"/>
                <w:szCs w:val="22"/>
              </w:rPr>
            </w:pPr>
            <w:r>
              <w:rPr>
                <w:color w:val="000000"/>
                <w:sz w:val="22"/>
                <w:szCs w:val="22"/>
              </w:rPr>
              <w:t>---</w:t>
            </w:r>
          </w:p>
        </w:tc>
      </w:tr>
      <w:tr w:rsidR="00D075FE" w:rsidRPr="005111D7" w14:paraId="577D7168" w14:textId="77777777" w:rsidTr="00D154D4">
        <w:trPr>
          <w:trHeight w:val="307"/>
          <w:jc w:val="center"/>
        </w:trPr>
        <w:tc>
          <w:tcPr>
            <w:tcW w:w="2096" w:type="dxa"/>
            <w:tcBorders>
              <w:top w:val="single" w:sz="4" w:space="0" w:color="7F7F7F"/>
              <w:bottom w:val="single" w:sz="12" w:space="0" w:color="auto"/>
            </w:tcBorders>
            <w:shd w:val="clear" w:color="auto" w:fill="auto"/>
            <w:noWrap/>
            <w:vAlign w:val="center"/>
            <w:hideMark/>
          </w:tcPr>
          <w:p w14:paraId="3F42F0D8" w14:textId="77777777" w:rsidR="00D075FE" w:rsidRPr="005111D7" w:rsidRDefault="003C5C89" w:rsidP="00D154D4">
            <w:pPr>
              <w:jc w:val="center"/>
              <w:rPr>
                <w:color w:val="000000"/>
                <w:szCs w:val="24"/>
              </w:rPr>
            </w:pPr>
            <m:oMath>
              <m:sSubSup>
                <m:sSubSupPr>
                  <m:ctrlPr>
                    <w:rPr>
                      <w:rFonts w:ascii="Cambria Math" w:hAnsi="Cambria Math"/>
                      <w:i/>
                      <w:color w:val="000000"/>
                      <w:szCs w:val="24"/>
                    </w:rPr>
                  </m:ctrlPr>
                </m:sSubSupPr>
                <m:e>
                  <m:r>
                    <w:rPr>
                      <w:rFonts w:ascii="Cambria Math" w:hAnsi="Cambria Math"/>
                      <w:color w:val="000000"/>
                      <w:szCs w:val="24"/>
                    </w:rPr>
                    <m:t>x</m:t>
                  </m:r>
                </m:e>
                <m:sub>
                  <m:r>
                    <w:rPr>
                      <w:rFonts w:ascii="Cambria Math" w:hAnsi="Cambria Math"/>
                      <w:color w:val="000000"/>
                      <w:szCs w:val="24"/>
                    </w:rPr>
                    <m:t>min</m:t>
                  </m:r>
                </m:sub>
                <m:sup>
                  <m:r>
                    <w:rPr>
                      <w:rFonts w:ascii="Cambria Math" w:hAnsi="Cambria Math"/>
                      <w:color w:val="000000"/>
                      <w:szCs w:val="24"/>
                    </w:rPr>
                    <m:t>2</m:t>
                  </m:r>
                </m:sup>
              </m:sSubSup>
              <m:r>
                <w:rPr>
                  <w:rFonts w:ascii="Cambria Math" w:hAnsi="Cambria Math"/>
                  <w:color w:val="000000"/>
                  <w:szCs w:val="24"/>
                </w:rPr>
                <m:t xml:space="preserve"> ,</m:t>
              </m:r>
            </m:oMath>
            <w:r w:rsidR="00D075FE" w:rsidRPr="005111D7">
              <w:rPr>
                <w:color w:val="000000"/>
                <w:szCs w:val="24"/>
              </w:rPr>
              <w:t xml:space="preserve"> </w:t>
            </w:r>
            <m:oMath>
              <m:r>
                <w:rPr>
                  <w:rFonts w:ascii="Cambria Math" w:hAnsi="Cambria Math"/>
                  <w:color w:val="000000"/>
                  <w:szCs w:val="24"/>
                </w:rPr>
                <m:t>Q(</m:t>
              </m:r>
              <m:f>
                <m:fPr>
                  <m:ctrlPr>
                    <w:rPr>
                      <w:rFonts w:ascii="Cambria Math" w:hAnsi="Cambria Math"/>
                      <w:i/>
                      <w:color w:val="000000"/>
                      <w:szCs w:val="24"/>
                    </w:rPr>
                  </m:ctrlPr>
                </m:fPr>
                <m:num>
                  <m:r>
                    <w:rPr>
                      <w:rFonts w:ascii="Cambria Math" w:hAnsi="Cambria Math"/>
                      <w:color w:val="000000"/>
                      <w:szCs w:val="24"/>
                    </w:rPr>
                    <m:t>ν</m:t>
                  </m:r>
                </m:num>
                <m:den>
                  <m:r>
                    <w:rPr>
                      <w:rFonts w:ascii="Cambria Math" w:hAnsi="Cambria Math"/>
                      <w:color w:val="000000"/>
                      <w:szCs w:val="24"/>
                    </w:rPr>
                    <m:t>2</m:t>
                  </m:r>
                </m:den>
              </m:f>
              <m:r>
                <w:rPr>
                  <w:rFonts w:ascii="Cambria Math" w:hAnsi="Cambria Math"/>
                  <w:color w:val="000000"/>
                  <w:szCs w:val="24"/>
                </w:rPr>
                <m:t xml:space="preserve"> , </m:t>
              </m:r>
              <m:f>
                <m:fPr>
                  <m:ctrlPr>
                    <w:rPr>
                      <w:rFonts w:ascii="Cambria Math" w:hAnsi="Cambria Math"/>
                      <w:i/>
                      <w:color w:val="000000"/>
                      <w:szCs w:val="24"/>
                    </w:rPr>
                  </m:ctrlPr>
                </m:fPr>
                <m:num>
                  <m:sSup>
                    <m:sSupPr>
                      <m:ctrlPr>
                        <w:rPr>
                          <w:rFonts w:ascii="Cambria Math" w:hAnsi="Cambria Math"/>
                          <w:i/>
                          <w:color w:val="000000"/>
                          <w:szCs w:val="24"/>
                        </w:rPr>
                      </m:ctrlPr>
                    </m:sSupPr>
                    <m:e>
                      <m:r>
                        <w:rPr>
                          <w:rFonts w:ascii="Cambria Math" w:hAnsi="Cambria Math"/>
                          <w:color w:val="000000"/>
                          <w:szCs w:val="24"/>
                        </w:rPr>
                        <m:t>x</m:t>
                      </m:r>
                    </m:e>
                    <m:sup>
                      <m:r>
                        <w:rPr>
                          <w:rFonts w:ascii="Cambria Math" w:hAnsi="Cambria Math"/>
                          <w:color w:val="000000"/>
                          <w:szCs w:val="24"/>
                        </w:rPr>
                        <m:t>2</m:t>
                      </m:r>
                    </m:sup>
                  </m:sSup>
                </m:num>
                <m:den>
                  <m:r>
                    <w:rPr>
                      <w:rFonts w:ascii="Cambria Math" w:hAnsi="Cambria Math"/>
                      <w:color w:val="000000"/>
                      <w:szCs w:val="24"/>
                    </w:rPr>
                    <m:t>2</m:t>
                  </m:r>
                </m:den>
              </m:f>
              <m:r>
                <w:rPr>
                  <w:rFonts w:ascii="Cambria Math" w:hAnsi="Cambria Math"/>
                  <w:color w:val="000000"/>
                  <w:szCs w:val="24"/>
                </w:rPr>
                <m:t xml:space="preserve"> )</m:t>
              </m:r>
            </m:oMath>
          </w:p>
        </w:tc>
        <w:tc>
          <w:tcPr>
            <w:tcW w:w="3970" w:type="dxa"/>
            <w:tcBorders>
              <w:top w:val="single" w:sz="4" w:space="0" w:color="7F7F7F"/>
              <w:bottom w:val="single" w:sz="12" w:space="0" w:color="auto"/>
            </w:tcBorders>
            <w:shd w:val="clear" w:color="auto" w:fill="auto"/>
            <w:noWrap/>
            <w:vAlign w:val="center"/>
            <w:hideMark/>
          </w:tcPr>
          <w:p w14:paraId="061E67B6" w14:textId="3FC420CD" w:rsidR="00D075FE" w:rsidRPr="003A5942" w:rsidRDefault="00D4087B" w:rsidP="00D154D4">
            <w:pPr>
              <w:jc w:val="center"/>
              <w:rPr>
                <w:color w:val="000000"/>
                <w:sz w:val="22"/>
                <w:szCs w:val="22"/>
              </w:rPr>
            </w:pPr>
            <m:oMath>
              <m:r>
                <w:rPr>
                  <w:rFonts w:ascii="Cambria Math" w:hAnsi="Cambria Math"/>
                  <w:color w:val="000000"/>
                  <w:sz w:val="20"/>
                </w:rPr>
                <m:t xml:space="preserve">29,24 × </m:t>
              </m:r>
              <m:sSup>
                <m:sSupPr>
                  <m:ctrlPr>
                    <w:rPr>
                      <w:rFonts w:ascii="Cambria Math" w:hAnsi="Cambria Math"/>
                      <w:i/>
                      <w:color w:val="000000"/>
                      <w:sz w:val="20"/>
                    </w:rPr>
                  </m:ctrlPr>
                </m:sSupPr>
                <m:e>
                  <m:r>
                    <w:rPr>
                      <w:rFonts w:ascii="Cambria Math" w:hAnsi="Cambria Math"/>
                      <w:color w:val="000000"/>
                      <w:sz w:val="20"/>
                    </w:rPr>
                    <m:t>10</m:t>
                  </m:r>
                </m:e>
                <m:sup>
                  <m:r>
                    <w:rPr>
                      <w:rFonts w:ascii="Cambria Math" w:hAnsi="Cambria Math"/>
                      <w:color w:val="000000"/>
                      <w:sz w:val="20"/>
                    </w:rPr>
                    <m:t>-2</m:t>
                  </m:r>
                </m:sup>
              </m:sSup>
              <m:r>
                <w:rPr>
                  <w:rFonts w:ascii="Cambria Math" w:hAnsi="Cambria Math"/>
                  <w:color w:val="000000"/>
                  <w:sz w:val="20"/>
                </w:rPr>
                <m:t xml:space="preserve"> ;</m:t>
              </m:r>
              <m:r>
                <m:rPr>
                  <m:sty m:val="p"/>
                </m:rPr>
                <w:rPr>
                  <w:rFonts w:ascii="Cambria Math" w:hAnsi="Cambria Math"/>
                  <w:color w:val="000000"/>
                  <w:sz w:val="20"/>
                </w:rPr>
                <m:t xml:space="preserve"> 1(</m:t>
              </m:r>
              <m:r>
                <m:rPr>
                  <m:sty m:val="p"/>
                </m:rPr>
                <w:rPr>
                  <w:rFonts w:ascii="Cambria Math" w:hAnsi="Cambria Math"/>
                  <w:sz w:val="20"/>
                  <w:szCs w:val="18"/>
                </w:rPr>
                <m:t>0.</m:t>
              </m:r>
              <m:r>
                <m:rPr>
                  <m:sty m:val="p"/>
                </m:rPr>
                <w:rPr>
                  <w:rFonts w:ascii="Cambria Math" w:hAnsi="Cambria Math"/>
                  <w:spacing w:val="-5"/>
                  <w:sz w:val="20"/>
                  <w:szCs w:val="18"/>
                </w:rPr>
                <m:t xml:space="preserve"> </m:t>
              </m:r>
              <m:r>
                <m:rPr>
                  <m:sty m:val="p"/>
                </m:rPr>
                <w:rPr>
                  <w:rFonts w:ascii="Cambria Math" w:hAnsi="Cambria Math"/>
                  <w:spacing w:val="-2"/>
                  <w:sz w:val="20"/>
                  <w:szCs w:val="18"/>
                </w:rPr>
                <m:t>99999379768475116)</m:t>
              </m:r>
            </m:oMath>
            <w:r w:rsidR="00D075FE" w:rsidRPr="003A5942">
              <w:rPr>
                <w:color w:val="000000"/>
                <w:sz w:val="22"/>
                <w:szCs w:val="22"/>
              </w:rPr>
              <w:t xml:space="preserve"> </w:t>
            </w:r>
          </w:p>
        </w:tc>
      </w:tr>
    </w:tbl>
    <w:p w14:paraId="027476C8" w14:textId="62BB9794" w:rsidR="00D075FE" w:rsidRPr="0049479C" w:rsidRDefault="00D075FE" w:rsidP="00D075FE">
      <w:pPr>
        <w:spacing w:after="240"/>
        <w:ind w:left="709"/>
        <w:rPr>
          <w:sz w:val="20"/>
        </w:rPr>
      </w:pPr>
      <w:r w:rsidRPr="0049479C">
        <w:rPr>
          <w:sz w:val="20"/>
        </w:rPr>
        <w:t xml:space="preserve">Fonte: </w:t>
      </w:r>
      <w:r>
        <w:rPr>
          <w:sz w:val="20"/>
        </w:rPr>
        <w:t>Elaborado pelos autores</w:t>
      </w:r>
      <w:r w:rsidR="00565B8E">
        <w:rPr>
          <w:sz w:val="20"/>
        </w:rPr>
        <w:t>.</w:t>
      </w:r>
    </w:p>
    <w:p w14:paraId="48FD7B85" w14:textId="147744CE" w:rsidR="00D075FE" w:rsidRDefault="006424B1" w:rsidP="008872A4">
      <w:pPr>
        <w:jc w:val="center"/>
        <w:rPr>
          <w:szCs w:val="24"/>
          <w:lang w:val="pt-BR"/>
        </w:rPr>
      </w:pPr>
      <w:r>
        <w:rPr>
          <w:rFonts w:ascii="Arial"/>
          <w:noProof/>
          <w:sz w:val="20"/>
        </w:rPr>
        <w:drawing>
          <wp:inline distT="0" distB="0" distL="0" distR="0" wp14:anchorId="3E97603D" wp14:editId="5B068292">
            <wp:extent cx="3555365" cy="2773680"/>
            <wp:effectExtent l="0" t="0" r="6985" b="7620"/>
            <wp:docPr id="15" name="Image 15" descr="Gráfic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Gráfico&#10;&#10;O conteúdo gerado por IA pode estar incorreto."/>
                    <pic:cNvPicPr/>
                  </pic:nvPicPr>
                  <pic:blipFill>
                    <a:blip r:embed="rId12" cstate="print"/>
                    <a:stretch>
                      <a:fillRect/>
                    </a:stretch>
                  </pic:blipFill>
                  <pic:spPr>
                    <a:xfrm>
                      <a:off x="0" y="0"/>
                      <a:ext cx="3565629" cy="2781687"/>
                    </a:xfrm>
                    <a:prstGeom prst="rect">
                      <a:avLst/>
                    </a:prstGeom>
                  </pic:spPr>
                </pic:pic>
              </a:graphicData>
            </a:graphic>
          </wp:inline>
        </w:drawing>
      </w:r>
    </w:p>
    <w:p w14:paraId="10D096A3" w14:textId="77777777" w:rsidR="00E71F60" w:rsidRDefault="00E71F60" w:rsidP="008872A4">
      <w:pPr>
        <w:jc w:val="center"/>
        <w:rPr>
          <w:szCs w:val="24"/>
          <w:lang w:val="pt-BR"/>
        </w:rPr>
      </w:pPr>
    </w:p>
    <w:p w14:paraId="7938ACA1" w14:textId="120262EC" w:rsidR="00D075FE" w:rsidRDefault="00D075FE" w:rsidP="00D075FE">
      <w:pPr>
        <w:spacing w:after="120"/>
        <w:jc w:val="center"/>
        <w:rPr>
          <w:bCs/>
          <w:sz w:val="20"/>
          <w:lang w:val="pt-BR"/>
        </w:rPr>
      </w:pPr>
      <w:r w:rsidRPr="0049479C">
        <w:rPr>
          <w:b/>
          <w:sz w:val="20"/>
          <w:lang w:val="pt-BR"/>
        </w:rPr>
        <w:t xml:space="preserve">Figura </w:t>
      </w:r>
      <w:r w:rsidRPr="009B146D">
        <w:rPr>
          <w:b/>
          <w:sz w:val="20"/>
          <w:lang w:val="pt-BR"/>
        </w:rPr>
        <w:t>5</w:t>
      </w:r>
      <w:r w:rsidRPr="0049479C">
        <w:rPr>
          <w:b/>
          <w:sz w:val="20"/>
          <w:lang w:val="pt-BR"/>
        </w:rPr>
        <w:t xml:space="preserve">: </w:t>
      </w:r>
      <w:r w:rsidR="009B146D">
        <w:rPr>
          <w:bCs/>
          <w:sz w:val="20"/>
          <w:lang w:val="pt-BR"/>
        </w:rPr>
        <w:t xml:space="preserve">Gráfico do </w:t>
      </w:r>
      <w:r w:rsidR="009B146D" w:rsidRPr="00A47061">
        <w:rPr>
          <w:color w:val="000000"/>
          <w:sz w:val="20"/>
          <w:lang w:val="pt-BR"/>
        </w:rPr>
        <w:t>Investimento Total (Tipo I, II e III)</w:t>
      </w:r>
      <w:r w:rsidRPr="00D075FE">
        <w:rPr>
          <w:bCs/>
          <w:sz w:val="20"/>
          <w:lang w:val="pt-BR"/>
        </w:rPr>
        <w:t>.</w:t>
      </w:r>
      <w:r w:rsidRPr="0049479C">
        <w:rPr>
          <w:b/>
          <w:sz w:val="20"/>
          <w:lang w:val="pt-BR"/>
        </w:rPr>
        <w:t xml:space="preserve"> Fonte: </w:t>
      </w:r>
      <w:r w:rsidRPr="00D075FE">
        <w:rPr>
          <w:bCs/>
          <w:sz w:val="20"/>
          <w:lang w:val="pt-BR"/>
        </w:rPr>
        <w:t>elaborado pelos autores.</w:t>
      </w:r>
    </w:p>
    <w:p w14:paraId="621DB8C5" w14:textId="77777777" w:rsidR="00177DD8" w:rsidRDefault="001F2667" w:rsidP="00F0550B">
      <w:pPr>
        <w:spacing w:after="120"/>
        <w:ind w:firstLine="360"/>
        <w:rPr>
          <w:szCs w:val="24"/>
          <w:lang w:val="pt-BR"/>
        </w:rPr>
      </w:pPr>
      <w:r w:rsidRPr="001F2667">
        <w:rPr>
          <w:szCs w:val="24"/>
          <w:lang w:val="pt-BR"/>
        </w:rPr>
        <w:lastRenderedPageBreak/>
        <w:t xml:space="preserve">Os </w:t>
      </w:r>
      <w:r w:rsidR="00C90FC4">
        <w:rPr>
          <w:szCs w:val="24"/>
          <w:lang w:val="pt-BR"/>
        </w:rPr>
        <w:t xml:space="preserve">valores representados nos </w:t>
      </w:r>
      <w:r w:rsidRPr="001F2667">
        <w:rPr>
          <w:szCs w:val="24"/>
          <w:lang w:val="pt-BR"/>
        </w:rPr>
        <w:t xml:space="preserve">gráficos não estão em ordem cronológica, apenas em função dos investimentos analisados. Pode-se perceber que em determinado </w:t>
      </w:r>
      <w:r w:rsidR="00C90FC4">
        <w:rPr>
          <w:szCs w:val="24"/>
          <w:lang w:val="pt-BR"/>
        </w:rPr>
        <w:t>ponto</w:t>
      </w:r>
      <w:r w:rsidRPr="001F2667">
        <w:rPr>
          <w:szCs w:val="24"/>
          <w:lang w:val="pt-BR"/>
        </w:rPr>
        <w:t xml:space="preserve">, </w:t>
      </w:r>
      <w:r w:rsidR="00C90FC4">
        <w:rPr>
          <w:szCs w:val="24"/>
          <w:lang w:val="pt-BR"/>
        </w:rPr>
        <w:t xml:space="preserve">representado </w:t>
      </w:r>
      <w:r>
        <w:rPr>
          <w:szCs w:val="24"/>
          <w:lang w:val="pt-BR"/>
        </w:rPr>
        <w:t>nos gráficos ilustrados na Figura 1, Figura 2 e Figura 3,</w:t>
      </w:r>
      <w:r w:rsidR="004379B1">
        <w:rPr>
          <w:szCs w:val="24"/>
          <w:lang w:val="pt-BR"/>
        </w:rPr>
        <w:t xml:space="preserve"> o</w:t>
      </w:r>
      <w:r>
        <w:rPr>
          <w:szCs w:val="24"/>
          <w:lang w:val="pt-BR"/>
        </w:rPr>
        <w:t xml:space="preserve"> </w:t>
      </w:r>
      <w:r w:rsidR="004379B1" w:rsidRPr="004379B1">
        <w:rPr>
          <w:szCs w:val="24"/>
          <w:lang w:val="pt-BR"/>
        </w:rPr>
        <w:t xml:space="preserve">número de acidentes do trabalho com afastamento </w:t>
      </w:r>
      <w:r w:rsidRPr="001F2667">
        <w:rPr>
          <w:szCs w:val="24"/>
          <w:lang w:val="pt-BR"/>
        </w:rPr>
        <w:t xml:space="preserve">tendem a diminuir </w:t>
      </w:r>
      <w:r>
        <w:rPr>
          <w:szCs w:val="24"/>
          <w:lang w:val="pt-BR"/>
        </w:rPr>
        <w:t xml:space="preserve">em queda acentuada, e logo em seguida, aumentam, mesmo com os investimentos </w:t>
      </w:r>
      <w:r w:rsidR="00C90FC4">
        <w:rPr>
          <w:szCs w:val="24"/>
          <w:lang w:val="pt-BR"/>
        </w:rPr>
        <w:t>crescentes</w:t>
      </w:r>
      <w:r>
        <w:rPr>
          <w:szCs w:val="24"/>
          <w:lang w:val="pt-BR"/>
        </w:rPr>
        <w:t xml:space="preserve">. </w:t>
      </w:r>
    </w:p>
    <w:p w14:paraId="393ECC41" w14:textId="0956CDB1" w:rsidR="001F2667" w:rsidRDefault="001F2667" w:rsidP="00F0550B">
      <w:pPr>
        <w:spacing w:after="120"/>
        <w:ind w:firstLine="360"/>
        <w:rPr>
          <w:szCs w:val="24"/>
          <w:lang w:val="pt-BR"/>
        </w:rPr>
      </w:pPr>
      <w:r>
        <w:rPr>
          <w:szCs w:val="24"/>
          <w:lang w:val="pt-BR"/>
        </w:rPr>
        <w:t>Esta pequena diminuição</w:t>
      </w:r>
      <w:r w:rsidR="004379B1">
        <w:rPr>
          <w:szCs w:val="24"/>
          <w:lang w:val="pt-BR"/>
        </w:rPr>
        <w:t xml:space="preserve"> do</w:t>
      </w:r>
      <w:r>
        <w:rPr>
          <w:szCs w:val="24"/>
          <w:lang w:val="pt-BR"/>
        </w:rPr>
        <w:t xml:space="preserve"> </w:t>
      </w:r>
      <w:r w:rsidR="004379B1" w:rsidRPr="004379B1">
        <w:rPr>
          <w:szCs w:val="24"/>
          <w:lang w:val="pt-BR"/>
        </w:rPr>
        <w:t xml:space="preserve">número de acidentes do trabalho com afastamento </w:t>
      </w:r>
      <w:r>
        <w:rPr>
          <w:szCs w:val="24"/>
          <w:lang w:val="pt-BR"/>
        </w:rPr>
        <w:t xml:space="preserve">coincide com o período de pandemia do coronavírus (COVID 19), </w:t>
      </w:r>
      <w:r w:rsidR="00C90FC4">
        <w:rPr>
          <w:szCs w:val="24"/>
          <w:lang w:val="pt-BR"/>
        </w:rPr>
        <w:t>período</w:t>
      </w:r>
      <w:r>
        <w:rPr>
          <w:szCs w:val="24"/>
          <w:lang w:val="pt-BR"/>
        </w:rPr>
        <w:t xml:space="preserve"> que resultou em </w:t>
      </w:r>
      <w:r w:rsidR="00C90FC4">
        <w:rPr>
          <w:szCs w:val="24"/>
          <w:lang w:val="pt-BR"/>
        </w:rPr>
        <w:t>menor número de</w:t>
      </w:r>
      <w:r>
        <w:rPr>
          <w:szCs w:val="24"/>
          <w:lang w:val="pt-BR"/>
        </w:rPr>
        <w:t xml:space="preserve"> pessoas em atividade laboral presencial, </w:t>
      </w:r>
      <w:r w:rsidR="00C90FC4">
        <w:rPr>
          <w:szCs w:val="24"/>
          <w:lang w:val="pt-BR"/>
        </w:rPr>
        <w:t>aumento das</w:t>
      </w:r>
      <w:r>
        <w:rPr>
          <w:szCs w:val="24"/>
          <w:lang w:val="pt-BR"/>
        </w:rPr>
        <w:t xml:space="preserve"> atividades remotas e</w:t>
      </w:r>
      <w:r w:rsidR="00F0550B">
        <w:rPr>
          <w:szCs w:val="24"/>
          <w:lang w:val="pt-BR"/>
        </w:rPr>
        <w:t xml:space="preserve"> isolamento social. Esse afastamento</w:t>
      </w:r>
      <w:r w:rsidR="00C90FC4">
        <w:rPr>
          <w:szCs w:val="24"/>
          <w:lang w:val="pt-BR"/>
        </w:rPr>
        <w:t xml:space="preserve"> das pessoas</w:t>
      </w:r>
      <w:r w:rsidR="00F0550B">
        <w:rPr>
          <w:szCs w:val="24"/>
          <w:lang w:val="pt-BR"/>
        </w:rPr>
        <w:t xml:space="preserve"> devido à pandemia, pode ter gerado uma diminuição do </w:t>
      </w:r>
      <w:r w:rsidR="004379B1" w:rsidRPr="004379B1">
        <w:rPr>
          <w:szCs w:val="24"/>
          <w:lang w:val="pt-BR"/>
        </w:rPr>
        <w:t>número de acidentes do trabalho com afastamento</w:t>
      </w:r>
      <w:r w:rsidR="004379B1">
        <w:rPr>
          <w:szCs w:val="24"/>
          <w:lang w:val="pt-BR"/>
        </w:rPr>
        <w:t>,</w:t>
      </w:r>
      <w:r w:rsidR="00F0550B">
        <w:rPr>
          <w:szCs w:val="24"/>
          <w:lang w:val="pt-BR"/>
        </w:rPr>
        <w:t xml:space="preserve"> </w:t>
      </w:r>
      <w:r w:rsidR="00C90FC4">
        <w:rPr>
          <w:szCs w:val="24"/>
          <w:lang w:val="pt-BR"/>
        </w:rPr>
        <w:t>que não foi decorrente dos</w:t>
      </w:r>
      <w:r w:rsidR="00F0550B">
        <w:rPr>
          <w:szCs w:val="24"/>
          <w:lang w:val="pt-BR"/>
        </w:rPr>
        <w:t xml:space="preserve"> investimentos</w:t>
      </w:r>
      <w:r w:rsidR="00C90FC4">
        <w:rPr>
          <w:szCs w:val="24"/>
          <w:lang w:val="pt-BR"/>
        </w:rPr>
        <w:t xml:space="preserve"> da empresa</w:t>
      </w:r>
      <w:r w:rsidR="00F0550B">
        <w:rPr>
          <w:szCs w:val="24"/>
          <w:lang w:val="pt-BR"/>
        </w:rPr>
        <w:t xml:space="preserve">, pois, assim que a pandemia cessou, </w:t>
      </w:r>
      <w:r w:rsidR="00187DD2">
        <w:rPr>
          <w:szCs w:val="24"/>
          <w:lang w:val="pt-BR"/>
        </w:rPr>
        <w:t xml:space="preserve">o </w:t>
      </w:r>
      <w:r w:rsidR="00187DD2" w:rsidRPr="004379B1">
        <w:rPr>
          <w:szCs w:val="24"/>
          <w:lang w:val="pt-BR"/>
        </w:rPr>
        <w:t xml:space="preserve">número de acidentes do trabalho com afastamento </w:t>
      </w:r>
      <w:r w:rsidR="00C90FC4">
        <w:rPr>
          <w:szCs w:val="24"/>
          <w:lang w:val="pt-BR"/>
        </w:rPr>
        <w:t>retomou aos níveis anteriores,</w:t>
      </w:r>
      <w:r w:rsidR="00F0550B">
        <w:rPr>
          <w:szCs w:val="24"/>
          <w:lang w:val="pt-BR"/>
        </w:rPr>
        <w:t xml:space="preserve"> mesmo que, os investimentos apresentados em cada gráfico, tenham </w:t>
      </w:r>
      <w:r w:rsidR="00C22D26">
        <w:rPr>
          <w:szCs w:val="24"/>
          <w:lang w:val="pt-BR"/>
        </w:rPr>
        <w:t>aumentado</w:t>
      </w:r>
      <w:r w:rsidR="00F0550B">
        <w:rPr>
          <w:szCs w:val="24"/>
          <w:lang w:val="pt-BR"/>
        </w:rPr>
        <w:t>.</w:t>
      </w:r>
    </w:p>
    <w:p w14:paraId="3D4D80EF" w14:textId="77777777" w:rsidR="00C60059" w:rsidRPr="0049479C" w:rsidRDefault="00C60059" w:rsidP="00D075FE">
      <w:pPr>
        <w:spacing w:after="120"/>
        <w:jc w:val="center"/>
        <w:rPr>
          <w:b/>
          <w:sz w:val="20"/>
          <w:lang w:val="pt-BR"/>
        </w:rPr>
      </w:pPr>
    </w:p>
    <w:p w14:paraId="49E15155" w14:textId="354FA707" w:rsidR="0049479C" w:rsidRPr="0049479C" w:rsidRDefault="0049479C" w:rsidP="0058453D">
      <w:pPr>
        <w:pStyle w:val="PargrafodaLista"/>
        <w:numPr>
          <w:ilvl w:val="0"/>
          <w:numId w:val="5"/>
        </w:numPr>
        <w:spacing w:after="120"/>
        <w:rPr>
          <w:b/>
          <w:szCs w:val="24"/>
          <w:lang w:val="pt-BR"/>
        </w:rPr>
      </w:pPr>
      <w:r w:rsidRPr="0049479C">
        <w:rPr>
          <w:b/>
          <w:szCs w:val="24"/>
          <w:lang w:val="pt-BR"/>
        </w:rPr>
        <w:t>Considerações Finais</w:t>
      </w:r>
    </w:p>
    <w:p w14:paraId="76DDB678" w14:textId="77777777" w:rsidR="00071F62" w:rsidRDefault="00071F62" w:rsidP="00720876">
      <w:pPr>
        <w:spacing w:after="120"/>
        <w:ind w:firstLine="284"/>
        <w:rPr>
          <w:szCs w:val="24"/>
          <w:lang w:val="pt-BR"/>
        </w:rPr>
      </w:pPr>
    </w:p>
    <w:p w14:paraId="65099C74" w14:textId="77777777" w:rsidR="00071F62" w:rsidRDefault="008D4B8D" w:rsidP="009B7D07">
      <w:pPr>
        <w:spacing w:after="120"/>
        <w:ind w:firstLine="284"/>
        <w:rPr>
          <w:szCs w:val="24"/>
          <w:lang w:val="pt-BR"/>
        </w:rPr>
      </w:pPr>
      <w:r>
        <w:rPr>
          <w:szCs w:val="24"/>
          <w:lang w:val="pt-BR"/>
        </w:rPr>
        <w:t xml:space="preserve">Pode-se concluir que os investimentos conjuntos em educação, segurança e saúde do trabalho, e capacitação e desenvolvimento profissional, geraram uma redução na </w:t>
      </w:r>
      <w:r w:rsidR="004379B1">
        <w:rPr>
          <w:szCs w:val="24"/>
          <w:lang w:val="pt-BR"/>
        </w:rPr>
        <w:t xml:space="preserve">frequência </w:t>
      </w:r>
      <w:r>
        <w:rPr>
          <w:szCs w:val="24"/>
          <w:lang w:val="pt-BR"/>
        </w:rPr>
        <w:t>de acidentes com afastamento no trabalho. Em particular, os investimentos em segurança e saúde do trabalho geraram o maior impacto na diminuição d</w:t>
      </w:r>
      <w:r w:rsidR="004379B1">
        <w:rPr>
          <w:szCs w:val="24"/>
          <w:lang w:val="pt-BR"/>
        </w:rPr>
        <w:t>o</w:t>
      </w:r>
      <w:r>
        <w:rPr>
          <w:szCs w:val="24"/>
          <w:lang w:val="pt-BR"/>
        </w:rPr>
        <w:t xml:space="preserve"> </w:t>
      </w:r>
      <w:r w:rsidR="004379B1" w:rsidRPr="004379B1">
        <w:rPr>
          <w:szCs w:val="24"/>
          <w:lang w:val="pt-BR"/>
        </w:rPr>
        <w:t>número de acidentes do trabalho com afastamento</w:t>
      </w:r>
      <w:r>
        <w:rPr>
          <w:szCs w:val="24"/>
          <w:lang w:val="pt-BR"/>
        </w:rPr>
        <w:t xml:space="preserve">. </w:t>
      </w:r>
    </w:p>
    <w:p w14:paraId="556C8A2C" w14:textId="2535FEDA" w:rsidR="009B7D07" w:rsidRDefault="009B7D07" w:rsidP="009B7D07">
      <w:pPr>
        <w:spacing w:after="120"/>
        <w:ind w:firstLine="284"/>
        <w:rPr>
          <w:szCs w:val="24"/>
          <w:lang w:val="pt-BR"/>
        </w:rPr>
      </w:pPr>
      <w:r>
        <w:rPr>
          <w:szCs w:val="24"/>
          <w:lang w:val="pt-BR"/>
        </w:rPr>
        <w:t xml:space="preserve">Através de uma previsão probabilística, e considerando os valores atuais de inflação, os investimentos em educação atingiriam um patamar ótimo </w:t>
      </w:r>
      <w:r w:rsidR="00071F62">
        <w:rPr>
          <w:szCs w:val="24"/>
          <w:lang w:val="pt-BR"/>
        </w:rPr>
        <w:t xml:space="preserve">em redução do </w:t>
      </w:r>
      <w:r w:rsidR="00071F62" w:rsidRPr="00071F62">
        <w:rPr>
          <w:szCs w:val="24"/>
          <w:lang w:val="pt-BR"/>
        </w:rPr>
        <w:t>número de acidentes do trabalho com afastamento</w:t>
      </w:r>
      <w:r w:rsidR="00071F62">
        <w:rPr>
          <w:szCs w:val="24"/>
          <w:lang w:val="pt-BR"/>
        </w:rPr>
        <w:t xml:space="preserve"> </w:t>
      </w:r>
      <w:r>
        <w:rPr>
          <w:szCs w:val="24"/>
          <w:lang w:val="pt-BR"/>
        </w:rPr>
        <w:t xml:space="preserve">em 450 milhões de reais, enquanto os investimentos em </w:t>
      </w:r>
      <w:r w:rsidRPr="009B7D07">
        <w:rPr>
          <w:szCs w:val="24"/>
          <w:lang w:val="pt-BR"/>
        </w:rPr>
        <w:t>segurança e saúde no trabalho</w:t>
      </w:r>
      <w:r>
        <w:rPr>
          <w:szCs w:val="24"/>
          <w:lang w:val="pt-BR"/>
        </w:rPr>
        <w:t xml:space="preserve"> atingiriam </w:t>
      </w:r>
      <w:r w:rsidR="00071F62">
        <w:rPr>
          <w:szCs w:val="24"/>
          <w:lang w:val="pt-BR"/>
        </w:rPr>
        <w:t xml:space="preserve">esse mesmo patamar em 350 milhões de reais. </w:t>
      </w:r>
    </w:p>
    <w:p w14:paraId="1271ACB2" w14:textId="1448C135" w:rsidR="002135D5" w:rsidRDefault="008D4B8D" w:rsidP="0049479C">
      <w:pPr>
        <w:spacing w:after="120"/>
        <w:ind w:firstLine="284"/>
        <w:rPr>
          <w:szCs w:val="24"/>
          <w:lang w:val="pt-BR"/>
        </w:rPr>
      </w:pPr>
      <w:r>
        <w:rPr>
          <w:szCs w:val="24"/>
          <w:lang w:val="pt-BR"/>
        </w:rPr>
        <w:t>Analisando</w:t>
      </w:r>
      <w:r w:rsidR="002135D5">
        <w:rPr>
          <w:szCs w:val="24"/>
          <w:lang w:val="pt-BR"/>
        </w:rPr>
        <w:t>,</w:t>
      </w:r>
      <w:r>
        <w:rPr>
          <w:szCs w:val="24"/>
          <w:lang w:val="pt-BR"/>
        </w:rPr>
        <w:t xml:space="preserve"> isoladamente</w:t>
      </w:r>
      <w:r w:rsidR="002135D5">
        <w:rPr>
          <w:szCs w:val="24"/>
          <w:lang w:val="pt-BR"/>
        </w:rPr>
        <w:t>,</w:t>
      </w:r>
      <w:r>
        <w:rPr>
          <w:szCs w:val="24"/>
          <w:lang w:val="pt-BR"/>
        </w:rPr>
        <w:t xml:space="preserve"> os investimentos em capacitação e desenvolvimento profissional, ess</w:t>
      </w:r>
      <w:r w:rsidR="002135D5">
        <w:rPr>
          <w:szCs w:val="24"/>
          <w:lang w:val="pt-BR"/>
        </w:rPr>
        <w:t xml:space="preserve">e </w:t>
      </w:r>
      <w:r>
        <w:rPr>
          <w:szCs w:val="24"/>
          <w:lang w:val="pt-BR"/>
        </w:rPr>
        <w:t>parâmetro gerou pouco impacto na diminuição dos acidentes</w:t>
      </w:r>
      <w:r w:rsidR="002135D5">
        <w:rPr>
          <w:szCs w:val="24"/>
          <w:lang w:val="pt-BR"/>
        </w:rPr>
        <w:t xml:space="preserve"> laborais</w:t>
      </w:r>
      <w:r w:rsidR="004379B1">
        <w:rPr>
          <w:szCs w:val="24"/>
          <w:lang w:val="pt-BR"/>
        </w:rPr>
        <w:t xml:space="preserve"> com afastamento</w:t>
      </w:r>
      <w:r>
        <w:rPr>
          <w:szCs w:val="24"/>
          <w:lang w:val="pt-BR"/>
        </w:rPr>
        <w:t>, isso pode ser explicado pelo investimento não ser direcionado para a prevenção de acidentes e medicina do trabalho.</w:t>
      </w:r>
      <w:r w:rsidR="002135D5">
        <w:rPr>
          <w:szCs w:val="24"/>
          <w:lang w:val="pt-BR"/>
        </w:rPr>
        <w:t xml:space="preserve"> </w:t>
      </w:r>
    </w:p>
    <w:p w14:paraId="17F30A5A" w14:textId="40306DA2" w:rsidR="005B099A" w:rsidRDefault="002135D5" w:rsidP="0046585F">
      <w:pPr>
        <w:spacing w:after="120"/>
        <w:ind w:firstLine="284"/>
        <w:rPr>
          <w:szCs w:val="24"/>
          <w:lang w:val="pt-BR"/>
        </w:rPr>
      </w:pPr>
      <w:r>
        <w:rPr>
          <w:szCs w:val="24"/>
          <w:lang w:val="pt-BR"/>
        </w:rPr>
        <w:t>Durante a pandemia</w:t>
      </w:r>
      <w:r w:rsidR="0046585F">
        <w:rPr>
          <w:szCs w:val="24"/>
          <w:lang w:val="pt-BR"/>
        </w:rPr>
        <w:t xml:space="preserve"> do coronavírus (COVID 19)</w:t>
      </w:r>
      <w:r>
        <w:rPr>
          <w:szCs w:val="24"/>
          <w:lang w:val="pt-BR"/>
        </w:rPr>
        <w:t xml:space="preserve">, houve diminuição dos acidentes </w:t>
      </w:r>
      <w:r w:rsidR="0046585F">
        <w:rPr>
          <w:szCs w:val="24"/>
          <w:lang w:val="pt-BR"/>
        </w:rPr>
        <w:t xml:space="preserve">de trabalho </w:t>
      </w:r>
      <w:r>
        <w:rPr>
          <w:szCs w:val="24"/>
          <w:lang w:val="pt-BR"/>
        </w:rPr>
        <w:t>com afastamento</w:t>
      </w:r>
      <w:r w:rsidR="0046585F">
        <w:rPr>
          <w:szCs w:val="24"/>
          <w:lang w:val="pt-BR"/>
        </w:rPr>
        <w:t>, e com o retorno das atividades, a taxa de acidentes subiu, mesmo com os investimentos tendo aumentado, em todos os gráficos analisados.</w:t>
      </w:r>
    </w:p>
    <w:p w14:paraId="5CDE3052" w14:textId="3C30DA67" w:rsidR="00071F62" w:rsidRDefault="00071F62" w:rsidP="0046585F">
      <w:pPr>
        <w:spacing w:after="120"/>
        <w:ind w:firstLine="284"/>
        <w:rPr>
          <w:b/>
          <w:szCs w:val="24"/>
          <w:lang w:val="pt-BR"/>
        </w:rPr>
      </w:pPr>
      <w:r>
        <w:rPr>
          <w:szCs w:val="24"/>
          <w:lang w:val="pt-BR"/>
        </w:rPr>
        <w:t>Também possível concluir que os investimentos</w:t>
      </w:r>
      <w:r w:rsidR="004E4448">
        <w:rPr>
          <w:szCs w:val="24"/>
          <w:lang w:val="pt-BR"/>
        </w:rPr>
        <w:t>, utilizados nesse trabalho,</w:t>
      </w:r>
      <w:r>
        <w:rPr>
          <w:szCs w:val="24"/>
          <w:lang w:val="pt-BR"/>
        </w:rPr>
        <w:t xml:space="preserve"> da companhia Petrobrás</w:t>
      </w:r>
      <w:r w:rsidR="004E4448">
        <w:rPr>
          <w:szCs w:val="24"/>
          <w:lang w:val="pt-BR"/>
        </w:rPr>
        <w:t>,</w:t>
      </w:r>
      <w:r>
        <w:rPr>
          <w:szCs w:val="24"/>
          <w:lang w:val="pt-BR"/>
        </w:rPr>
        <w:t xml:space="preserve"> tornam as atividades mais sustentáveis, pois estão alinhados com os Objetivos do Desenvolvimento Sustentável</w:t>
      </w:r>
      <w:r w:rsidR="004E4448">
        <w:rPr>
          <w:szCs w:val="24"/>
          <w:lang w:val="pt-BR"/>
        </w:rPr>
        <w:t xml:space="preserve"> (ODS)</w:t>
      </w:r>
      <w:r>
        <w:rPr>
          <w:szCs w:val="24"/>
          <w:lang w:val="pt-BR"/>
        </w:rPr>
        <w:t xml:space="preserve">, reforçados nos relatórios de sustentabilidade </w:t>
      </w:r>
      <w:r w:rsidR="009970DF">
        <w:rPr>
          <w:szCs w:val="24"/>
          <w:lang w:val="pt-BR"/>
        </w:rPr>
        <w:t xml:space="preserve">da empresa </w:t>
      </w:r>
      <w:r>
        <w:rPr>
          <w:szCs w:val="24"/>
          <w:lang w:val="pt-BR"/>
        </w:rPr>
        <w:fldChar w:fldCharType="begin"/>
      </w:r>
      <w:r>
        <w:rPr>
          <w:szCs w:val="24"/>
          <w:lang w:val="pt-BR"/>
        </w:rPr>
        <w:instrText xml:space="preserve"> ADDIN ZOTERO_ITEM CSL_CITATION {"citationID":"ahp5ualw","properties":{"formattedCitation":"(PETROBR\\uc0\\u193{}S, 2023a)","plainCitation":"(PETROBRÁS, 2023a)","noteIndex":0},"citationItems":[{"id":2164,"uris":["http://zotero.org/users/6746406/items/JWQ9GXAD"],"itemData":{"id":2164,"type":"post-weblog","abstract":"Relações com Investidores","container-title":"Petrobras","language":"pt-br","title":"Relatórios Anuais | Relatórios Anuais de Sustentabilidade de 2007 a 2023 da Petrobrás","URL":"https://www.investidorpetrobras.com.br/apresentacoes-relatorios-e-eventos/relatorios-anuais/","author":[{"family":"Petrobrás","given":""}],"accessed":{"date-parts":[["2025",2,5]]},"issued":{"date-parts":[["2023"]]}}}],"schema":"https://github.com/citation-style-language/schema/raw/master/csl-citation.json"} </w:instrText>
      </w:r>
      <w:r>
        <w:rPr>
          <w:szCs w:val="24"/>
          <w:lang w:val="pt-BR"/>
        </w:rPr>
        <w:fldChar w:fldCharType="separate"/>
      </w:r>
      <w:r w:rsidRPr="00071F62">
        <w:rPr>
          <w:lang w:val="pt-BR"/>
        </w:rPr>
        <w:t>(</w:t>
      </w:r>
      <w:r>
        <w:rPr>
          <w:lang w:val="pt-BR"/>
        </w:rPr>
        <w:t>Petrobrás</w:t>
      </w:r>
      <w:r w:rsidRPr="00071F62">
        <w:rPr>
          <w:lang w:val="pt-BR"/>
        </w:rPr>
        <w:t>, 2023a)</w:t>
      </w:r>
      <w:r>
        <w:rPr>
          <w:szCs w:val="24"/>
          <w:lang w:val="pt-BR"/>
        </w:rPr>
        <w:fldChar w:fldCharType="end"/>
      </w:r>
      <w:r>
        <w:rPr>
          <w:szCs w:val="24"/>
          <w:lang w:val="pt-BR"/>
        </w:rPr>
        <w:t>. Entre esses objetivos, alguns são citados nos relatórios de sustentabilidade</w:t>
      </w:r>
      <w:r w:rsidR="009970DF">
        <w:rPr>
          <w:szCs w:val="24"/>
          <w:lang w:val="pt-BR"/>
        </w:rPr>
        <w:t>,</w:t>
      </w:r>
      <w:r>
        <w:rPr>
          <w:szCs w:val="24"/>
          <w:lang w:val="pt-BR"/>
        </w:rPr>
        <w:t xml:space="preserve"> </w:t>
      </w:r>
      <w:r w:rsidR="009970DF">
        <w:rPr>
          <w:szCs w:val="24"/>
          <w:lang w:val="pt-BR"/>
        </w:rPr>
        <w:t>como, p</w:t>
      </w:r>
      <w:r>
        <w:rPr>
          <w:szCs w:val="24"/>
          <w:lang w:val="pt-BR"/>
        </w:rPr>
        <w:t>or exemplo, na página 15 (quinze) do relatório de sustentabilidade de 2019, os investimentos base para es</w:t>
      </w:r>
      <w:r w:rsidR="004E4448">
        <w:rPr>
          <w:szCs w:val="24"/>
          <w:lang w:val="pt-BR"/>
        </w:rPr>
        <w:t>s</w:t>
      </w:r>
      <w:r>
        <w:rPr>
          <w:szCs w:val="24"/>
          <w:lang w:val="pt-BR"/>
        </w:rPr>
        <w:t xml:space="preserve">e </w:t>
      </w:r>
      <w:r w:rsidR="004E4448">
        <w:rPr>
          <w:szCs w:val="24"/>
          <w:lang w:val="pt-BR"/>
        </w:rPr>
        <w:t>estudo</w:t>
      </w:r>
      <w:r>
        <w:rPr>
          <w:szCs w:val="24"/>
          <w:lang w:val="pt-BR"/>
        </w:rPr>
        <w:t xml:space="preserve">, buscam atender ao </w:t>
      </w:r>
      <w:r w:rsidR="000C38A5">
        <w:rPr>
          <w:szCs w:val="24"/>
          <w:lang w:val="pt-BR"/>
        </w:rPr>
        <w:t>o</w:t>
      </w:r>
      <w:r>
        <w:rPr>
          <w:szCs w:val="24"/>
          <w:lang w:val="pt-BR"/>
        </w:rPr>
        <w:t xml:space="preserve">bjetivo </w:t>
      </w:r>
      <w:r w:rsidR="000C38A5">
        <w:rPr>
          <w:szCs w:val="24"/>
          <w:lang w:val="pt-BR"/>
        </w:rPr>
        <w:t>oito “Trabalho decente e crescimento econômico”; objetivo 3 (três) “saúde e bem-estar”; objetivo 4 (quatro) “educação de qualidade”, entre outros</w:t>
      </w:r>
      <w:r w:rsidR="004E4448">
        <w:rPr>
          <w:szCs w:val="24"/>
          <w:lang w:val="pt-BR"/>
        </w:rPr>
        <w:t>, parte dos ODS</w:t>
      </w:r>
      <w:r w:rsidR="000C38A5">
        <w:rPr>
          <w:szCs w:val="24"/>
          <w:lang w:val="pt-BR"/>
        </w:rPr>
        <w:t>.</w:t>
      </w:r>
    </w:p>
    <w:p w14:paraId="61E0CC8D" w14:textId="77777777" w:rsidR="005B099A" w:rsidRDefault="005B099A" w:rsidP="00E97ED4">
      <w:pPr>
        <w:spacing w:after="120"/>
        <w:rPr>
          <w:b/>
          <w:szCs w:val="24"/>
          <w:lang w:val="pt-BR"/>
        </w:rPr>
      </w:pPr>
    </w:p>
    <w:p w14:paraId="0EC6EB68" w14:textId="77777777" w:rsidR="005B4DD9" w:rsidRDefault="005B4DD9" w:rsidP="00E97ED4">
      <w:pPr>
        <w:spacing w:after="120"/>
        <w:rPr>
          <w:b/>
          <w:szCs w:val="24"/>
          <w:lang w:val="pt-BR"/>
        </w:rPr>
      </w:pPr>
    </w:p>
    <w:p w14:paraId="72B853F2" w14:textId="77777777" w:rsidR="005B4DD9" w:rsidRDefault="005B4DD9" w:rsidP="00E97ED4">
      <w:pPr>
        <w:spacing w:after="120"/>
        <w:rPr>
          <w:b/>
          <w:szCs w:val="24"/>
          <w:lang w:val="pt-BR"/>
        </w:rPr>
      </w:pPr>
    </w:p>
    <w:p w14:paraId="60AAA27B" w14:textId="77777777" w:rsidR="005B4DD9" w:rsidRDefault="005B4DD9" w:rsidP="00E97ED4">
      <w:pPr>
        <w:spacing w:after="120"/>
        <w:rPr>
          <w:b/>
          <w:szCs w:val="24"/>
          <w:lang w:val="pt-BR"/>
        </w:rPr>
      </w:pPr>
    </w:p>
    <w:p w14:paraId="4149BCE6" w14:textId="77777777" w:rsidR="00BE083D" w:rsidRPr="0049479C" w:rsidRDefault="004E3765" w:rsidP="00E97ED4">
      <w:pPr>
        <w:spacing w:after="120"/>
        <w:rPr>
          <w:b/>
          <w:szCs w:val="24"/>
          <w:lang w:val="pt-BR"/>
        </w:rPr>
      </w:pPr>
      <w:r w:rsidRPr="0049479C">
        <w:rPr>
          <w:b/>
          <w:szCs w:val="24"/>
          <w:lang w:val="pt-BR"/>
        </w:rPr>
        <w:lastRenderedPageBreak/>
        <w:t>Referências</w:t>
      </w:r>
    </w:p>
    <w:p w14:paraId="44E0A3C3" w14:textId="77777777" w:rsidR="00BE083D" w:rsidRPr="0049479C" w:rsidRDefault="00BE083D" w:rsidP="00E97ED4">
      <w:pPr>
        <w:spacing w:after="120"/>
        <w:rPr>
          <w:szCs w:val="24"/>
          <w:lang w:val="pt-BR"/>
        </w:rPr>
      </w:pPr>
    </w:p>
    <w:p w14:paraId="6EAB3231" w14:textId="77777777" w:rsidR="00071F62" w:rsidRPr="00071F62" w:rsidRDefault="00B85ECC" w:rsidP="00071F62">
      <w:pPr>
        <w:pStyle w:val="Bibliografia"/>
      </w:pPr>
      <w:r>
        <w:rPr>
          <w:szCs w:val="24"/>
          <w:lang w:val="pt-BR"/>
        </w:rPr>
        <w:fldChar w:fldCharType="begin"/>
      </w:r>
      <w:r w:rsidR="00C97356" w:rsidRPr="00C97356">
        <w:rPr>
          <w:szCs w:val="24"/>
          <w:lang w:val="pt-BR"/>
        </w:rPr>
        <w:instrText xml:space="preserve"> ADDIN ZOTERO_BIBL {"uncited":[],"omitted":[],"custom":[]} CSL_BIBLIOGRAPHY </w:instrText>
      </w:r>
      <w:r>
        <w:rPr>
          <w:szCs w:val="24"/>
          <w:lang w:val="pt-BR"/>
        </w:rPr>
        <w:fldChar w:fldCharType="separate"/>
      </w:r>
      <w:r w:rsidR="00071F62" w:rsidRPr="00071F62">
        <w:rPr>
          <w:lang w:val="pt-BR"/>
        </w:rPr>
        <w:t xml:space="preserve">AGUIAR, L.; M. S. RIBEIRO, L. H. A INFLUÊNCIA DE INVESTIMENTOS NA SAÚDE, EDUCAÇÃO E SEGURANÇA E MEDICINA DO TRABALHO NA PREVENÇÃO DE ACIDENTES: UM ESTUDO BASEADO EM RELATÓRIOS DA PETROBRAS. </w:t>
      </w:r>
      <w:r w:rsidR="00071F62" w:rsidRPr="00071F62">
        <w:t xml:space="preserve">[s.l: s.n.]. </w:t>
      </w:r>
    </w:p>
    <w:p w14:paraId="38B16A54" w14:textId="77777777" w:rsidR="00071F62" w:rsidRPr="00071F62" w:rsidRDefault="00071F62" w:rsidP="00071F62">
      <w:pPr>
        <w:pStyle w:val="Bibliografia"/>
      </w:pPr>
      <w:r w:rsidRPr="00071F62">
        <w:t xml:space="preserve">AJMAL, M. et al. Safety-Management Practices and the Occurrence of Occupational Accidents: Assessing the Mediating Role of Safety Compliance. Sustainability, v. 14, n. 8, p. 4569, jan. 2022. </w:t>
      </w:r>
    </w:p>
    <w:p w14:paraId="0948DAFB" w14:textId="77777777" w:rsidR="00071F62" w:rsidRPr="00071F62" w:rsidRDefault="00071F62" w:rsidP="00071F62">
      <w:pPr>
        <w:pStyle w:val="Bibliografia"/>
      </w:pPr>
      <w:r w:rsidRPr="00071F62">
        <w:t xml:space="preserve">ALIMIN, A. R.; SYAHIDAH, S. N.; SUSHANDOYO, D. The Influence of Safety Slogan and Safety Program to Safety Culture: Case study at Drilling and Well Intervention Division one of Indonesia’s Oil and Gas Company. European Journal of Business and Management Research, v. 8, n. 1, p. 64–70, 10 jan. 2023. </w:t>
      </w:r>
    </w:p>
    <w:p w14:paraId="4B058714" w14:textId="77777777" w:rsidR="00071F62" w:rsidRPr="00071F62" w:rsidRDefault="00071F62" w:rsidP="00071F62">
      <w:pPr>
        <w:pStyle w:val="Bibliografia"/>
        <w:rPr>
          <w:lang w:val="pt-BR"/>
        </w:rPr>
      </w:pPr>
      <w:r w:rsidRPr="00071F62">
        <w:rPr>
          <w:lang w:val="pt-BR"/>
        </w:rPr>
        <w:t xml:space="preserve">BRASIL. Ministério do Trabalho e e Emprego (MTE). Relação Anual de Informações Sociais (RAIS). 2022. </w:t>
      </w:r>
    </w:p>
    <w:p w14:paraId="2E1BF770" w14:textId="77777777" w:rsidR="00071F62" w:rsidRPr="00071F62" w:rsidRDefault="00071F62" w:rsidP="00071F62">
      <w:pPr>
        <w:pStyle w:val="Bibliografia"/>
        <w:rPr>
          <w:lang w:val="pt-BR"/>
        </w:rPr>
      </w:pPr>
      <w:r w:rsidRPr="00071F62">
        <w:rPr>
          <w:lang w:val="pt-BR"/>
        </w:rPr>
        <w:t xml:space="preserve">FURTADO, F.; PAIM, E. Energia renovável e extrativismo verde: transição ou reconfiguração? Revista Brasileira de Estudos Urbanos e Regionais, v. 26, p. e202416pt, 7 out. 2024. </w:t>
      </w:r>
    </w:p>
    <w:p w14:paraId="01F0501E" w14:textId="77777777" w:rsidR="00071F62" w:rsidRPr="00071F62" w:rsidRDefault="00071F62" w:rsidP="00071F62">
      <w:pPr>
        <w:pStyle w:val="Bibliografia"/>
        <w:rPr>
          <w:lang w:val="pt-BR"/>
        </w:rPr>
      </w:pPr>
      <w:r w:rsidRPr="00071F62">
        <w:t xml:space="preserve">JAMES, F.; ROOS, M. MINUIT: Function Minimization and Error Analysis. </w:t>
      </w:r>
      <w:r w:rsidRPr="00071F62">
        <w:rPr>
          <w:lang w:val="pt-BR"/>
        </w:rPr>
        <w:t xml:space="preserve">1998. </w:t>
      </w:r>
    </w:p>
    <w:p w14:paraId="7B3E4CDC" w14:textId="77777777" w:rsidR="00071F62" w:rsidRPr="00071F62" w:rsidRDefault="00071F62" w:rsidP="00071F62">
      <w:pPr>
        <w:pStyle w:val="Bibliografia"/>
        <w:rPr>
          <w:lang w:val="pt-BR"/>
        </w:rPr>
      </w:pPr>
      <w:r w:rsidRPr="00071F62">
        <w:rPr>
          <w:lang w:val="pt-BR"/>
        </w:rPr>
        <w:t xml:space="preserve">MOURA PEREIRA, D. A. et al. Análise do perfil dos acidentes do trabalho no Brasil entre 2014 e 2021. [s.l: s.n.]. </w:t>
      </w:r>
    </w:p>
    <w:p w14:paraId="20179C72" w14:textId="77777777" w:rsidR="00071F62" w:rsidRPr="00071F62" w:rsidRDefault="00071F62" w:rsidP="00071F62">
      <w:pPr>
        <w:pStyle w:val="Bibliografia"/>
        <w:rPr>
          <w:lang w:val="pt-BR"/>
        </w:rPr>
      </w:pPr>
      <w:r w:rsidRPr="00071F62">
        <w:rPr>
          <w:lang w:val="pt-BR"/>
        </w:rPr>
        <w:t xml:space="preserve">PETROBRÁS. Relatório de Sustentabilidade da Petrobrás de 2002 (Dados de 2002 e 2001). , 2002. </w:t>
      </w:r>
    </w:p>
    <w:p w14:paraId="44D98A05" w14:textId="77777777" w:rsidR="00071F62" w:rsidRPr="00071F62" w:rsidRDefault="00071F62" w:rsidP="00071F62">
      <w:pPr>
        <w:pStyle w:val="Bibliografia"/>
        <w:rPr>
          <w:lang w:val="pt-BR"/>
        </w:rPr>
      </w:pPr>
      <w:r w:rsidRPr="00071F62">
        <w:rPr>
          <w:lang w:val="pt-BR"/>
        </w:rPr>
        <w:t xml:space="preserve">PETROBRÁS. Relatório de Sustentabilidade da Petrobrás de 2004 (Dados de 2003 e 2004). , 2004. </w:t>
      </w:r>
    </w:p>
    <w:p w14:paraId="6890BC07" w14:textId="77777777" w:rsidR="00071F62" w:rsidRPr="00071F62" w:rsidRDefault="00071F62" w:rsidP="00071F62">
      <w:pPr>
        <w:pStyle w:val="Bibliografia"/>
        <w:rPr>
          <w:lang w:val="pt-BR"/>
        </w:rPr>
      </w:pPr>
      <w:r w:rsidRPr="00071F62">
        <w:rPr>
          <w:lang w:val="pt-BR"/>
        </w:rPr>
        <w:t>PETROBRÁS. Relatórios Anuais | Relatórios Anuais de Sustentabilidade de 2007 a 2023 da Petrobrás. Petrobras, 2023a. Disponível em: &lt;https://www.investidorpetrobras.com.br/apresentacoes-relatorios-e-eventos/relatorios-anuais/&gt;. Acesso em: 5 fev. 2025</w:t>
      </w:r>
    </w:p>
    <w:p w14:paraId="138A4D0F" w14:textId="77777777" w:rsidR="00071F62" w:rsidRPr="00071F62" w:rsidRDefault="00071F62" w:rsidP="00071F62">
      <w:pPr>
        <w:pStyle w:val="Bibliografia"/>
        <w:rPr>
          <w:lang w:val="pt-BR"/>
        </w:rPr>
      </w:pPr>
      <w:r w:rsidRPr="00071F62">
        <w:rPr>
          <w:lang w:val="pt-BR"/>
        </w:rPr>
        <w:t>PETROBRÁS. Central de Resultados | Relatórios de Demostrações Financeiras 4T de 2023 até 2017. Petrobras, 2023b. Disponível em: &lt;https://www.investidorpetrobras.com.br/resultados-e-comunicados/central-de-resultados/&gt;. Acesso em: 17 fev. 2025</w:t>
      </w:r>
    </w:p>
    <w:p w14:paraId="3BBAFD3C" w14:textId="77777777" w:rsidR="00071F62" w:rsidRPr="00071F62" w:rsidRDefault="00071F62" w:rsidP="00071F62">
      <w:pPr>
        <w:pStyle w:val="Bibliografia"/>
      </w:pPr>
      <w:r w:rsidRPr="00071F62">
        <w:rPr>
          <w:lang w:val="pt-BR"/>
        </w:rPr>
        <w:t xml:space="preserve">PETROBRÁS. Central de Downloads | Relatórios Anuais de 2005 a 2023 da Petrobrás. Petrobras, 2023c. Disponível em: &lt;https://www.investidorpetrobras.com.br/servicos-ao-investidor/central-de-downloads/&gt;. </w:t>
      </w:r>
      <w:r w:rsidRPr="00071F62">
        <w:t>Acesso em: 16 fev. 2025</w:t>
      </w:r>
    </w:p>
    <w:p w14:paraId="0F91B6E6" w14:textId="77777777" w:rsidR="00071F62" w:rsidRPr="00071F62" w:rsidRDefault="00071F62" w:rsidP="00071F62">
      <w:pPr>
        <w:pStyle w:val="Bibliografia"/>
        <w:rPr>
          <w:lang w:val="pt-BR"/>
        </w:rPr>
      </w:pPr>
      <w:r w:rsidRPr="00071F62">
        <w:t xml:space="preserve">PRESS, W. H. (ED.). Numerical recipes in Fortran 77: the art of scientific computing. Modeling of Data - Chap 15. 2. ed., repr.corr. to software version 2.10 ed. </w:t>
      </w:r>
      <w:r w:rsidRPr="00071F62">
        <w:rPr>
          <w:lang w:val="pt-BR"/>
        </w:rPr>
        <w:t xml:space="preserve">Cambridge: Cambridge University Press, 2007. </w:t>
      </w:r>
    </w:p>
    <w:p w14:paraId="64224FB2" w14:textId="77777777" w:rsidR="00071F62" w:rsidRPr="00071F62" w:rsidRDefault="00071F62" w:rsidP="00071F62">
      <w:pPr>
        <w:pStyle w:val="Bibliografia"/>
        <w:rPr>
          <w:lang w:val="pt-BR"/>
        </w:rPr>
      </w:pPr>
      <w:r w:rsidRPr="00071F62">
        <w:rPr>
          <w:lang w:val="pt-BR"/>
        </w:rPr>
        <w:t xml:space="preserve">SOUTINHO, L. C.; ROSÁRIO, F. J. P.; LIMA, A. A. DE. Mapeamento de rotas tecnológicas do setor sucro energético brasileiro. Mudança tecnológica na produção de etanol derivado da </w:t>
      </w:r>
      <w:r w:rsidRPr="00071F62">
        <w:rPr>
          <w:lang w:val="pt-BR"/>
        </w:rPr>
        <w:lastRenderedPageBreak/>
        <w:t xml:space="preserve">cana de açúcar. Revista Economia Política do Desenvolvimento, v. 6, n. 18, p. 80–89, 4 set. 2019. </w:t>
      </w:r>
    </w:p>
    <w:p w14:paraId="13585E12" w14:textId="77777777" w:rsidR="00071F62" w:rsidRPr="00071F62" w:rsidRDefault="00071F62" w:rsidP="00071F62">
      <w:pPr>
        <w:pStyle w:val="Bibliografia"/>
        <w:rPr>
          <w:lang w:val="pt-BR"/>
        </w:rPr>
      </w:pPr>
      <w:r w:rsidRPr="00071F62">
        <w:rPr>
          <w:lang w:val="pt-BR"/>
        </w:rPr>
        <w:t xml:space="preserve">ZAHARA, H. S.; MUSHALIA, S.; IRIDIASTADI, I. H. Industrial Hygiene Programs Design in the Oil &amp; Gas Company. Procedia - Social and Behavioral Sciences, v. 65, p. 468–472, 3 dez. 2012. </w:t>
      </w:r>
    </w:p>
    <w:p w14:paraId="401D9C6D" w14:textId="77777777" w:rsidR="00071F62" w:rsidRPr="00071F62" w:rsidRDefault="00071F62" w:rsidP="00071F62">
      <w:pPr>
        <w:pStyle w:val="Bibliografia"/>
      </w:pPr>
      <w:r w:rsidRPr="00071F62">
        <w:rPr>
          <w:lang w:val="pt-BR"/>
        </w:rPr>
        <w:t xml:space="preserve">ZANDOMENEGO, R.; SCHMIDT, N. L.; D’AQUINO, C. DE A. ESTIMATIVA DO POTENCIAL PARA GERAÇÃO DE ENERGIA ELÉTRICA EM UMA PLATAFORMA DE PESCA NO SUL DE SANTA CATARINA. </w:t>
      </w:r>
      <w:r w:rsidRPr="00071F62">
        <w:t xml:space="preserve">2016. </w:t>
      </w:r>
    </w:p>
    <w:p w14:paraId="4595B343" w14:textId="15B8B416" w:rsidR="00BE083D" w:rsidRPr="0049479C" w:rsidRDefault="00B85ECC" w:rsidP="00B85ECC">
      <w:pPr>
        <w:spacing w:after="120"/>
        <w:rPr>
          <w:color w:val="A6A6A6"/>
          <w:szCs w:val="24"/>
          <w:lang w:val="pt-BR"/>
        </w:rPr>
      </w:pPr>
      <w:r>
        <w:rPr>
          <w:szCs w:val="24"/>
          <w:lang w:val="pt-BR"/>
        </w:rPr>
        <w:fldChar w:fldCharType="end"/>
      </w:r>
    </w:p>
    <w:sectPr w:rsidR="00BE083D" w:rsidRPr="0049479C" w:rsidSect="00426C18">
      <w:headerReference w:type="default" r:id="rId13"/>
      <w:footerReference w:type="even" r:id="rId14"/>
      <w:footerReference w:type="default" r:id="rId15"/>
      <w:footerReference w:type="first" r:id="rId16"/>
      <w:endnotePr>
        <w:numFmt w:val="decimal"/>
      </w:endnotePr>
      <w:pgSz w:w="11907" w:h="16840" w:code="9"/>
      <w:pgMar w:top="1701" w:right="1134" w:bottom="1134" w:left="1701" w:header="57" w:footer="22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C947" w14:textId="77777777" w:rsidR="002B630B" w:rsidRDefault="002B630B">
      <w:r>
        <w:separator/>
      </w:r>
    </w:p>
  </w:endnote>
  <w:endnote w:type="continuationSeparator" w:id="0">
    <w:p w14:paraId="3E1453BF" w14:textId="77777777" w:rsidR="002B630B" w:rsidRDefault="002B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C62A" w14:textId="3131A009" w:rsidR="000535E6" w:rsidRPr="008F75CD" w:rsidRDefault="000535E6" w:rsidP="00094DEA">
    <w:pPr>
      <w:widowControl w:val="0"/>
      <w:rPr>
        <w:sz w:val="22"/>
        <w:szCs w:val="22"/>
        <w:lang w:val="pt-BR"/>
      </w:rPr>
    </w:pPr>
  </w:p>
  <w:p w14:paraId="203D031D" w14:textId="797908FF" w:rsidR="0073688A" w:rsidRPr="00A94F5C" w:rsidRDefault="00A94F5C" w:rsidP="00C60EB5">
    <w:pPr>
      <w:widowControl w:val="0"/>
      <w:autoSpaceDE w:val="0"/>
      <w:autoSpaceDN w:val="0"/>
      <w:adjustRightInd w:val="0"/>
      <w:jc w:val="center"/>
      <w:rPr>
        <w:sz w:val="17"/>
        <w:szCs w:val="17"/>
        <w:lang w:val="pt-BR"/>
      </w:rPr>
    </w:pPr>
    <w:r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0073688A"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w:t>
    </w:r>
    <w:r w:rsidR="00D324AD">
      <w:rPr>
        <w:rFonts w:ascii="Arial" w:hAnsi="Arial" w:cs="Arial"/>
        <w:bCs/>
        <w:color w:val="7F7F7F"/>
        <w:sz w:val="17"/>
        <w:szCs w:val="17"/>
        <w:lang w:val="pt-BR" w:eastAsia="en-US" w:bidi="en-US"/>
      </w:rPr>
      <w:t xml:space="preserve">30, 31 </w:t>
    </w:r>
    <w:r w:rsidR="0073688A" w:rsidRPr="00A94F5C">
      <w:rPr>
        <w:rFonts w:ascii="Arial" w:hAnsi="Arial" w:cs="Arial"/>
        <w:bCs/>
        <w:color w:val="7F7F7F"/>
        <w:sz w:val="17"/>
        <w:szCs w:val="17"/>
        <w:lang w:val="pt-BR" w:eastAsia="en-US" w:bidi="en-US"/>
      </w:rPr>
      <w:t xml:space="preserve">de </w:t>
    </w:r>
    <w:r w:rsidR="00D324AD">
      <w:rPr>
        <w:rFonts w:ascii="Arial" w:hAnsi="Arial" w:cs="Arial"/>
        <w:bCs/>
        <w:color w:val="7F7F7F"/>
        <w:sz w:val="17"/>
        <w:szCs w:val="17"/>
        <w:lang w:val="pt-BR" w:eastAsia="en-US" w:bidi="en-US"/>
      </w:rPr>
      <w:t>Jul</w:t>
    </w:r>
    <w:r w:rsidR="000F5CC4">
      <w:rPr>
        <w:rFonts w:ascii="Arial" w:hAnsi="Arial" w:cs="Arial"/>
        <w:bCs/>
        <w:color w:val="7F7F7F"/>
        <w:sz w:val="17"/>
        <w:szCs w:val="17"/>
        <w:lang w:val="pt-BR" w:eastAsia="en-US" w:bidi="en-US"/>
      </w:rPr>
      <w:t>ho</w:t>
    </w:r>
    <w:r w:rsidR="00D324AD">
      <w:rPr>
        <w:rFonts w:ascii="Arial" w:hAnsi="Arial" w:cs="Arial"/>
        <w:bCs/>
        <w:color w:val="7F7F7F"/>
        <w:sz w:val="17"/>
        <w:szCs w:val="17"/>
        <w:lang w:val="pt-BR" w:eastAsia="en-US" w:bidi="en-US"/>
      </w:rPr>
      <w:t xml:space="preserve"> e 1 de Agosto</w:t>
    </w:r>
    <w:r w:rsidR="0073688A" w:rsidRPr="00A94F5C">
      <w:rPr>
        <w:rFonts w:ascii="Arial" w:hAnsi="Arial" w:cs="Arial"/>
        <w:bCs/>
        <w:color w:val="7F7F7F"/>
        <w:sz w:val="17"/>
        <w:szCs w:val="17"/>
        <w:lang w:val="pt-BR" w:eastAsia="en-US" w:bidi="en-US"/>
      </w:rPr>
      <w:t xml:space="preserve"> de 202</w:t>
    </w:r>
    <w:r w:rsidR="00D324AD">
      <w:rPr>
        <w:rFonts w:ascii="Arial" w:hAnsi="Arial" w:cs="Arial"/>
        <w:bCs/>
        <w:color w:val="7F7F7F"/>
        <w:sz w:val="17"/>
        <w:szCs w:val="17"/>
        <w:lang w:val="pt-BR" w:eastAsia="en-US" w:bidi="en-US"/>
      </w:rPr>
      <w:t>5</w:t>
    </w:r>
    <w:r w:rsidR="0073688A"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0BFB4" w14:textId="77777777" w:rsidR="002B630B" w:rsidRDefault="002B630B">
      <w:bookmarkStart w:id="0" w:name="_Hlk524516655"/>
      <w:bookmarkEnd w:id="0"/>
      <w:r>
        <w:separator/>
      </w:r>
    </w:p>
  </w:footnote>
  <w:footnote w:type="continuationSeparator" w:id="0">
    <w:p w14:paraId="53802846" w14:textId="77777777" w:rsidR="002B630B" w:rsidRDefault="002B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E6D1" w14:textId="426F687F" w:rsidR="0073688A" w:rsidRDefault="000535E6" w:rsidP="006B150E">
    <w:r>
      <w:rPr>
        <w:noProof/>
        <w:lang w:val="pt-BR"/>
      </w:rPr>
      <w:drawing>
        <wp:anchor distT="0" distB="0" distL="114300" distR="114300" simplePos="0" relativeHeight="251658240" behindDoc="0" locked="0" layoutInCell="1" allowOverlap="1" wp14:anchorId="0072EFE8" wp14:editId="230CABFA">
          <wp:simplePos x="0" y="0"/>
          <wp:positionH relativeFrom="page">
            <wp:align>left</wp:align>
          </wp:positionH>
          <wp:positionV relativeFrom="paragraph">
            <wp:posOffset>-36195</wp:posOffset>
          </wp:positionV>
          <wp:extent cx="7543800" cy="758190"/>
          <wp:effectExtent l="0" t="0" r="0" b="3810"/>
          <wp:wrapSquare wrapText="bothSides"/>
          <wp:docPr id="3" name="Imagem 3" descr="C:\Users\maria\Downloads\Cópia de ensus xiii - encontro de sustentabilidade em projeto (15.059 x 3 cm) (15.059 x 3 cm) (15 x 2 cm) (20 x 1.5 cm) (15 x 1.5 c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Downloads\Cópia de ensus xiii - encontro de sustentabilidade em projeto (15.059 x 3 cm) (15.059 x 3 cm) (15 x 2 cm) (20 x 1.5 cm) (15 x 1.5 cm)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758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47FB"/>
    <w:multiLevelType w:val="hybridMultilevel"/>
    <w:tmpl w:val="12942D8C"/>
    <w:lvl w:ilvl="0" w:tplc="CAEC6DCA">
      <w:start w:val="1"/>
      <w:numFmt w:val="decimal"/>
      <w:pStyle w:val="Subttulo"/>
      <w:lvlText w:val="4.%1."/>
      <w:lvlJc w:val="left"/>
      <w:pPr>
        <w:ind w:left="720" w:hanging="360"/>
      </w:pPr>
      <w:rPr>
        <w:rFonts w:ascii="Times New Roman"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622E1A"/>
    <w:multiLevelType w:val="hybridMultilevel"/>
    <w:tmpl w:val="9A2276C0"/>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722986">
    <w:abstractNumId w:val="5"/>
  </w:num>
  <w:num w:numId="2" w16cid:durableId="915280789">
    <w:abstractNumId w:val="7"/>
  </w:num>
  <w:num w:numId="3" w16cid:durableId="77798337">
    <w:abstractNumId w:val="10"/>
  </w:num>
  <w:num w:numId="4" w16cid:durableId="1681082302">
    <w:abstractNumId w:val="3"/>
  </w:num>
  <w:num w:numId="5" w16cid:durableId="744256120">
    <w:abstractNumId w:val="4"/>
  </w:num>
  <w:num w:numId="6" w16cid:durableId="1470246894">
    <w:abstractNumId w:val="6"/>
  </w:num>
  <w:num w:numId="7" w16cid:durableId="485897984">
    <w:abstractNumId w:val="9"/>
  </w:num>
  <w:num w:numId="8" w16cid:durableId="2046172652">
    <w:abstractNumId w:val="12"/>
  </w:num>
  <w:num w:numId="9" w16cid:durableId="300501060">
    <w:abstractNumId w:val="1"/>
  </w:num>
  <w:num w:numId="10" w16cid:durableId="724064510">
    <w:abstractNumId w:val="0"/>
  </w:num>
  <w:num w:numId="11" w16cid:durableId="1041132150">
    <w:abstractNumId w:val="8"/>
  </w:num>
  <w:num w:numId="12" w16cid:durableId="745342937">
    <w:abstractNumId w:val="11"/>
  </w:num>
  <w:num w:numId="13" w16cid:durableId="213854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798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1BEA"/>
    <w:rsid w:val="000045FB"/>
    <w:rsid w:val="000058E4"/>
    <w:rsid w:val="00005E05"/>
    <w:rsid w:val="00006062"/>
    <w:rsid w:val="00022C86"/>
    <w:rsid w:val="00026F91"/>
    <w:rsid w:val="000275EB"/>
    <w:rsid w:val="00041AB9"/>
    <w:rsid w:val="000465E8"/>
    <w:rsid w:val="00046FB9"/>
    <w:rsid w:val="000535E6"/>
    <w:rsid w:val="00054581"/>
    <w:rsid w:val="000558D2"/>
    <w:rsid w:val="00057686"/>
    <w:rsid w:val="0007099C"/>
    <w:rsid w:val="000711EF"/>
    <w:rsid w:val="00071B9D"/>
    <w:rsid w:val="00071F62"/>
    <w:rsid w:val="00084121"/>
    <w:rsid w:val="00090884"/>
    <w:rsid w:val="00094DEA"/>
    <w:rsid w:val="000A01A4"/>
    <w:rsid w:val="000A0634"/>
    <w:rsid w:val="000A484B"/>
    <w:rsid w:val="000A6AA0"/>
    <w:rsid w:val="000B53D4"/>
    <w:rsid w:val="000C38A5"/>
    <w:rsid w:val="000E6E6F"/>
    <w:rsid w:val="000F4AF6"/>
    <w:rsid w:val="000F5978"/>
    <w:rsid w:val="000F5CC4"/>
    <w:rsid w:val="001014D2"/>
    <w:rsid w:val="001027A9"/>
    <w:rsid w:val="0010360C"/>
    <w:rsid w:val="00113F1E"/>
    <w:rsid w:val="00123B81"/>
    <w:rsid w:val="00126A84"/>
    <w:rsid w:val="001319A4"/>
    <w:rsid w:val="00133340"/>
    <w:rsid w:val="00136EC9"/>
    <w:rsid w:val="00137DAE"/>
    <w:rsid w:val="00141364"/>
    <w:rsid w:val="001464DE"/>
    <w:rsid w:val="00150A7B"/>
    <w:rsid w:val="0015121C"/>
    <w:rsid w:val="00152FAD"/>
    <w:rsid w:val="00154F6A"/>
    <w:rsid w:val="00156B94"/>
    <w:rsid w:val="00157CE6"/>
    <w:rsid w:val="0016002D"/>
    <w:rsid w:val="001632CD"/>
    <w:rsid w:val="0016520C"/>
    <w:rsid w:val="00166961"/>
    <w:rsid w:val="00167D4E"/>
    <w:rsid w:val="00170328"/>
    <w:rsid w:val="00173361"/>
    <w:rsid w:val="00177DD8"/>
    <w:rsid w:val="00186B8D"/>
    <w:rsid w:val="00187695"/>
    <w:rsid w:val="00187BD7"/>
    <w:rsid w:val="00187DD2"/>
    <w:rsid w:val="00195A9B"/>
    <w:rsid w:val="001A02AA"/>
    <w:rsid w:val="001A141A"/>
    <w:rsid w:val="001A1966"/>
    <w:rsid w:val="001A2CEC"/>
    <w:rsid w:val="001A619C"/>
    <w:rsid w:val="001A6C40"/>
    <w:rsid w:val="001B1B25"/>
    <w:rsid w:val="001C0339"/>
    <w:rsid w:val="001C0E3B"/>
    <w:rsid w:val="001C1ECB"/>
    <w:rsid w:val="001C4D03"/>
    <w:rsid w:val="001D2A3B"/>
    <w:rsid w:val="001E57A8"/>
    <w:rsid w:val="001E6015"/>
    <w:rsid w:val="001E74A9"/>
    <w:rsid w:val="001F15C2"/>
    <w:rsid w:val="001F2667"/>
    <w:rsid w:val="0020010A"/>
    <w:rsid w:val="00201C0B"/>
    <w:rsid w:val="0020739D"/>
    <w:rsid w:val="00207536"/>
    <w:rsid w:val="002135D5"/>
    <w:rsid w:val="002156E9"/>
    <w:rsid w:val="0023063E"/>
    <w:rsid w:val="002309C5"/>
    <w:rsid w:val="00230C48"/>
    <w:rsid w:val="00236A38"/>
    <w:rsid w:val="00237D09"/>
    <w:rsid w:val="00242B23"/>
    <w:rsid w:val="00251B8B"/>
    <w:rsid w:val="00255E26"/>
    <w:rsid w:val="00256808"/>
    <w:rsid w:val="00266710"/>
    <w:rsid w:val="00276E65"/>
    <w:rsid w:val="0029220F"/>
    <w:rsid w:val="002958D4"/>
    <w:rsid w:val="002A072F"/>
    <w:rsid w:val="002A3CB7"/>
    <w:rsid w:val="002A4463"/>
    <w:rsid w:val="002A5D19"/>
    <w:rsid w:val="002A64FD"/>
    <w:rsid w:val="002A70ED"/>
    <w:rsid w:val="002A7C0D"/>
    <w:rsid w:val="002B11FE"/>
    <w:rsid w:val="002B2FA4"/>
    <w:rsid w:val="002B630B"/>
    <w:rsid w:val="002B7395"/>
    <w:rsid w:val="002C006F"/>
    <w:rsid w:val="002D08AC"/>
    <w:rsid w:val="002D2F27"/>
    <w:rsid w:val="002D31EF"/>
    <w:rsid w:val="002E0F40"/>
    <w:rsid w:val="002E55CE"/>
    <w:rsid w:val="002E73C0"/>
    <w:rsid w:val="002E7AF9"/>
    <w:rsid w:val="002F0E3F"/>
    <w:rsid w:val="002F266B"/>
    <w:rsid w:val="002F457F"/>
    <w:rsid w:val="002F66A3"/>
    <w:rsid w:val="0030425A"/>
    <w:rsid w:val="00304794"/>
    <w:rsid w:val="00304993"/>
    <w:rsid w:val="00315DFA"/>
    <w:rsid w:val="00321E9E"/>
    <w:rsid w:val="00327EC4"/>
    <w:rsid w:val="00332400"/>
    <w:rsid w:val="0033475A"/>
    <w:rsid w:val="00334C11"/>
    <w:rsid w:val="00342D36"/>
    <w:rsid w:val="0035152E"/>
    <w:rsid w:val="00356CD1"/>
    <w:rsid w:val="00370791"/>
    <w:rsid w:val="0037173C"/>
    <w:rsid w:val="00375F35"/>
    <w:rsid w:val="00376B0A"/>
    <w:rsid w:val="0038005D"/>
    <w:rsid w:val="00384F40"/>
    <w:rsid w:val="003A5942"/>
    <w:rsid w:val="003B67DA"/>
    <w:rsid w:val="003C2C5E"/>
    <w:rsid w:val="003C5C89"/>
    <w:rsid w:val="003C7A9D"/>
    <w:rsid w:val="003D7902"/>
    <w:rsid w:val="003E42AE"/>
    <w:rsid w:val="003E6576"/>
    <w:rsid w:val="0040305B"/>
    <w:rsid w:val="004146A8"/>
    <w:rsid w:val="004245F7"/>
    <w:rsid w:val="00426C18"/>
    <w:rsid w:val="004379B1"/>
    <w:rsid w:val="00445EA9"/>
    <w:rsid w:val="00450040"/>
    <w:rsid w:val="00456617"/>
    <w:rsid w:val="00461BFF"/>
    <w:rsid w:val="00461CAB"/>
    <w:rsid w:val="004621EA"/>
    <w:rsid w:val="004651B5"/>
    <w:rsid w:val="0046585F"/>
    <w:rsid w:val="00470B99"/>
    <w:rsid w:val="00471DD9"/>
    <w:rsid w:val="004737C6"/>
    <w:rsid w:val="004871A4"/>
    <w:rsid w:val="0048781A"/>
    <w:rsid w:val="00492B1F"/>
    <w:rsid w:val="0049479C"/>
    <w:rsid w:val="004A53F6"/>
    <w:rsid w:val="004A631B"/>
    <w:rsid w:val="004A6450"/>
    <w:rsid w:val="004A6B7A"/>
    <w:rsid w:val="004B3FDF"/>
    <w:rsid w:val="004B6535"/>
    <w:rsid w:val="004B7146"/>
    <w:rsid w:val="004D2749"/>
    <w:rsid w:val="004D4A67"/>
    <w:rsid w:val="004D7EBA"/>
    <w:rsid w:val="004D7FB8"/>
    <w:rsid w:val="004E1649"/>
    <w:rsid w:val="004E2C7A"/>
    <w:rsid w:val="004E3765"/>
    <w:rsid w:val="004E3CEF"/>
    <w:rsid w:val="004E4448"/>
    <w:rsid w:val="004E7D4E"/>
    <w:rsid w:val="004F0004"/>
    <w:rsid w:val="004F315F"/>
    <w:rsid w:val="004F74BE"/>
    <w:rsid w:val="00503B7C"/>
    <w:rsid w:val="005111D7"/>
    <w:rsid w:val="0051617E"/>
    <w:rsid w:val="005272C1"/>
    <w:rsid w:val="00532137"/>
    <w:rsid w:val="00533E0F"/>
    <w:rsid w:val="005360D9"/>
    <w:rsid w:val="00556097"/>
    <w:rsid w:val="0055714B"/>
    <w:rsid w:val="00562A47"/>
    <w:rsid w:val="00565B8E"/>
    <w:rsid w:val="00573743"/>
    <w:rsid w:val="00575335"/>
    <w:rsid w:val="00576E8A"/>
    <w:rsid w:val="00580435"/>
    <w:rsid w:val="0058453D"/>
    <w:rsid w:val="00591168"/>
    <w:rsid w:val="005B099A"/>
    <w:rsid w:val="005B0A40"/>
    <w:rsid w:val="005B40D4"/>
    <w:rsid w:val="005B4172"/>
    <w:rsid w:val="005B4DD9"/>
    <w:rsid w:val="005C1B34"/>
    <w:rsid w:val="005C2D7D"/>
    <w:rsid w:val="005D0B9A"/>
    <w:rsid w:val="005D4258"/>
    <w:rsid w:val="005D5236"/>
    <w:rsid w:val="005E33C9"/>
    <w:rsid w:val="005E449C"/>
    <w:rsid w:val="005E4971"/>
    <w:rsid w:val="00602C38"/>
    <w:rsid w:val="0061607E"/>
    <w:rsid w:val="00626982"/>
    <w:rsid w:val="00631F22"/>
    <w:rsid w:val="006321C7"/>
    <w:rsid w:val="00632F8F"/>
    <w:rsid w:val="006424B1"/>
    <w:rsid w:val="00644151"/>
    <w:rsid w:val="00655F57"/>
    <w:rsid w:val="00665288"/>
    <w:rsid w:val="006652EE"/>
    <w:rsid w:val="006672A1"/>
    <w:rsid w:val="006726F2"/>
    <w:rsid w:val="0067696E"/>
    <w:rsid w:val="006811E6"/>
    <w:rsid w:val="00684958"/>
    <w:rsid w:val="00696034"/>
    <w:rsid w:val="006964B9"/>
    <w:rsid w:val="006A141B"/>
    <w:rsid w:val="006A6985"/>
    <w:rsid w:val="006A6CEF"/>
    <w:rsid w:val="006B150E"/>
    <w:rsid w:val="006C7C96"/>
    <w:rsid w:val="006D00BB"/>
    <w:rsid w:val="006D1BF4"/>
    <w:rsid w:val="006D760B"/>
    <w:rsid w:val="006E39EE"/>
    <w:rsid w:val="006E5204"/>
    <w:rsid w:val="0071483E"/>
    <w:rsid w:val="00720876"/>
    <w:rsid w:val="0072400C"/>
    <w:rsid w:val="0072493F"/>
    <w:rsid w:val="00726E56"/>
    <w:rsid w:val="00733378"/>
    <w:rsid w:val="00734CF1"/>
    <w:rsid w:val="0073688A"/>
    <w:rsid w:val="00744CC9"/>
    <w:rsid w:val="00746E20"/>
    <w:rsid w:val="00750318"/>
    <w:rsid w:val="00751F70"/>
    <w:rsid w:val="00753B8D"/>
    <w:rsid w:val="00754757"/>
    <w:rsid w:val="00755FC1"/>
    <w:rsid w:val="0075773B"/>
    <w:rsid w:val="007628A1"/>
    <w:rsid w:val="0077234F"/>
    <w:rsid w:val="00777D35"/>
    <w:rsid w:val="0078001B"/>
    <w:rsid w:val="007839A6"/>
    <w:rsid w:val="007A21A2"/>
    <w:rsid w:val="007A5842"/>
    <w:rsid w:val="007A5FA8"/>
    <w:rsid w:val="007B09B1"/>
    <w:rsid w:val="007B791F"/>
    <w:rsid w:val="007C087F"/>
    <w:rsid w:val="007C095C"/>
    <w:rsid w:val="007C32C5"/>
    <w:rsid w:val="007C45C8"/>
    <w:rsid w:val="007E0E40"/>
    <w:rsid w:val="007E381B"/>
    <w:rsid w:val="007F4A6D"/>
    <w:rsid w:val="007F6A0B"/>
    <w:rsid w:val="00805184"/>
    <w:rsid w:val="00812BDC"/>
    <w:rsid w:val="008250B3"/>
    <w:rsid w:val="00827839"/>
    <w:rsid w:val="00832FC6"/>
    <w:rsid w:val="008339F5"/>
    <w:rsid w:val="00834AB2"/>
    <w:rsid w:val="0083691D"/>
    <w:rsid w:val="0083711D"/>
    <w:rsid w:val="00854962"/>
    <w:rsid w:val="008641B2"/>
    <w:rsid w:val="008872A4"/>
    <w:rsid w:val="00887FC9"/>
    <w:rsid w:val="00892EA4"/>
    <w:rsid w:val="00893F5B"/>
    <w:rsid w:val="00897F56"/>
    <w:rsid w:val="008A2B13"/>
    <w:rsid w:val="008A736C"/>
    <w:rsid w:val="008A7A64"/>
    <w:rsid w:val="008B05D8"/>
    <w:rsid w:val="008B31BB"/>
    <w:rsid w:val="008C4BD2"/>
    <w:rsid w:val="008D4B8D"/>
    <w:rsid w:val="008F4267"/>
    <w:rsid w:val="008F4E9F"/>
    <w:rsid w:val="008F66D4"/>
    <w:rsid w:val="00913BE8"/>
    <w:rsid w:val="00923704"/>
    <w:rsid w:val="00924CD6"/>
    <w:rsid w:val="0093033A"/>
    <w:rsid w:val="00933433"/>
    <w:rsid w:val="00936492"/>
    <w:rsid w:val="00936AB7"/>
    <w:rsid w:val="00940622"/>
    <w:rsid w:val="009406E6"/>
    <w:rsid w:val="00940846"/>
    <w:rsid w:val="00944AB3"/>
    <w:rsid w:val="009470FB"/>
    <w:rsid w:val="0094739D"/>
    <w:rsid w:val="009673E6"/>
    <w:rsid w:val="00970859"/>
    <w:rsid w:val="00982670"/>
    <w:rsid w:val="00983012"/>
    <w:rsid w:val="0098325D"/>
    <w:rsid w:val="00985C2D"/>
    <w:rsid w:val="00993127"/>
    <w:rsid w:val="0099427D"/>
    <w:rsid w:val="00994C0F"/>
    <w:rsid w:val="009970DF"/>
    <w:rsid w:val="009A0A4F"/>
    <w:rsid w:val="009A3F66"/>
    <w:rsid w:val="009B1153"/>
    <w:rsid w:val="009B146D"/>
    <w:rsid w:val="009B2EF9"/>
    <w:rsid w:val="009B7D07"/>
    <w:rsid w:val="009D5657"/>
    <w:rsid w:val="009E0EB6"/>
    <w:rsid w:val="009E1C02"/>
    <w:rsid w:val="009E2014"/>
    <w:rsid w:val="009E216D"/>
    <w:rsid w:val="009E32B0"/>
    <w:rsid w:val="009E6C4A"/>
    <w:rsid w:val="009F1B7B"/>
    <w:rsid w:val="009F2905"/>
    <w:rsid w:val="00A00800"/>
    <w:rsid w:val="00A01B71"/>
    <w:rsid w:val="00A056D4"/>
    <w:rsid w:val="00A13CBD"/>
    <w:rsid w:val="00A16C65"/>
    <w:rsid w:val="00A20A2F"/>
    <w:rsid w:val="00A2134F"/>
    <w:rsid w:val="00A31429"/>
    <w:rsid w:val="00A35FE2"/>
    <w:rsid w:val="00A43034"/>
    <w:rsid w:val="00A47061"/>
    <w:rsid w:val="00A475A7"/>
    <w:rsid w:val="00A5108D"/>
    <w:rsid w:val="00A610B4"/>
    <w:rsid w:val="00A6184A"/>
    <w:rsid w:val="00A628E3"/>
    <w:rsid w:val="00A66BCE"/>
    <w:rsid w:val="00A6747E"/>
    <w:rsid w:val="00A676F4"/>
    <w:rsid w:val="00A70836"/>
    <w:rsid w:val="00A77C6A"/>
    <w:rsid w:val="00A77D24"/>
    <w:rsid w:val="00A81A17"/>
    <w:rsid w:val="00A838AC"/>
    <w:rsid w:val="00A85EEF"/>
    <w:rsid w:val="00A8675E"/>
    <w:rsid w:val="00A94282"/>
    <w:rsid w:val="00A9449D"/>
    <w:rsid w:val="00A94F5C"/>
    <w:rsid w:val="00A97D16"/>
    <w:rsid w:val="00AA2212"/>
    <w:rsid w:val="00AA2A73"/>
    <w:rsid w:val="00AA37F5"/>
    <w:rsid w:val="00AB4FB7"/>
    <w:rsid w:val="00AD0872"/>
    <w:rsid w:val="00AD61A3"/>
    <w:rsid w:val="00AE319C"/>
    <w:rsid w:val="00AE4CD3"/>
    <w:rsid w:val="00AF27AB"/>
    <w:rsid w:val="00B03026"/>
    <w:rsid w:val="00B03472"/>
    <w:rsid w:val="00B04638"/>
    <w:rsid w:val="00B05964"/>
    <w:rsid w:val="00B10BFE"/>
    <w:rsid w:val="00B17E91"/>
    <w:rsid w:val="00B27B0F"/>
    <w:rsid w:val="00B30563"/>
    <w:rsid w:val="00B36DB0"/>
    <w:rsid w:val="00B40F1C"/>
    <w:rsid w:val="00B418BD"/>
    <w:rsid w:val="00B45B26"/>
    <w:rsid w:val="00B47683"/>
    <w:rsid w:val="00B55936"/>
    <w:rsid w:val="00B6020C"/>
    <w:rsid w:val="00B63A35"/>
    <w:rsid w:val="00B724A3"/>
    <w:rsid w:val="00B745D0"/>
    <w:rsid w:val="00B75F95"/>
    <w:rsid w:val="00B763AC"/>
    <w:rsid w:val="00B81D99"/>
    <w:rsid w:val="00B83C22"/>
    <w:rsid w:val="00B85ECC"/>
    <w:rsid w:val="00B861AF"/>
    <w:rsid w:val="00B87AB8"/>
    <w:rsid w:val="00B9309D"/>
    <w:rsid w:val="00BA0EDD"/>
    <w:rsid w:val="00BA206D"/>
    <w:rsid w:val="00BB11DF"/>
    <w:rsid w:val="00BC267B"/>
    <w:rsid w:val="00BD4CFD"/>
    <w:rsid w:val="00BE083D"/>
    <w:rsid w:val="00BE67E7"/>
    <w:rsid w:val="00BF0F76"/>
    <w:rsid w:val="00C03892"/>
    <w:rsid w:val="00C05020"/>
    <w:rsid w:val="00C10C19"/>
    <w:rsid w:val="00C13F08"/>
    <w:rsid w:val="00C1545B"/>
    <w:rsid w:val="00C16760"/>
    <w:rsid w:val="00C17C16"/>
    <w:rsid w:val="00C210B0"/>
    <w:rsid w:val="00C22D26"/>
    <w:rsid w:val="00C30786"/>
    <w:rsid w:val="00C34F16"/>
    <w:rsid w:val="00C41F4B"/>
    <w:rsid w:val="00C60059"/>
    <w:rsid w:val="00C60EB5"/>
    <w:rsid w:val="00C62B59"/>
    <w:rsid w:val="00C63DEF"/>
    <w:rsid w:val="00C6750B"/>
    <w:rsid w:val="00C753EF"/>
    <w:rsid w:val="00C77308"/>
    <w:rsid w:val="00C81752"/>
    <w:rsid w:val="00C86D62"/>
    <w:rsid w:val="00C86F4E"/>
    <w:rsid w:val="00C90FC4"/>
    <w:rsid w:val="00C93DCE"/>
    <w:rsid w:val="00C97356"/>
    <w:rsid w:val="00CA2E59"/>
    <w:rsid w:val="00CC1264"/>
    <w:rsid w:val="00CD3CC5"/>
    <w:rsid w:val="00CD743B"/>
    <w:rsid w:val="00CE2DE4"/>
    <w:rsid w:val="00CE76F9"/>
    <w:rsid w:val="00CF0CDD"/>
    <w:rsid w:val="00CF25BE"/>
    <w:rsid w:val="00D075FE"/>
    <w:rsid w:val="00D10C99"/>
    <w:rsid w:val="00D12159"/>
    <w:rsid w:val="00D12A2C"/>
    <w:rsid w:val="00D17099"/>
    <w:rsid w:val="00D2598F"/>
    <w:rsid w:val="00D324AD"/>
    <w:rsid w:val="00D349A6"/>
    <w:rsid w:val="00D4087B"/>
    <w:rsid w:val="00D7655A"/>
    <w:rsid w:val="00D8045E"/>
    <w:rsid w:val="00D8734D"/>
    <w:rsid w:val="00D91C4E"/>
    <w:rsid w:val="00DA6F7D"/>
    <w:rsid w:val="00DB191F"/>
    <w:rsid w:val="00DC3C3C"/>
    <w:rsid w:val="00DC6627"/>
    <w:rsid w:val="00DD124B"/>
    <w:rsid w:val="00DE1749"/>
    <w:rsid w:val="00DE490F"/>
    <w:rsid w:val="00DF1010"/>
    <w:rsid w:val="00DF4A23"/>
    <w:rsid w:val="00DF74B6"/>
    <w:rsid w:val="00E0758B"/>
    <w:rsid w:val="00E34205"/>
    <w:rsid w:val="00E364CB"/>
    <w:rsid w:val="00E46824"/>
    <w:rsid w:val="00E61DE3"/>
    <w:rsid w:val="00E65D3B"/>
    <w:rsid w:val="00E71F60"/>
    <w:rsid w:val="00E76F53"/>
    <w:rsid w:val="00E8108A"/>
    <w:rsid w:val="00E81239"/>
    <w:rsid w:val="00E831EB"/>
    <w:rsid w:val="00E8341C"/>
    <w:rsid w:val="00E83C70"/>
    <w:rsid w:val="00E850FD"/>
    <w:rsid w:val="00E94C7B"/>
    <w:rsid w:val="00E97ED4"/>
    <w:rsid w:val="00EA0A82"/>
    <w:rsid w:val="00EA33C3"/>
    <w:rsid w:val="00EA6B4B"/>
    <w:rsid w:val="00EB4594"/>
    <w:rsid w:val="00EB51FD"/>
    <w:rsid w:val="00EB5867"/>
    <w:rsid w:val="00ED2BA5"/>
    <w:rsid w:val="00ED34E9"/>
    <w:rsid w:val="00EE28A9"/>
    <w:rsid w:val="00EE63D7"/>
    <w:rsid w:val="00EF1CF0"/>
    <w:rsid w:val="00F030FC"/>
    <w:rsid w:val="00F0550B"/>
    <w:rsid w:val="00F06819"/>
    <w:rsid w:val="00F21165"/>
    <w:rsid w:val="00F2271C"/>
    <w:rsid w:val="00F22F99"/>
    <w:rsid w:val="00F23BE3"/>
    <w:rsid w:val="00F23FF2"/>
    <w:rsid w:val="00F25AC0"/>
    <w:rsid w:val="00F300F7"/>
    <w:rsid w:val="00F415DF"/>
    <w:rsid w:val="00F41DEC"/>
    <w:rsid w:val="00F54046"/>
    <w:rsid w:val="00F64475"/>
    <w:rsid w:val="00F64828"/>
    <w:rsid w:val="00F719BB"/>
    <w:rsid w:val="00F75D73"/>
    <w:rsid w:val="00F84BD7"/>
    <w:rsid w:val="00F864DE"/>
    <w:rsid w:val="00F95670"/>
    <w:rsid w:val="00F95939"/>
    <w:rsid w:val="00F96A96"/>
    <w:rsid w:val="00FA701A"/>
    <w:rsid w:val="00FB7EA5"/>
    <w:rsid w:val="00FC5374"/>
    <w:rsid w:val="00FC5614"/>
    <w:rsid w:val="00FC79FF"/>
    <w:rsid w:val="00FD5E69"/>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styleId="MenoPendente">
    <w:name w:val="Unresolved Mention"/>
    <w:basedOn w:val="Fontepargpadro"/>
    <w:uiPriority w:val="99"/>
    <w:semiHidden/>
    <w:unhideWhenUsed/>
    <w:rsid w:val="0020739D"/>
    <w:rPr>
      <w:color w:val="605E5C"/>
      <w:shd w:val="clear" w:color="auto" w:fill="E1DFDD"/>
    </w:rPr>
  </w:style>
  <w:style w:type="paragraph" w:styleId="Bibliografia">
    <w:name w:val="Bibliography"/>
    <w:basedOn w:val="Normal"/>
    <w:next w:val="Normal"/>
    <w:uiPriority w:val="37"/>
    <w:unhideWhenUsed/>
    <w:rsid w:val="00B85ECC"/>
    <w:pPr>
      <w:spacing w:after="240"/>
    </w:pPr>
  </w:style>
  <w:style w:type="character" w:styleId="TextodoEspaoReservado">
    <w:name w:val="Placeholder Text"/>
    <w:basedOn w:val="Fontepargpadro"/>
    <w:uiPriority w:val="99"/>
    <w:semiHidden/>
    <w:rsid w:val="00186B8D"/>
    <w:rPr>
      <w:color w:val="666666"/>
    </w:rPr>
  </w:style>
  <w:style w:type="paragraph" w:customStyle="1" w:styleId="TableParagraph">
    <w:name w:val="Table Paragraph"/>
    <w:basedOn w:val="Normal"/>
    <w:uiPriority w:val="1"/>
    <w:qFormat/>
    <w:rsid w:val="005111D7"/>
    <w:pPr>
      <w:widowControl w:val="0"/>
      <w:autoSpaceDE w:val="0"/>
      <w:autoSpaceDN w:val="0"/>
      <w:spacing w:line="134" w:lineRule="exact"/>
      <w:ind w:left="48"/>
      <w:jc w:val="left"/>
    </w:pPr>
    <w:rPr>
      <w:rFonts w:ascii="Cambria Math" w:eastAsia="Cambria Math" w:hAnsi="Cambria Math" w:cs="Cambria Math"/>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32BD6-D65B-4AA8-98F8-B8818797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7177</Words>
  <Characters>38762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Laise Novellino Nunes De Souza</cp:lastModifiedBy>
  <cp:revision>12</cp:revision>
  <cp:lastPrinted>2014-09-05T00:41:00Z</cp:lastPrinted>
  <dcterms:created xsi:type="dcterms:W3CDTF">2025-04-07T22:00:00Z</dcterms:created>
  <dcterms:modified xsi:type="dcterms:W3CDTF">2025-04-08T16:48:00Z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id="btGrWa1h"/&gt;&lt;style id="http://www.zotero.org/styles/associacao-brasileira-de-normas-tecnicas" hasBibliography="1" bibliographyStyleHasBeenSet="1"/&gt;&lt;prefs&gt;&lt;pref name="fieldType" value="Field"/&gt;&lt;/pr</vt:lpwstr>
  </property>
  <property fmtid="{D5CDD505-2E9C-101B-9397-08002B2CF9AE}" pid="3" name="ZOTERO_PREF_2">
    <vt:lpwstr>efs&gt;&lt;/data&gt;</vt:lpwstr>
  </property>
</Properties>
</file>