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0EFDC" w14:textId="77777777" w:rsidR="000166E3" w:rsidRDefault="008C3733">
      <w:pPr>
        <w:spacing w:before="240"/>
        <w:jc w:val="center"/>
        <w:rPr>
          <w:lang w:val="pt-BR"/>
        </w:rPr>
      </w:pPr>
      <w:r>
        <w:rPr>
          <w:b/>
          <w:bCs/>
          <w:color w:val="000000" w:themeColor="text1"/>
          <w:sz w:val="28"/>
          <w:szCs w:val="28"/>
          <w:lang w:val="pt-BR"/>
        </w:rPr>
        <w:t>Análise do relatório de sustentabilidade de uma empresa de vestuário com base nos padrões da “GRI”</w:t>
      </w:r>
    </w:p>
    <w:p w14:paraId="0BD0EFDD" w14:textId="77777777" w:rsidR="000166E3" w:rsidRPr="005F1A2A" w:rsidRDefault="008C3733">
      <w:pPr>
        <w:spacing w:before="240"/>
        <w:jc w:val="center"/>
      </w:pPr>
      <w:r w:rsidRPr="005F1A2A">
        <w:rPr>
          <w:i/>
          <w:iCs/>
          <w:color w:val="000000" w:themeColor="text1"/>
          <w:sz w:val="28"/>
          <w:szCs w:val="28"/>
        </w:rPr>
        <w:t xml:space="preserve">Analysis of the sustainability report of a clothing company </w:t>
      </w:r>
      <w:proofErr w:type="spellStart"/>
      <w:proofErr w:type="gramStart"/>
      <w:r w:rsidRPr="005F1A2A">
        <w:rPr>
          <w:i/>
          <w:iCs/>
          <w:color w:val="000000" w:themeColor="text1"/>
          <w:sz w:val="28"/>
          <w:szCs w:val="28"/>
        </w:rPr>
        <w:t>basedon</w:t>
      </w:r>
      <w:proofErr w:type="spellEnd"/>
      <w:proofErr w:type="gramEnd"/>
      <w:r w:rsidRPr="005F1A2A">
        <w:rPr>
          <w:i/>
          <w:iCs/>
          <w:color w:val="000000" w:themeColor="text1"/>
          <w:sz w:val="28"/>
          <w:szCs w:val="28"/>
        </w:rPr>
        <w:t xml:space="preserve"> the GRI standards</w:t>
      </w:r>
    </w:p>
    <w:p w14:paraId="0BD0EFDE" w14:textId="77777777" w:rsidR="000166E3" w:rsidRDefault="000166E3">
      <w:pPr>
        <w:spacing w:after="120"/>
        <w:jc w:val="center"/>
        <w:rPr>
          <w:b/>
          <w:szCs w:val="24"/>
        </w:rPr>
      </w:pPr>
    </w:p>
    <w:p w14:paraId="0FF2DAD1" w14:textId="77777777" w:rsidR="008B44E1" w:rsidRDefault="008B44E1">
      <w:pPr>
        <w:spacing w:after="120"/>
        <w:jc w:val="center"/>
        <w:rPr>
          <w:b/>
          <w:szCs w:val="24"/>
        </w:rPr>
      </w:pPr>
    </w:p>
    <w:p w14:paraId="7BA0DEE4" w14:textId="77777777" w:rsidR="008B44E1" w:rsidRPr="0049479C" w:rsidRDefault="008B44E1" w:rsidP="008B44E1">
      <w:pPr>
        <w:spacing w:after="120"/>
        <w:jc w:val="left"/>
        <w:rPr>
          <w:szCs w:val="24"/>
          <w:lang w:val="pt-BR"/>
        </w:rPr>
      </w:pPr>
      <w:r>
        <w:rPr>
          <w:b/>
          <w:szCs w:val="24"/>
          <w:lang w:val="pt-BR"/>
        </w:rPr>
        <w:t>Roza de Oliveira Roese</w:t>
      </w:r>
      <w:r w:rsidRPr="0049479C">
        <w:rPr>
          <w:b/>
          <w:szCs w:val="24"/>
          <w:lang w:val="pt-BR"/>
        </w:rPr>
        <w:t xml:space="preserve">, </w:t>
      </w:r>
      <w:r>
        <w:rPr>
          <w:b/>
          <w:szCs w:val="24"/>
          <w:lang w:val="pt-BR"/>
        </w:rPr>
        <w:t>Mestranda</w:t>
      </w:r>
      <w:r w:rsidRPr="0049479C">
        <w:rPr>
          <w:b/>
          <w:szCs w:val="24"/>
          <w:lang w:val="pt-BR"/>
        </w:rPr>
        <w:t xml:space="preserve">, </w:t>
      </w:r>
      <w:r>
        <w:rPr>
          <w:b/>
          <w:szCs w:val="24"/>
          <w:lang w:val="pt-BR"/>
        </w:rPr>
        <w:t>Universidade de Santa Catarina -UDESC</w:t>
      </w:r>
      <w:r w:rsidRPr="0049479C">
        <w:rPr>
          <w:b/>
          <w:szCs w:val="24"/>
          <w:lang w:val="pt-BR"/>
        </w:rPr>
        <w:t xml:space="preserve"> </w:t>
      </w:r>
    </w:p>
    <w:p w14:paraId="6593CF88" w14:textId="77777777" w:rsidR="008B44E1" w:rsidRPr="0049479C" w:rsidRDefault="008B44E1" w:rsidP="008B44E1">
      <w:pPr>
        <w:spacing w:after="120"/>
        <w:jc w:val="left"/>
        <w:rPr>
          <w:sz w:val="20"/>
          <w:lang w:val="pt-BR"/>
        </w:rPr>
      </w:pPr>
      <w:hyperlink r:id="rId8" w:history="1">
        <w:r w:rsidRPr="00C92580">
          <w:rPr>
            <w:rStyle w:val="Hyperlink"/>
            <w:color w:val="000000" w:themeColor="text1"/>
            <w:szCs w:val="24"/>
            <w:u w:val="none"/>
            <w:lang w:val="pt-BR"/>
          </w:rPr>
          <w:t>rozadeoliveiraroese@outlook.com</w:t>
        </w:r>
      </w:hyperlink>
      <w:r>
        <w:rPr>
          <w:szCs w:val="24"/>
          <w:lang w:val="pt-BR"/>
        </w:rPr>
        <w:t xml:space="preserve"> </w:t>
      </w:r>
    </w:p>
    <w:p w14:paraId="728D743D" w14:textId="77777777" w:rsidR="008B44E1" w:rsidRPr="0049479C" w:rsidRDefault="008B44E1" w:rsidP="008B44E1">
      <w:pPr>
        <w:spacing w:after="120"/>
        <w:jc w:val="left"/>
        <w:rPr>
          <w:b/>
          <w:szCs w:val="24"/>
          <w:lang w:val="pt-BR"/>
        </w:rPr>
      </w:pPr>
      <w:proofErr w:type="spellStart"/>
      <w:r>
        <w:rPr>
          <w:b/>
          <w:szCs w:val="24"/>
          <w:lang w:val="pt-BR"/>
        </w:rPr>
        <w:t>Icléia</w:t>
      </w:r>
      <w:proofErr w:type="spellEnd"/>
      <w:r>
        <w:rPr>
          <w:b/>
          <w:szCs w:val="24"/>
          <w:lang w:val="pt-BR"/>
        </w:rPr>
        <w:t xml:space="preserve"> Silveira</w:t>
      </w:r>
      <w:r w:rsidRPr="0049479C">
        <w:rPr>
          <w:b/>
          <w:szCs w:val="24"/>
          <w:lang w:val="pt-BR"/>
        </w:rPr>
        <w:t xml:space="preserve">, </w:t>
      </w:r>
      <w:r>
        <w:rPr>
          <w:b/>
          <w:szCs w:val="24"/>
          <w:lang w:val="pt-BR"/>
        </w:rPr>
        <w:t>Doutora</w:t>
      </w:r>
      <w:r w:rsidRPr="0049479C">
        <w:rPr>
          <w:b/>
          <w:szCs w:val="24"/>
          <w:lang w:val="pt-BR"/>
        </w:rPr>
        <w:t xml:space="preserve">, </w:t>
      </w:r>
      <w:r>
        <w:rPr>
          <w:b/>
          <w:szCs w:val="24"/>
          <w:lang w:val="pt-BR"/>
        </w:rPr>
        <w:t>Universidade de Santa Catarina - UDESC</w:t>
      </w:r>
    </w:p>
    <w:p w14:paraId="37B12E37" w14:textId="77777777" w:rsidR="008B44E1" w:rsidRPr="0049479C" w:rsidRDefault="008B44E1" w:rsidP="008B44E1">
      <w:pPr>
        <w:spacing w:after="120"/>
        <w:jc w:val="left"/>
        <w:rPr>
          <w:szCs w:val="24"/>
          <w:lang w:val="pt-BR"/>
        </w:rPr>
      </w:pPr>
      <w:hyperlink r:id="rId9" w:history="1">
        <w:r w:rsidRPr="00C92580">
          <w:rPr>
            <w:rStyle w:val="Hyperlink"/>
            <w:color w:val="000000" w:themeColor="text1"/>
            <w:szCs w:val="24"/>
            <w:u w:val="none"/>
            <w:lang w:val="pt-BR"/>
          </w:rPr>
          <w:t>icleiasilveira@gmail.com</w:t>
        </w:r>
      </w:hyperlink>
      <w:r>
        <w:rPr>
          <w:szCs w:val="24"/>
          <w:lang w:val="pt-BR"/>
        </w:rPr>
        <w:t xml:space="preserve"> </w:t>
      </w:r>
    </w:p>
    <w:p w14:paraId="7D0C32D5" w14:textId="77777777" w:rsidR="008B44E1" w:rsidRDefault="008B44E1">
      <w:pPr>
        <w:spacing w:after="120"/>
        <w:jc w:val="center"/>
        <w:rPr>
          <w:b/>
          <w:szCs w:val="24"/>
        </w:rPr>
      </w:pPr>
    </w:p>
    <w:p w14:paraId="0BD0EFDF" w14:textId="77777777" w:rsidR="000166E3" w:rsidRDefault="008C3733">
      <w:pPr>
        <w:spacing w:after="120"/>
        <w:rPr>
          <w:lang w:val="pt-BR"/>
        </w:rPr>
      </w:pPr>
      <w:r>
        <w:rPr>
          <w:color w:val="A6A6A6"/>
          <w:szCs w:val="24"/>
          <w:lang w:val="pt-BR"/>
        </w:rPr>
        <w:t>Número da sessão temática da submissão – [02]</w:t>
      </w:r>
    </w:p>
    <w:p w14:paraId="0BD0EFE1" w14:textId="77777777" w:rsidR="000166E3" w:rsidRDefault="008C3733">
      <w:pPr>
        <w:spacing w:after="120"/>
        <w:rPr>
          <w:lang w:val="pt-BR"/>
        </w:rPr>
      </w:pPr>
      <w:r>
        <w:rPr>
          <w:b/>
          <w:bCs/>
          <w:lang w:val="pt-BR"/>
        </w:rPr>
        <w:t>Resumo</w:t>
      </w:r>
    </w:p>
    <w:p w14:paraId="0BD0EFE2" w14:textId="67262D6E" w:rsidR="000166E3" w:rsidRDefault="008C3733">
      <w:pPr>
        <w:spacing w:after="120"/>
        <w:rPr>
          <w:lang w:val="pt-BR"/>
        </w:rPr>
      </w:pPr>
      <w:r>
        <w:rPr>
          <w:color w:val="000000" w:themeColor="text1"/>
          <w:sz w:val="22"/>
          <w:szCs w:val="22"/>
          <w:lang w:val="pt-BR"/>
        </w:rPr>
        <w:t xml:space="preserve">A indústria têxtil é uma das maiores do mundo, sendo responsável pela produção de uma grande variedade de tecidos, vestuário, cama, mesa, banho e até tapetes e cortinas, com impacto no meio ambiente, desde a poluição do ar e da água até o uso intensivo de recursos naturais e mão de obra. O objetivo da pesquisa é identificar nos relatórios de sustentabilidade as ações das indústrias de vestuário que atendem aos três pilares do desenvolvimento sustentável: econômico, ambiental e social. Os procedimentos metodológicos apoiaram-se no modelo do </w:t>
      </w:r>
      <w:r>
        <w:rPr>
          <w:i/>
          <w:iCs/>
          <w:color w:val="000000" w:themeColor="text1"/>
          <w:sz w:val="22"/>
          <w:szCs w:val="22"/>
          <w:lang w:val="pt-BR"/>
        </w:rPr>
        <w:t xml:space="preserve">Triple </w:t>
      </w:r>
      <w:proofErr w:type="spellStart"/>
      <w:r>
        <w:rPr>
          <w:i/>
          <w:iCs/>
          <w:color w:val="000000" w:themeColor="text1"/>
          <w:sz w:val="22"/>
          <w:szCs w:val="22"/>
          <w:lang w:val="pt-BR"/>
        </w:rPr>
        <w:t>Bottom</w:t>
      </w:r>
      <w:proofErr w:type="spellEnd"/>
      <w:r>
        <w:rPr>
          <w:i/>
          <w:iCs/>
          <w:color w:val="000000" w:themeColor="text1"/>
          <w:sz w:val="22"/>
          <w:szCs w:val="22"/>
          <w:lang w:val="pt-BR"/>
        </w:rPr>
        <w:t xml:space="preserve"> </w:t>
      </w:r>
      <w:proofErr w:type="spellStart"/>
      <w:r>
        <w:rPr>
          <w:i/>
          <w:iCs/>
          <w:color w:val="000000" w:themeColor="text1"/>
          <w:sz w:val="22"/>
          <w:szCs w:val="22"/>
          <w:lang w:val="pt-BR"/>
        </w:rPr>
        <w:t>Line</w:t>
      </w:r>
      <w:proofErr w:type="spellEnd"/>
      <w:r>
        <w:rPr>
          <w:color w:val="000000" w:themeColor="text1"/>
          <w:sz w:val="22"/>
          <w:szCs w:val="22"/>
          <w:lang w:val="pt-BR"/>
        </w:rPr>
        <w:t xml:space="preserve">, com pesquisa qualitativa e descritiva e na coleta de dados no relatório de sustentabilidade de uma empresa brasileira do setor têxtil do ano de 2023. A análise qualitativa dos dados foi feita com base nos padrões da </w:t>
      </w:r>
      <w:r>
        <w:rPr>
          <w:i/>
          <w:iCs/>
          <w:color w:val="000000" w:themeColor="text1"/>
          <w:sz w:val="22"/>
          <w:szCs w:val="22"/>
          <w:lang w:val="pt-BR"/>
        </w:rPr>
        <w:t xml:space="preserve">Global </w:t>
      </w:r>
      <w:proofErr w:type="spellStart"/>
      <w:r>
        <w:rPr>
          <w:i/>
          <w:iCs/>
          <w:color w:val="000000" w:themeColor="text1"/>
          <w:sz w:val="22"/>
          <w:szCs w:val="22"/>
          <w:lang w:val="pt-BR"/>
        </w:rPr>
        <w:t>Reporting</w:t>
      </w:r>
      <w:proofErr w:type="spellEnd"/>
      <w:r>
        <w:rPr>
          <w:i/>
          <w:iCs/>
          <w:color w:val="000000" w:themeColor="text1"/>
          <w:sz w:val="22"/>
          <w:szCs w:val="22"/>
          <w:lang w:val="pt-BR"/>
        </w:rPr>
        <w:t xml:space="preserve"> </w:t>
      </w:r>
      <w:proofErr w:type="spellStart"/>
      <w:r>
        <w:rPr>
          <w:i/>
          <w:iCs/>
          <w:color w:val="000000" w:themeColor="text1"/>
          <w:sz w:val="22"/>
          <w:szCs w:val="22"/>
          <w:lang w:val="pt-BR"/>
        </w:rPr>
        <w:t>Initiative</w:t>
      </w:r>
      <w:proofErr w:type="spellEnd"/>
      <w:r>
        <w:rPr>
          <w:color w:val="000000" w:themeColor="text1"/>
          <w:sz w:val="22"/>
          <w:szCs w:val="22"/>
          <w:lang w:val="pt-BR"/>
        </w:rPr>
        <w:t xml:space="preserve"> (GRI). Os resultados obtidos mostram que as práticas de sustentabilidade mais enfatizadas pela empresa “X”, estão relacionadas a dimensões </w:t>
      </w:r>
      <w:r w:rsidR="008612EB">
        <w:rPr>
          <w:color w:val="000000" w:themeColor="text1"/>
          <w:sz w:val="22"/>
          <w:szCs w:val="22"/>
          <w:lang w:val="pt-BR"/>
        </w:rPr>
        <w:t>s</w:t>
      </w:r>
      <w:r>
        <w:rPr>
          <w:color w:val="000000" w:themeColor="text1"/>
          <w:sz w:val="22"/>
          <w:szCs w:val="22"/>
          <w:lang w:val="pt-BR"/>
        </w:rPr>
        <w:t>ocia</w:t>
      </w:r>
      <w:r w:rsidR="008612EB">
        <w:rPr>
          <w:color w:val="000000" w:themeColor="text1"/>
          <w:sz w:val="22"/>
          <w:szCs w:val="22"/>
          <w:lang w:val="pt-BR"/>
        </w:rPr>
        <w:t>is</w:t>
      </w:r>
      <w:r>
        <w:rPr>
          <w:color w:val="000000" w:themeColor="text1"/>
          <w:sz w:val="22"/>
          <w:szCs w:val="22"/>
          <w:lang w:val="pt-BR"/>
        </w:rPr>
        <w:t xml:space="preserve"> da sustentabilidade, porém em consonância com as demais dimensões.</w:t>
      </w:r>
    </w:p>
    <w:p w14:paraId="452AB9CE" w14:textId="675923D5" w:rsidR="007C37F8" w:rsidRPr="007C37F8" w:rsidRDefault="008C3733">
      <w:pPr>
        <w:shd w:val="clear" w:color="auto" w:fill="FFFFFF" w:themeFill="background1"/>
        <w:spacing w:before="240" w:after="278"/>
        <w:jc w:val="left"/>
        <w:rPr>
          <w:color w:val="2D2929"/>
          <w:sz w:val="22"/>
          <w:szCs w:val="22"/>
        </w:rPr>
      </w:pPr>
      <w:r>
        <w:rPr>
          <w:b/>
          <w:bCs/>
          <w:lang w:val="pt-BR"/>
        </w:rPr>
        <w:t>Palavras-chave</w:t>
      </w:r>
      <w:r>
        <w:rPr>
          <w:b/>
          <w:bCs/>
          <w:sz w:val="22"/>
          <w:szCs w:val="22"/>
          <w:lang w:val="pt-BR"/>
        </w:rPr>
        <w:t xml:space="preserve">: </w:t>
      </w:r>
      <w:r>
        <w:rPr>
          <w:color w:val="2D2929"/>
          <w:sz w:val="22"/>
          <w:szCs w:val="22"/>
          <w:lang w:val="pt-BR"/>
        </w:rPr>
        <w:t>Sustentabilidade.</w:t>
      </w:r>
      <w:r>
        <w:rPr>
          <w:b/>
          <w:bCs/>
          <w:color w:val="2D2929"/>
          <w:sz w:val="22"/>
          <w:szCs w:val="22"/>
          <w:lang w:val="pt-BR"/>
        </w:rPr>
        <w:t xml:space="preserve"> </w:t>
      </w:r>
      <w:r>
        <w:rPr>
          <w:color w:val="2D2929"/>
          <w:sz w:val="22"/>
          <w:szCs w:val="22"/>
          <w:lang w:val="pt-BR"/>
        </w:rPr>
        <w:t xml:space="preserve">Têxteis. Indicadores. </w:t>
      </w:r>
      <w:r w:rsidRPr="005F1A2A">
        <w:rPr>
          <w:color w:val="2D2929"/>
          <w:sz w:val="22"/>
          <w:szCs w:val="22"/>
        </w:rPr>
        <w:t>GRI.</w:t>
      </w:r>
    </w:p>
    <w:p w14:paraId="0BD0EFE4" w14:textId="77777777" w:rsidR="000166E3" w:rsidRPr="005F1A2A" w:rsidRDefault="008C3733">
      <w:pPr>
        <w:spacing w:after="120"/>
      </w:pPr>
      <w:r w:rsidRPr="005F1A2A">
        <w:rPr>
          <w:b/>
          <w:i/>
          <w:szCs w:val="24"/>
        </w:rPr>
        <w:t>Abstrac</w:t>
      </w:r>
      <w:r w:rsidRPr="005F1A2A">
        <w:rPr>
          <w:b/>
          <w:i/>
          <w:sz w:val="22"/>
          <w:szCs w:val="22"/>
        </w:rPr>
        <w:t>t</w:t>
      </w:r>
    </w:p>
    <w:p w14:paraId="0BD0EFE5" w14:textId="77777777" w:rsidR="000166E3" w:rsidRPr="005F1A2A" w:rsidRDefault="008C3733">
      <w:pPr>
        <w:shd w:val="clear" w:color="auto" w:fill="FFFFFF" w:themeFill="background1"/>
        <w:spacing w:before="240" w:after="278"/>
        <w:jc w:val="left"/>
      </w:pPr>
      <w:r w:rsidRPr="005F1A2A">
        <w:rPr>
          <w:i/>
          <w:iCs/>
          <w:color w:val="000000" w:themeColor="text1"/>
          <w:sz w:val="22"/>
          <w:szCs w:val="22"/>
        </w:rPr>
        <w:t xml:space="preserve">The textile industry is one of the largest in the world, responsible </w:t>
      </w:r>
      <w:proofErr w:type="gramStart"/>
      <w:r w:rsidRPr="005F1A2A">
        <w:rPr>
          <w:i/>
          <w:iCs/>
          <w:color w:val="000000" w:themeColor="text1"/>
          <w:sz w:val="22"/>
          <w:szCs w:val="22"/>
        </w:rPr>
        <w:t>for the production of</w:t>
      </w:r>
      <w:proofErr w:type="gramEnd"/>
      <w:r w:rsidRPr="005F1A2A">
        <w:rPr>
          <w:i/>
          <w:iCs/>
          <w:color w:val="000000" w:themeColor="text1"/>
          <w:sz w:val="22"/>
          <w:szCs w:val="22"/>
        </w:rPr>
        <w:t xml:space="preserve"> a wide variety of fabrics, clothing, bed, table, bath, and even rugs and curtains, with an environmental impact ranging from air and water pollution to intensive use of natural resources and labor. The aim of the research is to identify, in sustainability reports, the actions of clothing industries </w:t>
      </w:r>
      <w:r w:rsidRPr="005F1A2A">
        <w:rPr>
          <w:i/>
          <w:iCs/>
          <w:color w:val="000000" w:themeColor="text1"/>
          <w:sz w:val="22"/>
          <w:szCs w:val="22"/>
        </w:rPr>
        <w:lastRenderedPageBreak/>
        <w:t>that meet the three pillars of sustainable development: economic, environmental, and social. The methodological procedures were based on the Triple Bottom Line model, with qualitative and descriptive research, and data collection from the sustainability report of a Brazilian textile company from the year 2023. The qualitative data analysis was conducted based on the standards of the Global Reporting Initiative (GRI). The results show that the sustainability practices most emphasized by company "X" are related to the social dimension of sustainability, although in alignment with the other dimensions.</w:t>
      </w:r>
    </w:p>
    <w:p w14:paraId="0BD0EFE6" w14:textId="77777777" w:rsidR="000166E3" w:rsidRPr="005F1A2A" w:rsidRDefault="008C3733">
      <w:pPr>
        <w:shd w:val="clear" w:color="auto" w:fill="FFFFFF" w:themeFill="background1"/>
        <w:spacing w:before="240" w:after="278"/>
        <w:jc w:val="left"/>
      </w:pPr>
      <w:r w:rsidRPr="005F1A2A">
        <w:rPr>
          <w:b/>
          <w:bCs/>
          <w:i/>
          <w:iCs/>
        </w:rPr>
        <w:t>Keywords:</w:t>
      </w:r>
      <w:r w:rsidRPr="005F1A2A">
        <w:rPr>
          <w:color w:val="000000" w:themeColor="text1"/>
          <w:szCs w:val="24"/>
        </w:rPr>
        <w:t xml:space="preserve"> </w:t>
      </w:r>
      <w:r w:rsidRPr="005F1A2A">
        <w:rPr>
          <w:i/>
          <w:iCs/>
          <w:color w:val="000000" w:themeColor="text1"/>
          <w:sz w:val="22"/>
          <w:szCs w:val="22"/>
        </w:rPr>
        <w:t>Sustainability. Textiles. Indicators. GRI.</w:t>
      </w:r>
    </w:p>
    <w:p w14:paraId="0BD0EFE7" w14:textId="6CB7B086" w:rsidR="000166E3" w:rsidRPr="00B918EB" w:rsidRDefault="00CA002A" w:rsidP="00B918EB">
      <w:pPr>
        <w:pStyle w:val="PargrafodaLista"/>
        <w:numPr>
          <w:ilvl w:val="0"/>
          <w:numId w:val="4"/>
        </w:numPr>
        <w:spacing w:after="120"/>
        <w:jc w:val="left"/>
        <w:rPr>
          <w:b/>
          <w:bCs/>
          <w:lang w:val="pt-BR"/>
        </w:rPr>
      </w:pPr>
      <w:r w:rsidRPr="00B918EB">
        <w:rPr>
          <w:b/>
          <w:bCs/>
          <w:lang w:val="pt-BR"/>
        </w:rPr>
        <w:t>Introdução</w:t>
      </w:r>
    </w:p>
    <w:p w14:paraId="3BD81C05" w14:textId="77777777" w:rsidR="00B918EB" w:rsidRPr="00B918EB" w:rsidRDefault="00B918EB" w:rsidP="00B918EB">
      <w:pPr>
        <w:spacing w:after="120"/>
        <w:ind w:left="360"/>
        <w:jc w:val="left"/>
        <w:rPr>
          <w:lang w:val="pt-BR"/>
        </w:rPr>
      </w:pPr>
    </w:p>
    <w:p w14:paraId="0BD0EFE9" w14:textId="77777777" w:rsidR="000166E3" w:rsidRDefault="008C3733" w:rsidP="001C5B6C">
      <w:pPr>
        <w:spacing w:after="120" w:line="360" w:lineRule="auto"/>
        <w:ind w:firstLine="284"/>
        <w:rPr>
          <w:lang w:val="pt-BR"/>
        </w:rPr>
      </w:pPr>
      <w:r>
        <w:rPr>
          <w:lang w:val="pt-BR"/>
        </w:rPr>
        <w:t xml:space="preserve">A alta competitividade do mercado faz com que as empresas mudem suas estratégias de negócios e adotem práticas sustentáveis para conseguirem sobreviver no mercado. Neste contexto, as indústrias têxteis têm apresentado esforços cada vez maiores para implementar a sustentabilidade de modo que </w:t>
      </w:r>
      <w:r>
        <w:rPr>
          <w:bCs/>
          <w:shd w:val="clear" w:color="auto" w:fill="FFFFFF"/>
          <w:lang w:val="pt-BR"/>
        </w:rPr>
        <w:t xml:space="preserve">suas atividades produtivas, não prejudiquem o meio ambiente. Além disso, estas indústrias </w:t>
      </w:r>
      <w:r>
        <w:rPr>
          <w:shd w:val="clear" w:color="auto" w:fill="FFFFFF"/>
          <w:lang w:val="pt-BR"/>
        </w:rPr>
        <w:t xml:space="preserve">devem utilizar da melhor maneira possível os seus recursos, principalmente os não renováveis. A sustentabilidade não envolve somente as preocupações com a preservação do meio ambiente, sendo importante investir nos aspectos econômicos e sociais, na redução dos custos e na otimização dos processos, aplicando os recursos tecnológicos, que possam garantir custos menores e operações produtivas mais dinâmicas. A adoção de ações que conseguem melhorar o aproveitamento dos recursos naturais traz benefícios para o meio ambiente, garantem uma produtividade mais eficiente e ao mesmo tempo contribuem para ampliar a competitividade da empresa. </w:t>
      </w:r>
    </w:p>
    <w:p w14:paraId="0BD0EFEA" w14:textId="77777777" w:rsidR="000166E3" w:rsidRDefault="008C3733" w:rsidP="001C5B6C">
      <w:pPr>
        <w:spacing w:after="120" w:line="360" w:lineRule="auto"/>
        <w:ind w:firstLine="284"/>
        <w:rPr>
          <w:lang w:val="pt-BR"/>
        </w:rPr>
      </w:pPr>
      <w:r>
        <w:rPr>
          <w:color w:val="000000"/>
          <w:lang w:val="pt-BR"/>
        </w:rPr>
        <w:t xml:space="preserve">O objetivo é identificar nos relatórios de sustentabilidade as ações das indústrias de vestuário que atendam os três pilares do desenvolvimento sustentável: econômico, ambiental e social. </w:t>
      </w:r>
      <w:r>
        <w:rPr>
          <w:lang w:val="pt-BR"/>
        </w:rPr>
        <w:t xml:space="preserve">Esta abordagem, tem como base o modelo do </w:t>
      </w:r>
      <w:r>
        <w:rPr>
          <w:i/>
          <w:iCs/>
          <w:lang w:val="pt-BR"/>
        </w:rPr>
        <w:t xml:space="preserve">Triple </w:t>
      </w:r>
      <w:proofErr w:type="spellStart"/>
      <w:r>
        <w:rPr>
          <w:i/>
          <w:iCs/>
          <w:lang w:val="pt-BR"/>
        </w:rPr>
        <w:t>Bottom</w:t>
      </w:r>
      <w:proofErr w:type="spellEnd"/>
      <w:r>
        <w:rPr>
          <w:i/>
          <w:iCs/>
          <w:lang w:val="pt-BR"/>
        </w:rPr>
        <w:t xml:space="preserve"> </w:t>
      </w:r>
      <w:proofErr w:type="spellStart"/>
      <w:r>
        <w:rPr>
          <w:i/>
          <w:iCs/>
          <w:lang w:val="pt-BR"/>
        </w:rPr>
        <w:t>Line</w:t>
      </w:r>
      <w:proofErr w:type="spellEnd"/>
      <w:r>
        <w:rPr>
          <w:lang w:val="pt-BR"/>
        </w:rPr>
        <w:t xml:space="preserve"> de </w:t>
      </w:r>
      <w:proofErr w:type="spellStart"/>
      <w:r>
        <w:rPr>
          <w:lang w:val="pt-BR"/>
        </w:rPr>
        <w:t>Elkington</w:t>
      </w:r>
      <w:proofErr w:type="spellEnd"/>
      <w:r>
        <w:rPr>
          <w:lang w:val="pt-BR"/>
        </w:rPr>
        <w:t xml:space="preserve"> (1994), padrões adotados pela </w:t>
      </w:r>
      <w:r>
        <w:rPr>
          <w:i/>
          <w:iCs/>
          <w:lang w:val="pt-BR"/>
        </w:rPr>
        <w:t xml:space="preserve">Global </w:t>
      </w:r>
      <w:proofErr w:type="spellStart"/>
      <w:r>
        <w:rPr>
          <w:i/>
          <w:iCs/>
          <w:lang w:val="pt-BR"/>
        </w:rPr>
        <w:t>Reporting</w:t>
      </w:r>
      <w:proofErr w:type="spellEnd"/>
      <w:r>
        <w:rPr>
          <w:i/>
          <w:iCs/>
          <w:lang w:val="pt-BR"/>
        </w:rPr>
        <w:t xml:space="preserve"> </w:t>
      </w:r>
      <w:proofErr w:type="spellStart"/>
      <w:r>
        <w:rPr>
          <w:i/>
          <w:iCs/>
          <w:lang w:val="pt-BR"/>
        </w:rPr>
        <w:t>Initiative</w:t>
      </w:r>
      <w:proofErr w:type="spellEnd"/>
      <w:r>
        <w:rPr>
          <w:lang w:val="pt-BR"/>
        </w:rPr>
        <w:t xml:space="preserve"> (GRI).</w:t>
      </w:r>
    </w:p>
    <w:p w14:paraId="0BD0EFEB" w14:textId="77777777" w:rsidR="000166E3" w:rsidRDefault="008C3733" w:rsidP="001C5B6C">
      <w:pPr>
        <w:spacing w:after="120" w:line="360" w:lineRule="auto"/>
        <w:ind w:firstLine="284"/>
        <w:rPr>
          <w:lang w:val="pt-BR"/>
        </w:rPr>
      </w:pPr>
      <w:r>
        <w:rPr>
          <w:lang w:val="pt-BR"/>
        </w:rPr>
        <w:lastRenderedPageBreak/>
        <w:t xml:space="preserve">Destaca-se a relevância da pesquisa por considerar que é possível obter a sustentabilidade com o equilíbrio entre esses três pilares, apesar de muitas vezes haver a priorização de um deles. Young e </w:t>
      </w:r>
      <w:proofErr w:type="spellStart"/>
      <w:r>
        <w:rPr>
          <w:lang w:val="pt-BR"/>
        </w:rPr>
        <w:t>Tilley</w:t>
      </w:r>
      <w:proofErr w:type="spellEnd"/>
      <w:r>
        <w:rPr>
          <w:lang w:val="pt-BR"/>
        </w:rPr>
        <w:t xml:space="preserve"> (2006), argumentam que os pilares econômico e social se relacionam com o ambiental, buscando crescimento econômico, levando em conta a missão de impactos positivos para a sociedade. Já o pilar econômico se relaciona com o ambiental por meio do crescimento econômico, proteção ambiental e soluções regenerativas por parte das empresas. E o pilar social se relaciona com o ambiental, buscando a equidade ecológica e um consumo mais sustentável (Young; </w:t>
      </w:r>
      <w:proofErr w:type="spellStart"/>
      <w:r>
        <w:rPr>
          <w:lang w:val="pt-BR"/>
        </w:rPr>
        <w:t>Tilley</w:t>
      </w:r>
      <w:proofErr w:type="spellEnd"/>
      <w:r>
        <w:rPr>
          <w:lang w:val="pt-BR"/>
        </w:rPr>
        <w:t xml:space="preserve">, 2006). Destaca-se que os relatórios de sustentabilidade podem auxiliar os gestores no alcance do desenvolvimento sustentável, ampliando a transparência das informações divulgadas, que são baseadas nas dimensões da sustentabilidade. </w:t>
      </w:r>
    </w:p>
    <w:p w14:paraId="0BD0EFEC" w14:textId="77777777" w:rsidR="000166E3" w:rsidRDefault="008C3733" w:rsidP="001C5B6C">
      <w:pPr>
        <w:spacing w:after="120" w:line="360" w:lineRule="auto"/>
        <w:ind w:firstLine="284"/>
        <w:rPr>
          <w:lang w:val="pt-BR"/>
        </w:rPr>
      </w:pPr>
      <w:r>
        <w:rPr>
          <w:lang w:val="pt-BR"/>
        </w:rPr>
        <w:t xml:space="preserve">Com base na classificação metodológica proposta por Gil (2008), este artigo pode ser compreendido enquanto: (I) pesquisa qualitativa, quanto ao problema de pesquisa; (II) pesquisa descritiva, em relação ao seu objetivo; (III) quanto aos procedimentos técnicos para a coleta dos dados, aplica-se a pesquisa bibliográfica e documental com uso do relatório de sustentabilidade de uma empresa brasileira do setor têxtil do ano de 2022, que possuí os padrões da Global </w:t>
      </w:r>
      <w:proofErr w:type="spellStart"/>
      <w:r>
        <w:rPr>
          <w:lang w:val="pt-BR"/>
        </w:rPr>
        <w:t>Reporting</w:t>
      </w:r>
      <w:proofErr w:type="spellEnd"/>
      <w:r>
        <w:rPr>
          <w:lang w:val="pt-BR"/>
        </w:rPr>
        <w:t xml:space="preserve"> </w:t>
      </w:r>
      <w:proofErr w:type="spellStart"/>
      <w:r>
        <w:rPr>
          <w:lang w:val="pt-BR"/>
        </w:rPr>
        <w:t>Initiative</w:t>
      </w:r>
      <w:proofErr w:type="spellEnd"/>
      <w:r>
        <w:rPr>
          <w:lang w:val="pt-BR"/>
        </w:rPr>
        <w:t xml:space="preserve"> (GRI).</w:t>
      </w:r>
      <w:r>
        <w:rPr>
          <w:shd w:val="clear" w:color="auto" w:fill="FFFFFF"/>
          <w:lang w:val="pt-BR"/>
        </w:rPr>
        <w:t xml:space="preserve"> Para a interpretação dos resultados obtidos aplicou-se a Análise Qualitativa dos Dados. A abordagem teórica contemplou questões relacionadas as </w:t>
      </w:r>
      <w:r>
        <w:rPr>
          <w:lang w:val="pt-BR"/>
        </w:rPr>
        <w:t xml:space="preserve">indústrias têxteis no contexto da sustentabilidade e </w:t>
      </w:r>
      <w:r>
        <w:rPr>
          <w:bCs/>
          <w:lang w:val="pt-BR"/>
        </w:rPr>
        <w:t xml:space="preserve">indicadores da </w:t>
      </w:r>
      <w:r>
        <w:rPr>
          <w:bCs/>
          <w:i/>
          <w:iCs/>
          <w:lang w:val="pt-BR"/>
        </w:rPr>
        <w:t xml:space="preserve">Global </w:t>
      </w:r>
      <w:proofErr w:type="spellStart"/>
      <w:r>
        <w:rPr>
          <w:bCs/>
          <w:i/>
          <w:iCs/>
          <w:lang w:val="pt-BR"/>
        </w:rPr>
        <w:t>Reporting</w:t>
      </w:r>
      <w:proofErr w:type="spellEnd"/>
      <w:r>
        <w:rPr>
          <w:bCs/>
          <w:i/>
          <w:iCs/>
          <w:lang w:val="pt-BR"/>
        </w:rPr>
        <w:t xml:space="preserve"> </w:t>
      </w:r>
      <w:proofErr w:type="spellStart"/>
      <w:r>
        <w:rPr>
          <w:bCs/>
          <w:i/>
          <w:iCs/>
          <w:lang w:val="pt-BR"/>
        </w:rPr>
        <w:t>Initiative</w:t>
      </w:r>
      <w:proofErr w:type="spellEnd"/>
      <w:r>
        <w:rPr>
          <w:bCs/>
          <w:lang w:val="pt-BR"/>
        </w:rPr>
        <w:t xml:space="preserve"> (GRI).</w:t>
      </w:r>
    </w:p>
    <w:p w14:paraId="0BD0EFED" w14:textId="67EE0F0C" w:rsidR="000166E3" w:rsidRDefault="001C5B6C" w:rsidP="001C5B6C">
      <w:pPr>
        <w:tabs>
          <w:tab w:val="left" w:pos="2460"/>
        </w:tabs>
        <w:spacing w:line="360" w:lineRule="auto"/>
        <w:ind w:firstLine="709"/>
        <w:rPr>
          <w:lang w:val="pt-BR"/>
        </w:rPr>
      </w:pPr>
      <w:r>
        <w:rPr>
          <w:lang w:val="pt-BR"/>
        </w:rPr>
        <w:tab/>
      </w:r>
    </w:p>
    <w:p w14:paraId="0BD0EFEE" w14:textId="60754414" w:rsidR="000166E3" w:rsidRDefault="00CA002A">
      <w:pPr>
        <w:spacing w:line="360" w:lineRule="auto"/>
        <w:rPr>
          <w:b/>
          <w:lang w:val="pt-BR"/>
        </w:rPr>
      </w:pPr>
      <w:r>
        <w:rPr>
          <w:b/>
          <w:lang w:val="pt-BR"/>
        </w:rPr>
        <w:t>2. A sustentabilidade e as indústrias têxteis</w:t>
      </w:r>
    </w:p>
    <w:p w14:paraId="330396D5" w14:textId="77777777" w:rsidR="00B918EB" w:rsidRDefault="00B918EB">
      <w:pPr>
        <w:spacing w:line="360" w:lineRule="auto"/>
        <w:rPr>
          <w:lang w:val="pt-BR"/>
        </w:rPr>
      </w:pPr>
    </w:p>
    <w:p w14:paraId="0BD0EFF0" w14:textId="77777777" w:rsidR="000166E3" w:rsidRDefault="008C3733" w:rsidP="001C5B6C">
      <w:pPr>
        <w:spacing w:after="120" w:line="360" w:lineRule="auto"/>
        <w:ind w:firstLine="284"/>
        <w:rPr>
          <w:lang w:val="pt-BR"/>
        </w:rPr>
      </w:pPr>
      <w:r>
        <w:rPr>
          <w:lang w:val="pt-BR"/>
        </w:rPr>
        <w:t xml:space="preserve">A sustentabilidade tem sido apresentada como solução, para que uma nova consciência seja criada entre todos, para que haja uma melhora gradativa na preservação </w:t>
      </w:r>
      <w:r>
        <w:rPr>
          <w:lang w:val="pt-BR"/>
        </w:rPr>
        <w:lastRenderedPageBreak/>
        <w:t xml:space="preserve">do meio ambiente. Conforme Ávila, Madruga e </w:t>
      </w:r>
      <w:proofErr w:type="spellStart"/>
      <w:r>
        <w:rPr>
          <w:lang w:val="pt-BR"/>
        </w:rPr>
        <w:t>Beuron</w:t>
      </w:r>
      <w:proofErr w:type="spellEnd"/>
      <w:r>
        <w:rPr>
          <w:lang w:val="pt-BR"/>
        </w:rPr>
        <w:t xml:space="preserve"> (2016) a sustentabilidade também pode ser entendida como o princípio de garantir que as atitudes de hoje não interfiram nas escolhas sociais, ambientais e econômicas das gerações futuras. Com a globalização e o avanço das tecnologias o mundo vem crescendo desordenadamente, atrelado a isso vem os desmatamentos, o capitalismo sem consciência e a degradação ao meio ambiente, causada por algumas organizações, porém, os consumidores estão mais cientes e passaram a avaliar melhor as empresas quanto a suas ações, que possam afetar o meio ambiente e a sociedade, requerendo uma prestação de contas dos recursos utilizados. Diante disso, a sustentabilidade, para Claro e Claro (2014, p. 15), é usada como referência das empresas que tenham interesses de “manter e demonstrar um desempenho positivo econômico, social e ambiental ao longo do tempo” para melhorias nas suas operações, nas inovações e no crescimento estratégico ganhando vantagem competitiva e integrando valores sustentáveis.</w:t>
      </w:r>
    </w:p>
    <w:p w14:paraId="0BD0EFF1" w14:textId="77777777" w:rsidR="000166E3" w:rsidRDefault="008C3733" w:rsidP="001C5B6C">
      <w:pPr>
        <w:spacing w:after="120" w:line="360" w:lineRule="auto"/>
        <w:ind w:firstLine="284"/>
        <w:rPr>
          <w:lang w:val="pt-BR"/>
        </w:rPr>
      </w:pPr>
      <w:r>
        <w:rPr>
          <w:lang w:val="pt-BR"/>
        </w:rPr>
        <w:t xml:space="preserve">Seguindo essa ideia Braun e </w:t>
      </w:r>
      <w:proofErr w:type="spellStart"/>
      <w:r>
        <w:rPr>
          <w:lang w:val="pt-BR"/>
        </w:rPr>
        <w:t>Robl</w:t>
      </w:r>
      <w:proofErr w:type="spellEnd"/>
      <w:r>
        <w:rPr>
          <w:lang w:val="pt-BR"/>
        </w:rPr>
        <w:t xml:space="preserve"> (2015), argumentam que se faz necessário que as organizações sigam as três dimensões do </w:t>
      </w:r>
      <w:r>
        <w:rPr>
          <w:i/>
          <w:iCs/>
          <w:lang w:val="pt-BR"/>
        </w:rPr>
        <w:t xml:space="preserve">Triple Botton </w:t>
      </w:r>
      <w:proofErr w:type="spellStart"/>
      <w:r>
        <w:rPr>
          <w:i/>
          <w:iCs/>
          <w:lang w:val="pt-BR"/>
        </w:rPr>
        <w:t>Line</w:t>
      </w:r>
      <w:proofErr w:type="spellEnd"/>
      <w:r>
        <w:rPr>
          <w:lang w:val="pt-BR"/>
        </w:rPr>
        <w:t xml:space="preserve"> (TBL), do modelo criado em por </w:t>
      </w:r>
      <w:proofErr w:type="spellStart"/>
      <w:r>
        <w:rPr>
          <w:lang w:val="pt-BR"/>
        </w:rPr>
        <w:t>Elkington</w:t>
      </w:r>
      <w:proofErr w:type="spellEnd"/>
      <w:r>
        <w:rPr>
          <w:lang w:val="pt-BR"/>
        </w:rPr>
        <w:t xml:space="preserve"> (1994) - o Tripé da Sustentabilidade. O TBL representa uma ferramenta adequada para deduzir as interações extra empresariais e enfatizar a importância de uma visão mais ampla da sustentabilidade, de forma a satisfazer todos que são afetados ou afetam as atividades da organização.</w:t>
      </w:r>
    </w:p>
    <w:p w14:paraId="0BD0EFF2" w14:textId="560E1B03" w:rsidR="000166E3" w:rsidRDefault="008C3733" w:rsidP="001C5B6C">
      <w:pPr>
        <w:spacing w:after="120" w:line="360" w:lineRule="auto"/>
        <w:ind w:firstLine="284"/>
        <w:rPr>
          <w:lang w:val="pt-BR"/>
        </w:rPr>
      </w:pPr>
      <w:r>
        <w:rPr>
          <w:lang w:val="pt-BR"/>
        </w:rPr>
        <w:t xml:space="preserve">Para Borges (2001) não haverá crescimento econômico em longo prazo sem progresso social </w:t>
      </w:r>
      <w:r w:rsidR="007C37F8">
        <w:rPr>
          <w:lang w:val="pt-BR"/>
        </w:rPr>
        <w:t>e</w:t>
      </w:r>
      <w:r>
        <w:rPr>
          <w:lang w:val="pt-BR"/>
        </w:rPr>
        <w:t xml:space="preserve"> sem cuidado ambiental. Da mesma forma que o crescimento econômico não se sustenta sem uma equivalência social e ambiental, programas sociais ou ambientais corporativos não se sustentarão se não houver o equilíbrio econômico das empresas. No entanto, na prática, pode haver dificuldades de integrar considerações ambientais, sociais e econômicas de uma maneira que englobe todas as interações e </w:t>
      </w:r>
      <w:r>
        <w:rPr>
          <w:lang w:val="pt-BR"/>
        </w:rPr>
        <w:lastRenderedPageBreak/>
        <w:t xml:space="preserve">ligações e maximize os ganhos e as vantagens (Pieroni </w:t>
      </w:r>
      <w:r>
        <w:rPr>
          <w:i/>
          <w:lang w:val="pt-BR"/>
        </w:rPr>
        <w:t>et al</w:t>
      </w:r>
      <w:r>
        <w:rPr>
          <w:lang w:val="pt-BR"/>
        </w:rPr>
        <w:t>., 2019). Para uma maior compreensão destas questões, apresenta-se os conceitos de sustentabilidade, em seus três pilares: econômico, social e ambiental.</w:t>
      </w:r>
    </w:p>
    <w:p w14:paraId="0BD0EFF3" w14:textId="77777777" w:rsidR="000166E3" w:rsidRDefault="008C3733" w:rsidP="001C5B6C">
      <w:pPr>
        <w:spacing w:after="120" w:line="360" w:lineRule="auto"/>
        <w:ind w:firstLine="284"/>
        <w:rPr>
          <w:lang w:val="pt-BR"/>
        </w:rPr>
      </w:pPr>
      <w:r>
        <w:rPr>
          <w:b/>
          <w:lang w:val="pt-BR"/>
        </w:rPr>
        <w:t>Sustentabilidade Econômica</w:t>
      </w:r>
      <w:r>
        <w:rPr>
          <w:lang w:val="pt-BR"/>
        </w:rPr>
        <w:t xml:space="preserve"> – Cohen e </w:t>
      </w:r>
      <w:proofErr w:type="spellStart"/>
      <w:r>
        <w:rPr>
          <w:lang w:val="pt-BR"/>
        </w:rPr>
        <w:t>Winn</w:t>
      </w:r>
      <w:proofErr w:type="spellEnd"/>
      <w:r>
        <w:rPr>
          <w:lang w:val="pt-BR"/>
        </w:rPr>
        <w:t xml:space="preserve"> (2007), argumentam que esta dimensão, foca nas oportunidades e na utilização de recursos para que as empresas alcancem modelos de negócio duradouros, mas muitas vezes estas não se preocupam com as consequências que advém da sua exploração. Por outro lado, segundo </w:t>
      </w:r>
      <w:proofErr w:type="spellStart"/>
      <w:r>
        <w:rPr>
          <w:lang w:val="pt-BR"/>
        </w:rPr>
        <w:t>Gibbes</w:t>
      </w:r>
      <w:proofErr w:type="spellEnd"/>
      <w:r>
        <w:rPr>
          <w:lang w:val="pt-BR"/>
        </w:rPr>
        <w:t xml:space="preserve"> </w:t>
      </w:r>
      <w:r>
        <w:rPr>
          <w:i/>
          <w:lang w:val="pt-BR"/>
        </w:rPr>
        <w:t>et al</w:t>
      </w:r>
      <w:r>
        <w:rPr>
          <w:lang w:val="pt-BR"/>
        </w:rPr>
        <w:t xml:space="preserve">. (2020), a sustentabilidade econômica está relacionada com a utilização dos recursos de forma rentável, pode ser definida como a produção ou a extração de recursos naturais preservando os mesmos, para futuras produções. Ou seja, é por meio da sustentabilidade econômica que as empresas incorporam seu desempenho econômico de longo prazo e planejam suas estratégias operacionais para continuarem em funcionamento. Essa dimensão, contribui então com o aumento da produção e das atividades desenvolvidas pelas empresas, sem prejudicar o meio ambiente e a sociedade, sendo essencial para o desenvolvimento sustentável (Pieroni </w:t>
      </w:r>
      <w:r>
        <w:rPr>
          <w:i/>
          <w:lang w:val="pt-BR"/>
        </w:rPr>
        <w:t>et al</w:t>
      </w:r>
      <w:r>
        <w:rPr>
          <w:lang w:val="pt-BR"/>
        </w:rPr>
        <w:t>., 2019).</w:t>
      </w:r>
    </w:p>
    <w:p w14:paraId="0BD0EFF4" w14:textId="71A592FC" w:rsidR="000166E3" w:rsidRDefault="008C3733" w:rsidP="001C5B6C">
      <w:pPr>
        <w:spacing w:after="120" w:line="360" w:lineRule="auto"/>
        <w:ind w:firstLine="284"/>
        <w:rPr>
          <w:lang w:val="pt-BR"/>
        </w:rPr>
      </w:pPr>
      <w:r>
        <w:rPr>
          <w:b/>
          <w:lang w:val="pt-BR"/>
        </w:rPr>
        <w:t>Sustentabilidade Ambiental</w:t>
      </w:r>
      <w:r>
        <w:rPr>
          <w:lang w:val="pt-BR"/>
        </w:rPr>
        <w:t xml:space="preserve"> – O objetivo desta dimensão é a capacidade de manter a qualidade e diversidade do ecossistema e contribuir para elaboração de estratégias e oportunidades proativas em direção a um desenvolvimento sustentável. Nas empresas, visa a preservação ambiental, por meio da identificação e exploração de oportunidades de negócios, podendo desenvolver produtos e serviços que não prejudiquem o meio ambiente (</w:t>
      </w:r>
      <w:proofErr w:type="spellStart"/>
      <w:r>
        <w:rPr>
          <w:lang w:val="pt-BR"/>
        </w:rPr>
        <w:t>Spiegler</w:t>
      </w:r>
      <w:proofErr w:type="spellEnd"/>
      <w:r>
        <w:rPr>
          <w:lang w:val="pt-BR"/>
        </w:rPr>
        <w:t xml:space="preserve">; Halberstadt, 2018). Portanto, a gestão dos recursos naturais nos processos e atividades das empresas, é essencial para que estas, não produzam impacto negativo ao meio ambiente. Está relacionada com as outras dimensões da sustentabilidade, uma vez que está ligada a sustentabilidade social, com preocupações éticas, dando ênfase a um ambiente ético de trabalho nas empresas e papéis éticos do </w:t>
      </w:r>
      <w:r>
        <w:rPr>
          <w:lang w:val="pt-BR"/>
        </w:rPr>
        <w:lastRenderedPageBreak/>
        <w:t>consumidor (Kim; Kim, 2017). E se relaciona com a dimensão econômica, por meio de práticas que podem afetar positivamente o desempenho econômico e o resultado financeiro das empresas (</w:t>
      </w:r>
      <w:proofErr w:type="spellStart"/>
      <w:r>
        <w:rPr>
          <w:lang w:val="pt-BR"/>
        </w:rPr>
        <w:t>Mafini</w:t>
      </w:r>
      <w:proofErr w:type="spellEnd"/>
      <w:r>
        <w:rPr>
          <w:lang w:val="pt-BR"/>
        </w:rPr>
        <w:t xml:space="preserve">; </w:t>
      </w:r>
      <w:proofErr w:type="spellStart"/>
      <w:r>
        <w:rPr>
          <w:lang w:val="pt-BR"/>
        </w:rPr>
        <w:t>Muposhi</w:t>
      </w:r>
      <w:proofErr w:type="spellEnd"/>
      <w:r>
        <w:rPr>
          <w:lang w:val="pt-BR"/>
        </w:rPr>
        <w:t>, 2017). Assim, é necessário que as empresas incluam em seus objetivos</w:t>
      </w:r>
      <w:r w:rsidR="00C37875">
        <w:rPr>
          <w:lang w:val="pt-BR"/>
        </w:rPr>
        <w:t>,</w:t>
      </w:r>
      <w:r>
        <w:rPr>
          <w:lang w:val="pt-BR"/>
        </w:rPr>
        <w:t xml:space="preserve"> os cuidados com meio ambiente e com a contínua melhoria de sua reputação.</w:t>
      </w:r>
    </w:p>
    <w:p w14:paraId="0BD0EFF5" w14:textId="1E5C42CB" w:rsidR="000166E3" w:rsidRDefault="008C3733" w:rsidP="001C5B6C">
      <w:pPr>
        <w:spacing w:after="120" w:line="360" w:lineRule="auto"/>
        <w:ind w:firstLine="284"/>
        <w:rPr>
          <w:lang w:val="pt-BR"/>
        </w:rPr>
      </w:pPr>
      <w:r>
        <w:rPr>
          <w:b/>
          <w:lang w:val="pt-BR"/>
        </w:rPr>
        <w:t xml:space="preserve">Sustentabilidade </w:t>
      </w:r>
      <w:r w:rsidR="000F0939">
        <w:rPr>
          <w:b/>
          <w:lang w:val="pt-BR"/>
        </w:rPr>
        <w:t>S</w:t>
      </w:r>
      <w:r>
        <w:rPr>
          <w:b/>
          <w:lang w:val="pt-BR"/>
        </w:rPr>
        <w:t>ocial</w:t>
      </w:r>
      <w:r>
        <w:rPr>
          <w:lang w:val="pt-BR"/>
        </w:rPr>
        <w:t xml:space="preserve"> – </w:t>
      </w:r>
      <w:r w:rsidR="00460A69">
        <w:rPr>
          <w:lang w:val="pt-BR"/>
        </w:rPr>
        <w:t>E</w:t>
      </w:r>
      <w:r>
        <w:rPr>
          <w:lang w:val="pt-BR"/>
        </w:rPr>
        <w:t>sta dimensão diz respeito</w:t>
      </w:r>
      <w:r w:rsidR="009A0FB0">
        <w:rPr>
          <w:lang w:val="pt-BR"/>
        </w:rPr>
        <w:t xml:space="preserve"> </w:t>
      </w:r>
      <w:r>
        <w:rPr>
          <w:lang w:val="pt-BR"/>
        </w:rPr>
        <w:t>como o indivíduo e a sociedade vivem e se desenvolvem, sem deixar de se preocupar com o planeta (</w:t>
      </w:r>
      <w:proofErr w:type="spellStart"/>
      <w:r>
        <w:rPr>
          <w:lang w:val="pt-BR"/>
        </w:rPr>
        <w:t>Colantonio</w:t>
      </w:r>
      <w:proofErr w:type="spellEnd"/>
      <w:r>
        <w:rPr>
          <w:lang w:val="pt-BR"/>
        </w:rPr>
        <w:t xml:space="preserve">, 2009). A sustentabilidade social pode ser vista principalmente por três aspectos chave: capital humano, bem-estar e capital social. O capital humano refere-se ao indivíduo, suas experiências e habilidades; enquanto o bem-estar está ligado ao estado físico e mental </w:t>
      </w:r>
      <w:r w:rsidR="0060356B">
        <w:rPr>
          <w:lang w:val="pt-BR"/>
        </w:rPr>
        <w:t>em</w:t>
      </w:r>
      <w:r>
        <w:rPr>
          <w:lang w:val="pt-BR"/>
        </w:rPr>
        <w:t xml:space="preserve"> se sentir bem e saudável; e o capital social, refere-se às organizações civis, movida pela confiança e facilidade de ação coletiva, e regulam as interações entre as pessoas e seus grupos sociais (</w:t>
      </w:r>
      <w:proofErr w:type="spellStart"/>
      <w:r>
        <w:rPr>
          <w:lang w:val="pt-BR"/>
        </w:rPr>
        <w:t>Weingaertner</w:t>
      </w:r>
      <w:proofErr w:type="spellEnd"/>
      <w:r>
        <w:rPr>
          <w:lang w:val="pt-BR"/>
        </w:rPr>
        <w:t xml:space="preserve">; </w:t>
      </w:r>
      <w:proofErr w:type="spellStart"/>
      <w:r>
        <w:rPr>
          <w:lang w:val="pt-BR"/>
        </w:rPr>
        <w:t>Moberg</w:t>
      </w:r>
      <w:proofErr w:type="spellEnd"/>
      <w:r>
        <w:rPr>
          <w:lang w:val="pt-BR"/>
        </w:rPr>
        <w:t>, 2014). Nesse sentindo, a sustentabilidade social também pode desempenhar um papel essencial nos negócios, que têm influência no bem-estar dos seus colaboradores e partes interessadas, ou na sociedade como um todo. Assim, esta dimensão está relacionada com uma maior equidade social, melhores níveis de qualidade de vida, relações solidárias e cooperativas, e abrange tanto o ambiente interno quanto o externo das empresas.</w:t>
      </w:r>
    </w:p>
    <w:p w14:paraId="0BD0EFF6" w14:textId="77777777" w:rsidR="000166E3" w:rsidRDefault="008C3733" w:rsidP="001C5B6C">
      <w:pPr>
        <w:spacing w:after="120" w:line="360" w:lineRule="auto"/>
        <w:ind w:firstLine="284"/>
        <w:rPr>
          <w:lang w:val="pt-BR"/>
        </w:rPr>
      </w:pPr>
      <w:r>
        <w:rPr>
          <w:lang w:val="pt-BR"/>
        </w:rPr>
        <w:t xml:space="preserve">As práticas da sustentabilidade social, no ambiente interno da empresa, dizem respeito à capacitação e educação de funcionários, por meio de treinamentos e desenvolvimento de carreira. Envolve também, a promoção da saúde e segurança, de ambiente de trabalhos equitativos, com salários justos, benefícios, bem-estar físico e psicológico dos trabalhadores (ABIT, 2017). Já no ambiente externo das empresas, abordam práticas como o desenvolvimento da comunidade, segurança física do produto, educação e informações aos consumidores (Phan </w:t>
      </w:r>
      <w:r>
        <w:rPr>
          <w:i/>
          <w:lang w:val="pt-BR"/>
        </w:rPr>
        <w:t>et al</w:t>
      </w:r>
      <w:r>
        <w:rPr>
          <w:lang w:val="pt-BR"/>
        </w:rPr>
        <w:t>., 2020).</w:t>
      </w:r>
    </w:p>
    <w:p w14:paraId="0BD0EFF7" w14:textId="77777777" w:rsidR="000166E3" w:rsidRDefault="008C3733" w:rsidP="001C5B6C">
      <w:pPr>
        <w:spacing w:after="120" w:line="360" w:lineRule="auto"/>
        <w:ind w:firstLine="284"/>
        <w:rPr>
          <w:lang w:val="pt-BR"/>
        </w:rPr>
      </w:pPr>
      <w:r>
        <w:rPr>
          <w:lang w:val="pt-BR"/>
        </w:rPr>
        <w:lastRenderedPageBreak/>
        <w:t>No ambiente econômico, as indústrias têxtis e de vestuário, são consideradas umas das mais poluentes desde o início dos processos de produção, com a seleção do material a ser utilizado, até o transporte, venda e descarte do produto (Lou; Cao, 2019). No entanto, De Carli (2011), afirma que a produção têxtil e de vestuário preocupa-se com as questões de sustentabilidade ambiental, social e econômica. Para tanto, é necessário modificar velhos procedimentos organizacionais relacionados aos processos produtivos desde a seleção da matéria prima e o descarte de produtos.</w:t>
      </w:r>
    </w:p>
    <w:p w14:paraId="0BD0EFF8" w14:textId="0AA4CB92" w:rsidR="000166E3" w:rsidRDefault="008C3733" w:rsidP="001C5B6C">
      <w:pPr>
        <w:spacing w:after="120" w:line="360" w:lineRule="auto"/>
        <w:ind w:firstLine="284"/>
        <w:rPr>
          <w:lang w:val="pt-BR"/>
        </w:rPr>
      </w:pPr>
      <w:r>
        <w:rPr>
          <w:lang w:val="pt-BR"/>
        </w:rPr>
        <w:t>A estrutura produtiva da cadeia têxtil compreende a produção de fibra</w:t>
      </w:r>
      <w:r w:rsidR="00576661">
        <w:rPr>
          <w:lang w:val="pt-BR"/>
        </w:rPr>
        <w:t>s</w:t>
      </w:r>
      <w:r>
        <w:rPr>
          <w:lang w:val="pt-BR"/>
        </w:rPr>
        <w:t xml:space="preserve">, fiação (fios), a tecelagem e malharia (tecidos) e o beneficiamento (tinturaria, estamparia, lavanderia) e uma etapa mais à frente compreende as atividades de confecção de artigos de vestuário, bem como artigos da linha lar e artigos técnicos (Mendes Júnior, 2017). Para este autor, seu processo produtivo ainda engloba uma interação com a indústria química, uma vez que são necessários insumos químicos para várias etapas da produção, desde as fibras até os produtos acabados e com a indústria de bem de capital, através das máquinas e equipamentos necessários para produção. </w:t>
      </w:r>
    </w:p>
    <w:p w14:paraId="0BD0EFF9" w14:textId="0B434B7B" w:rsidR="000166E3" w:rsidRPr="005F1A2A" w:rsidRDefault="008C3733" w:rsidP="001C5B6C">
      <w:pPr>
        <w:spacing w:after="120" w:line="360" w:lineRule="auto"/>
        <w:ind w:firstLine="284"/>
        <w:rPr>
          <w:lang w:val="pt-BR"/>
        </w:rPr>
      </w:pPr>
      <w:r>
        <w:rPr>
          <w:lang w:val="pt-BR"/>
        </w:rPr>
        <w:t>Por isso, a cadeia de valor têxtil é conhecida por gerar impactos nas três dimensões da sustentabilidade. Na perspectiva econômica, a pressão competitiva por preços baixos, faz com que os produtos sejam projetados e produzidos com uma velocidade rápida com a eliminação precoce dos mesmos, possibilitando então lucros rápidos (</w:t>
      </w:r>
      <w:proofErr w:type="spellStart"/>
      <w:r>
        <w:rPr>
          <w:lang w:val="pt-BR"/>
        </w:rPr>
        <w:t>Gondak</w:t>
      </w:r>
      <w:proofErr w:type="spellEnd"/>
      <w:r>
        <w:rPr>
          <w:lang w:val="pt-BR"/>
        </w:rPr>
        <w:t xml:space="preserve">; Francisco, 2020). Esses produtos, na maior parte das vezes são levados para aterros sanitários e </w:t>
      </w:r>
      <w:r w:rsidR="00E7554C">
        <w:rPr>
          <w:lang w:val="pt-BR"/>
        </w:rPr>
        <w:t>incineração</w:t>
      </w:r>
      <w:r>
        <w:rPr>
          <w:lang w:val="pt-BR"/>
        </w:rPr>
        <w:t>, o que gera uma perda de valor de recursos e materiais, que poderiam ter o seu valor retido (</w:t>
      </w:r>
      <w:proofErr w:type="spellStart"/>
      <w:r>
        <w:rPr>
          <w:lang w:val="pt-BR"/>
        </w:rPr>
        <w:t>Palacios</w:t>
      </w:r>
      <w:proofErr w:type="spellEnd"/>
      <w:r>
        <w:rPr>
          <w:lang w:val="pt-BR"/>
        </w:rPr>
        <w:t xml:space="preserve">-Mateo </w:t>
      </w:r>
      <w:r>
        <w:rPr>
          <w:i/>
          <w:lang w:val="pt-BR"/>
        </w:rPr>
        <w:t>et al</w:t>
      </w:r>
      <w:r>
        <w:rPr>
          <w:lang w:val="pt-BR"/>
        </w:rPr>
        <w:t xml:space="preserve">., 2021). </w:t>
      </w:r>
    </w:p>
    <w:p w14:paraId="0BD0EFFB" w14:textId="71317CC5" w:rsidR="000166E3" w:rsidRDefault="008C3733" w:rsidP="001C5B6C">
      <w:pPr>
        <w:spacing w:after="120" w:line="360" w:lineRule="auto"/>
        <w:ind w:firstLine="284"/>
        <w:rPr>
          <w:bCs/>
          <w:lang w:val="pt-BR"/>
        </w:rPr>
      </w:pPr>
      <w:r>
        <w:rPr>
          <w:bCs/>
          <w:lang w:val="pt-BR"/>
        </w:rPr>
        <w:t>No que se refere à dimensão social, o setor têxtil, é tipicamente caracterizado por más condições de trabalho e violações dos direitos humanos (</w:t>
      </w:r>
      <w:proofErr w:type="spellStart"/>
      <w:r>
        <w:rPr>
          <w:bCs/>
          <w:lang w:val="pt-BR"/>
        </w:rPr>
        <w:t>Notten</w:t>
      </w:r>
      <w:proofErr w:type="spellEnd"/>
      <w:r>
        <w:rPr>
          <w:bCs/>
          <w:lang w:val="pt-BR"/>
        </w:rPr>
        <w:t xml:space="preserve">, 2020). Isso ocorre, devido à fragmentação e complexidade da cadeia de fornecimento têxtil e ao uso de </w:t>
      </w:r>
      <w:r>
        <w:rPr>
          <w:bCs/>
          <w:lang w:val="pt-BR"/>
        </w:rPr>
        <w:lastRenderedPageBreak/>
        <w:t>subcontratações que torna</w:t>
      </w:r>
      <w:r w:rsidR="00AC4445">
        <w:rPr>
          <w:bCs/>
          <w:lang w:val="pt-BR"/>
        </w:rPr>
        <w:t>m</w:t>
      </w:r>
      <w:r>
        <w:rPr>
          <w:bCs/>
          <w:lang w:val="pt-BR"/>
        </w:rPr>
        <w:t xml:space="preserve"> difícil o monitoramento de condições de trabalho justas (</w:t>
      </w:r>
      <w:proofErr w:type="spellStart"/>
      <w:r>
        <w:rPr>
          <w:bCs/>
          <w:lang w:val="pt-BR"/>
        </w:rPr>
        <w:t>DiVito</w:t>
      </w:r>
      <w:proofErr w:type="spellEnd"/>
      <w:r>
        <w:rPr>
          <w:bCs/>
          <w:lang w:val="pt-BR"/>
        </w:rPr>
        <w:t xml:space="preserve">; </w:t>
      </w:r>
      <w:proofErr w:type="spellStart"/>
      <w:r>
        <w:rPr>
          <w:bCs/>
          <w:lang w:val="pt-BR"/>
        </w:rPr>
        <w:t>Bohnsack</w:t>
      </w:r>
      <w:proofErr w:type="spellEnd"/>
      <w:r>
        <w:rPr>
          <w:bCs/>
          <w:lang w:val="pt-BR"/>
        </w:rPr>
        <w:t>, 2017). Assim, particularmente em países de produção de baixa renda os trabalhadores sofrem com salários baixos, longas horas de trabalho e limitações a liberdade de associação, sendo que as mulheres e crianças compõem a maioria da força de trabalho nos países em desenvolvimento e aceitam salários mais baixos e muitas vezes não possuem nenhum benefício (</w:t>
      </w:r>
      <w:proofErr w:type="spellStart"/>
      <w:r>
        <w:rPr>
          <w:bCs/>
          <w:lang w:val="pt-BR"/>
        </w:rPr>
        <w:t>Gondak</w:t>
      </w:r>
      <w:proofErr w:type="spellEnd"/>
      <w:r>
        <w:rPr>
          <w:bCs/>
          <w:lang w:val="pt-BR"/>
        </w:rPr>
        <w:t xml:space="preserve">; Francisco, 2020). Porém, esta situação tem que mudar, pois, para fazer um relatório de sustentabilidade, a empresa deve seguir indicadores de acordo com os padrões (GRI) da </w:t>
      </w:r>
      <w:r>
        <w:rPr>
          <w:bCs/>
          <w:i/>
          <w:lang w:val="pt-BR"/>
        </w:rPr>
        <w:t xml:space="preserve">Global </w:t>
      </w:r>
      <w:proofErr w:type="spellStart"/>
      <w:r>
        <w:rPr>
          <w:bCs/>
          <w:i/>
          <w:lang w:val="pt-BR"/>
        </w:rPr>
        <w:t>Reporting</w:t>
      </w:r>
      <w:proofErr w:type="spellEnd"/>
      <w:r>
        <w:rPr>
          <w:bCs/>
          <w:i/>
          <w:lang w:val="pt-BR"/>
        </w:rPr>
        <w:t xml:space="preserve"> </w:t>
      </w:r>
      <w:proofErr w:type="spellStart"/>
      <w:r>
        <w:rPr>
          <w:bCs/>
          <w:i/>
          <w:lang w:val="pt-BR"/>
        </w:rPr>
        <w:t>Initiative</w:t>
      </w:r>
      <w:proofErr w:type="spellEnd"/>
      <w:r>
        <w:rPr>
          <w:bCs/>
          <w:lang w:val="pt-BR"/>
        </w:rPr>
        <w:t>.</w:t>
      </w:r>
    </w:p>
    <w:p w14:paraId="22E5D96E" w14:textId="77777777" w:rsidR="00CA002A" w:rsidRDefault="00CA002A" w:rsidP="001C5B6C">
      <w:pPr>
        <w:spacing w:after="120" w:line="360" w:lineRule="auto"/>
        <w:ind w:firstLine="284"/>
        <w:rPr>
          <w:lang w:val="pt-BR"/>
        </w:rPr>
      </w:pPr>
    </w:p>
    <w:p w14:paraId="0BD0EFFC" w14:textId="7BA050E0" w:rsidR="000166E3" w:rsidRDefault="00CA002A">
      <w:pPr>
        <w:rPr>
          <w:b/>
          <w:bCs/>
          <w:lang w:val="pt-BR"/>
        </w:rPr>
      </w:pPr>
      <w:r>
        <w:rPr>
          <w:b/>
          <w:bCs/>
          <w:lang w:val="pt-BR"/>
        </w:rPr>
        <w:t xml:space="preserve">3. Indicadores da </w:t>
      </w:r>
      <w:r>
        <w:rPr>
          <w:b/>
          <w:bCs/>
          <w:i/>
          <w:iCs/>
          <w:lang w:val="pt-BR"/>
        </w:rPr>
        <w:t xml:space="preserve">global </w:t>
      </w:r>
      <w:proofErr w:type="spellStart"/>
      <w:r>
        <w:rPr>
          <w:b/>
          <w:bCs/>
          <w:i/>
          <w:iCs/>
          <w:lang w:val="pt-BR"/>
        </w:rPr>
        <w:t>reporting</w:t>
      </w:r>
      <w:proofErr w:type="spellEnd"/>
      <w:r w:rsidR="008C3733">
        <w:rPr>
          <w:b/>
          <w:bCs/>
          <w:lang w:val="pt-BR"/>
        </w:rPr>
        <w:t xml:space="preserve"> </w:t>
      </w:r>
      <w:proofErr w:type="spellStart"/>
      <w:r>
        <w:rPr>
          <w:b/>
          <w:bCs/>
          <w:i/>
          <w:iCs/>
          <w:lang w:val="pt-BR"/>
        </w:rPr>
        <w:t>initiative</w:t>
      </w:r>
      <w:proofErr w:type="spellEnd"/>
      <w:r>
        <w:rPr>
          <w:b/>
          <w:bCs/>
          <w:lang w:val="pt-BR"/>
        </w:rPr>
        <w:t xml:space="preserve"> (</w:t>
      </w:r>
      <w:proofErr w:type="spellStart"/>
      <w:r>
        <w:rPr>
          <w:b/>
          <w:bCs/>
          <w:lang w:val="pt-BR"/>
        </w:rPr>
        <w:t>gri</w:t>
      </w:r>
      <w:proofErr w:type="spellEnd"/>
      <w:r>
        <w:rPr>
          <w:b/>
          <w:bCs/>
          <w:lang w:val="pt-BR"/>
        </w:rPr>
        <w:t>)</w:t>
      </w:r>
    </w:p>
    <w:p w14:paraId="15761DD1" w14:textId="77777777" w:rsidR="00B918EB" w:rsidRDefault="00B918EB">
      <w:pPr>
        <w:rPr>
          <w:b/>
          <w:bCs/>
          <w:lang w:val="pt-BR"/>
        </w:rPr>
      </w:pPr>
    </w:p>
    <w:p w14:paraId="0BD0EFFD" w14:textId="77777777" w:rsidR="000166E3" w:rsidRDefault="000166E3">
      <w:pPr>
        <w:rPr>
          <w:bCs/>
          <w:lang w:val="pt-BR"/>
        </w:rPr>
      </w:pPr>
    </w:p>
    <w:p w14:paraId="0BD0EFFE" w14:textId="0105F881" w:rsidR="000166E3" w:rsidRPr="005F1A2A" w:rsidRDefault="008C3733">
      <w:pPr>
        <w:spacing w:line="360" w:lineRule="auto"/>
        <w:ind w:firstLine="283"/>
        <w:rPr>
          <w:lang w:val="pt-BR"/>
        </w:rPr>
      </w:pPr>
      <w:r>
        <w:rPr>
          <w:bCs/>
          <w:lang w:val="pt-BR"/>
        </w:rPr>
        <w:t xml:space="preserve">O modelo mais amplamente difundido globalmente desde a Conferência do Rio em 1992 é o da </w:t>
      </w:r>
      <w:r>
        <w:rPr>
          <w:bCs/>
          <w:i/>
          <w:lang w:val="pt-BR"/>
        </w:rPr>
        <w:t xml:space="preserve">Global </w:t>
      </w:r>
      <w:proofErr w:type="spellStart"/>
      <w:r>
        <w:rPr>
          <w:bCs/>
          <w:i/>
          <w:lang w:val="pt-BR"/>
        </w:rPr>
        <w:t>Reporting</w:t>
      </w:r>
      <w:proofErr w:type="spellEnd"/>
      <w:r>
        <w:rPr>
          <w:bCs/>
          <w:i/>
          <w:lang w:val="pt-BR"/>
        </w:rPr>
        <w:t xml:space="preserve"> </w:t>
      </w:r>
      <w:proofErr w:type="spellStart"/>
      <w:r>
        <w:rPr>
          <w:bCs/>
          <w:i/>
          <w:lang w:val="pt-BR"/>
        </w:rPr>
        <w:t>Initiative</w:t>
      </w:r>
      <w:proofErr w:type="spellEnd"/>
      <w:r>
        <w:rPr>
          <w:bCs/>
          <w:lang w:val="pt-BR"/>
        </w:rPr>
        <w:t xml:space="preserve"> - GRI, </w:t>
      </w:r>
      <w:r>
        <w:rPr>
          <w:bCs/>
          <w:shd w:val="clear" w:color="auto" w:fill="FFFFFF"/>
          <w:lang w:val="pt-BR"/>
        </w:rPr>
        <w:t xml:space="preserve">uma organização internacional independente criada em 1997 em Boston e </w:t>
      </w:r>
      <w:r>
        <w:rPr>
          <w:bCs/>
          <w:lang w:val="pt-BR"/>
        </w:rPr>
        <w:t xml:space="preserve">que apresenta diretrizes para relatórios de sustentabilidade como uma forma de auxiliar as organizações a </w:t>
      </w:r>
      <w:r w:rsidR="00D640DD">
        <w:rPr>
          <w:bCs/>
          <w:lang w:val="pt-BR"/>
        </w:rPr>
        <w:t>relatarem</w:t>
      </w:r>
      <w:r>
        <w:rPr>
          <w:bCs/>
          <w:lang w:val="pt-BR"/>
        </w:rPr>
        <w:t xml:space="preserve"> seu desempenho ambiental, social e econômico e aumentar sua responsabilidade. Em 2000 a GRI lançou suas primeiras diretrizes de relatórios de sustentabilidade, conhecidas como G1 (2023a). O Quadro 1 fornece uma visão geral dos tópicos abordados pelas Diretrizes da GRI, organizados em três dimensões essenciais: econômica, social e ambiental.</w:t>
      </w:r>
    </w:p>
    <w:p w14:paraId="0BD0EFFF" w14:textId="77777777" w:rsidR="000166E3" w:rsidRPr="005F1A2A" w:rsidRDefault="000166E3">
      <w:pPr>
        <w:spacing w:line="360" w:lineRule="auto"/>
        <w:ind w:firstLine="283"/>
        <w:rPr>
          <w:bCs/>
          <w:lang w:val="pt-BR"/>
        </w:rPr>
      </w:pPr>
    </w:p>
    <w:p w14:paraId="0BD0F000" w14:textId="77777777" w:rsidR="000166E3" w:rsidRDefault="008C3733">
      <w:pPr>
        <w:jc w:val="center"/>
        <w:rPr>
          <w:b/>
          <w:bCs/>
          <w:color w:val="000000" w:themeColor="text1"/>
          <w:sz w:val="20"/>
          <w:lang w:val="pt-BR"/>
        </w:rPr>
      </w:pPr>
      <w:r>
        <w:rPr>
          <w:b/>
          <w:bCs/>
          <w:sz w:val="20"/>
          <w:lang w:val="pt-BR"/>
        </w:rPr>
        <w:t xml:space="preserve">Quadro 1 – Visão geral </w:t>
      </w:r>
      <w:r>
        <w:rPr>
          <w:b/>
          <w:bCs/>
          <w:color w:val="000000" w:themeColor="text1"/>
          <w:sz w:val="20"/>
          <w:lang w:val="pt-BR"/>
        </w:rPr>
        <w:t>dos tópicos abordados pelas Diretrizes GRI</w:t>
      </w:r>
    </w:p>
    <w:p w14:paraId="7C24D5A4" w14:textId="77777777" w:rsidR="00CA002A" w:rsidRDefault="00CA002A">
      <w:pPr>
        <w:jc w:val="center"/>
        <w:rPr>
          <w:b/>
          <w:bCs/>
          <w:sz w:val="20"/>
          <w:lang w:val="pt-BR"/>
        </w:rPr>
      </w:pPr>
    </w:p>
    <w:tbl>
      <w:tblPr>
        <w:tblStyle w:val="Tabelacomgrade"/>
        <w:tblW w:w="8359" w:type="dxa"/>
        <w:jc w:val="center"/>
        <w:tblLayout w:type="fixed"/>
        <w:tblLook w:val="04A0" w:firstRow="1" w:lastRow="0" w:firstColumn="1" w:lastColumn="0" w:noHBand="0" w:noVBand="1"/>
      </w:tblPr>
      <w:tblGrid>
        <w:gridCol w:w="1271"/>
        <w:gridCol w:w="1841"/>
        <w:gridCol w:w="1136"/>
        <w:gridCol w:w="4111"/>
      </w:tblGrid>
      <w:tr w:rsidR="000166E3" w:rsidRPr="008B44E1" w14:paraId="0BD0F003" w14:textId="77777777" w:rsidTr="005F1A2A">
        <w:trPr>
          <w:trHeight w:val="326"/>
          <w:jc w:val="center"/>
        </w:trPr>
        <w:tc>
          <w:tcPr>
            <w:tcW w:w="1271" w:type="dxa"/>
            <w:shd w:val="clear" w:color="auto" w:fill="FBE4D5" w:themeFill="accent2" w:themeFillTint="33"/>
            <w:vAlign w:val="center"/>
          </w:tcPr>
          <w:p w14:paraId="0BD0F001" w14:textId="77777777" w:rsidR="000166E3" w:rsidRPr="00CA002A" w:rsidRDefault="008C3733" w:rsidP="00CA002A">
            <w:pPr>
              <w:jc w:val="left"/>
              <w:rPr>
                <w:rFonts w:ascii="Arial" w:hAnsi="Arial" w:cs="Arial"/>
                <w:sz w:val="20"/>
                <w:lang w:val="pt-BR"/>
              </w:rPr>
            </w:pPr>
            <w:r w:rsidRPr="00CA002A">
              <w:rPr>
                <w:rFonts w:ascii="Arial" w:hAnsi="Arial" w:cs="Arial"/>
                <w:b/>
                <w:bCs/>
                <w:sz w:val="20"/>
                <w:lang w:val="pt-BR"/>
              </w:rPr>
              <w:t>Dimensão</w:t>
            </w:r>
          </w:p>
        </w:tc>
        <w:tc>
          <w:tcPr>
            <w:tcW w:w="7088" w:type="dxa"/>
            <w:gridSpan w:val="3"/>
            <w:shd w:val="clear" w:color="auto" w:fill="FBE4D5" w:themeFill="accent2" w:themeFillTint="33"/>
            <w:vAlign w:val="center"/>
          </w:tcPr>
          <w:p w14:paraId="0BD0F002" w14:textId="77777777" w:rsidR="000166E3" w:rsidRPr="00CA002A" w:rsidRDefault="008C3733" w:rsidP="00CA002A">
            <w:pPr>
              <w:jc w:val="center"/>
              <w:rPr>
                <w:rFonts w:ascii="Arial" w:hAnsi="Arial" w:cs="Arial"/>
                <w:sz w:val="20"/>
                <w:lang w:val="pt-BR"/>
              </w:rPr>
            </w:pPr>
            <w:r w:rsidRPr="00CA002A">
              <w:rPr>
                <w:rFonts w:ascii="Arial" w:hAnsi="Arial" w:cs="Arial"/>
                <w:b/>
                <w:bCs/>
                <w:sz w:val="20"/>
                <w:lang w:val="pt-BR"/>
              </w:rPr>
              <w:t>Lista de tópicos abordados pelas Diretrizes GRI</w:t>
            </w:r>
          </w:p>
        </w:tc>
      </w:tr>
      <w:tr w:rsidR="000166E3" w14:paraId="0BD0F009" w14:textId="77777777" w:rsidTr="005F1A2A">
        <w:trPr>
          <w:trHeight w:val="326"/>
          <w:jc w:val="center"/>
        </w:trPr>
        <w:tc>
          <w:tcPr>
            <w:tcW w:w="1271" w:type="dxa"/>
            <w:shd w:val="clear" w:color="auto" w:fill="FFFFCC"/>
            <w:vAlign w:val="center"/>
          </w:tcPr>
          <w:p w14:paraId="0BD0F004" w14:textId="77777777" w:rsidR="000166E3" w:rsidRPr="00CA002A" w:rsidRDefault="008C3733" w:rsidP="00CA002A">
            <w:pPr>
              <w:jc w:val="left"/>
              <w:rPr>
                <w:rFonts w:ascii="Arial" w:hAnsi="Arial" w:cs="Arial"/>
                <w:sz w:val="20"/>
                <w:lang w:val="pt-BR"/>
              </w:rPr>
            </w:pPr>
            <w:r w:rsidRPr="00CA002A">
              <w:rPr>
                <w:rFonts w:ascii="Arial" w:hAnsi="Arial" w:cs="Arial"/>
                <w:b/>
                <w:bCs/>
                <w:sz w:val="20"/>
                <w:lang w:val="pt-BR"/>
              </w:rPr>
              <w:t>Econômica</w:t>
            </w:r>
          </w:p>
        </w:tc>
        <w:tc>
          <w:tcPr>
            <w:tcW w:w="7088" w:type="dxa"/>
            <w:gridSpan w:val="3"/>
            <w:shd w:val="clear" w:color="auto" w:fill="FFFFCC"/>
            <w:vAlign w:val="center"/>
          </w:tcPr>
          <w:p w14:paraId="0BD0F005" w14:textId="77777777" w:rsidR="000166E3" w:rsidRPr="00CA002A" w:rsidRDefault="008C3733" w:rsidP="00CA002A">
            <w:pPr>
              <w:shd w:val="clear" w:color="auto" w:fill="FFFFCC"/>
              <w:jc w:val="left"/>
              <w:rPr>
                <w:rFonts w:ascii="Arial" w:hAnsi="Arial" w:cs="Arial"/>
                <w:sz w:val="20"/>
                <w:lang w:val="pt-BR"/>
              </w:rPr>
            </w:pPr>
            <w:r w:rsidRPr="00CA002A">
              <w:rPr>
                <w:rFonts w:ascii="Arial" w:hAnsi="Arial" w:cs="Arial"/>
                <w:sz w:val="20"/>
                <w:shd w:val="clear" w:color="auto" w:fill="FFFFCC"/>
                <w:lang w:val="pt-BR"/>
              </w:rPr>
              <w:t>Desempenho</w:t>
            </w:r>
            <w:r w:rsidRPr="00CA002A">
              <w:rPr>
                <w:rFonts w:ascii="Arial" w:hAnsi="Arial" w:cs="Arial"/>
                <w:sz w:val="20"/>
                <w:lang w:val="pt-BR"/>
              </w:rPr>
              <w:t xml:space="preserve"> Econômico</w:t>
            </w:r>
          </w:p>
          <w:p w14:paraId="0BD0F006"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Presença no Mercado</w:t>
            </w:r>
          </w:p>
          <w:p w14:paraId="0BD0F007"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Impactos Econômicos Indiretos</w:t>
            </w:r>
          </w:p>
          <w:p w14:paraId="0BD0F008"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Práticas de Compra</w:t>
            </w:r>
          </w:p>
        </w:tc>
      </w:tr>
      <w:tr w:rsidR="000166E3" w:rsidRPr="008B44E1" w14:paraId="0BD0F017" w14:textId="77777777" w:rsidTr="005F1A2A">
        <w:trPr>
          <w:trHeight w:val="1430"/>
          <w:jc w:val="center"/>
        </w:trPr>
        <w:tc>
          <w:tcPr>
            <w:tcW w:w="1271" w:type="dxa"/>
            <w:shd w:val="clear" w:color="auto" w:fill="FFE599" w:themeFill="accent4" w:themeFillTint="66"/>
            <w:vAlign w:val="center"/>
          </w:tcPr>
          <w:p w14:paraId="0BD0F00A" w14:textId="77777777" w:rsidR="000166E3" w:rsidRPr="00CA002A" w:rsidRDefault="008C3733" w:rsidP="00CA002A">
            <w:pPr>
              <w:jc w:val="left"/>
              <w:rPr>
                <w:rFonts w:ascii="Arial" w:hAnsi="Arial" w:cs="Arial"/>
                <w:sz w:val="20"/>
                <w:lang w:val="pt-BR"/>
              </w:rPr>
            </w:pPr>
            <w:r w:rsidRPr="00CA002A">
              <w:rPr>
                <w:rFonts w:ascii="Arial" w:hAnsi="Arial" w:cs="Arial"/>
                <w:b/>
                <w:bCs/>
                <w:sz w:val="20"/>
                <w:lang w:val="pt-BR"/>
              </w:rPr>
              <w:lastRenderedPageBreak/>
              <w:t>Ambiental</w:t>
            </w:r>
          </w:p>
        </w:tc>
        <w:tc>
          <w:tcPr>
            <w:tcW w:w="2977" w:type="dxa"/>
            <w:gridSpan w:val="2"/>
            <w:shd w:val="clear" w:color="auto" w:fill="FFE599" w:themeFill="accent4" w:themeFillTint="66"/>
            <w:vAlign w:val="center"/>
          </w:tcPr>
          <w:p w14:paraId="0BD0F00B"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Materiais</w:t>
            </w:r>
          </w:p>
          <w:p w14:paraId="0BD0F00C"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Energia</w:t>
            </w:r>
          </w:p>
          <w:p w14:paraId="0BD0F00D"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Água</w:t>
            </w:r>
          </w:p>
          <w:p w14:paraId="0BD0F00E"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Biodiversidade</w:t>
            </w:r>
          </w:p>
          <w:p w14:paraId="0BD0F00F"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Emissões</w:t>
            </w:r>
          </w:p>
          <w:p w14:paraId="0BD0F010"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Efluentes e Resíduos</w:t>
            </w:r>
          </w:p>
          <w:p w14:paraId="0BD0F011" w14:textId="77777777" w:rsidR="000166E3" w:rsidRPr="00CA002A" w:rsidRDefault="000166E3" w:rsidP="00CA002A">
            <w:pPr>
              <w:jc w:val="left"/>
              <w:rPr>
                <w:rFonts w:ascii="Arial" w:hAnsi="Arial" w:cs="Arial"/>
                <w:sz w:val="20"/>
                <w:lang w:val="pt-BR"/>
              </w:rPr>
            </w:pPr>
          </w:p>
        </w:tc>
        <w:tc>
          <w:tcPr>
            <w:tcW w:w="4111" w:type="dxa"/>
            <w:shd w:val="clear" w:color="auto" w:fill="FFE599" w:themeFill="accent4" w:themeFillTint="66"/>
            <w:vAlign w:val="center"/>
          </w:tcPr>
          <w:p w14:paraId="0BD0F012"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Produtos e Serviços</w:t>
            </w:r>
          </w:p>
          <w:p w14:paraId="0BD0F013"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Conformidade</w:t>
            </w:r>
          </w:p>
          <w:p w14:paraId="0BD0F014"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Transportes Geral</w:t>
            </w:r>
          </w:p>
          <w:p w14:paraId="0BD0F015"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Avaliação Ambiental de Fornecedores</w:t>
            </w:r>
          </w:p>
          <w:p w14:paraId="0BD0F016"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Mecanismos de Queixas e Reclamações Relativas a Impactos Ambientais</w:t>
            </w:r>
          </w:p>
        </w:tc>
      </w:tr>
      <w:tr w:rsidR="000166E3" w:rsidRPr="008B44E1" w14:paraId="0BD0F022" w14:textId="77777777" w:rsidTr="005F1A2A">
        <w:trPr>
          <w:trHeight w:val="897"/>
          <w:jc w:val="center"/>
        </w:trPr>
        <w:tc>
          <w:tcPr>
            <w:tcW w:w="1271" w:type="dxa"/>
            <w:vMerge w:val="restart"/>
            <w:shd w:val="clear" w:color="auto" w:fill="FFE599" w:themeFill="accent4" w:themeFillTint="66"/>
            <w:vAlign w:val="center"/>
          </w:tcPr>
          <w:p w14:paraId="0BD0F018" w14:textId="77777777" w:rsidR="000166E3" w:rsidRPr="00CA002A" w:rsidRDefault="008C3733" w:rsidP="00CA002A">
            <w:pPr>
              <w:jc w:val="left"/>
              <w:rPr>
                <w:rFonts w:ascii="Arial" w:hAnsi="Arial" w:cs="Arial"/>
                <w:sz w:val="20"/>
                <w:lang w:val="pt-BR"/>
              </w:rPr>
            </w:pPr>
            <w:r w:rsidRPr="00CA002A">
              <w:rPr>
                <w:rFonts w:ascii="Arial" w:hAnsi="Arial" w:cs="Arial"/>
                <w:b/>
                <w:bCs/>
                <w:sz w:val="20"/>
                <w:lang w:val="pt-BR"/>
              </w:rPr>
              <w:t>Social</w:t>
            </w:r>
          </w:p>
        </w:tc>
        <w:tc>
          <w:tcPr>
            <w:tcW w:w="1841" w:type="dxa"/>
            <w:shd w:val="clear" w:color="auto" w:fill="FFD966" w:themeFill="accent4" w:themeFillTint="99"/>
            <w:vAlign w:val="center"/>
          </w:tcPr>
          <w:p w14:paraId="0BD0F019" w14:textId="77777777" w:rsidR="000166E3" w:rsidRPr="00CA002A" w:rsidRDefault="008C3733" w:rsidP="00CA002A">
            <w:pPr>
              <w:jc w:val="left"/>
              <w:rPr>
                <w:rFonts w:ascii="Arial" w:hAnsi="Arial" w:cs="Arial"/>
                <w:sz w:val="20"/>
                <w:lang w:val="pt-BR"/>
              </w:rPr>
            </w:pPr>
            <w:r w:rsidRPr="00CA002A">
              <w:rPr>
                <w:rFonts w:ascii="Arial" w:hAnsi="Arial" w:cs="Arial"/>
                <w:b/>
                <w:bCs/>
                <w:sz w:val="20"/>
                <w:lang w:val="pt-BR"/>
              </w:rPr>
              <w:t>Práticas Trabalhistas e Trabalho Decente</w:t>
            </w:r>
          </w:p>
        </w:tc>
        <w:tc>
          <w:tcPr>
            <w:tcW w:w="5247" w:type="dxa"/>
            <w:gridSpan w:val="2"/>
            <w:shd w:val="clear" w:color="auto" w:fill="FFD966" w:themeFill="accent4" w:themeFillTint="99"/>
            <w:vAlign w:val="center"/>
          </w:tcPr>
          <w:p w14:paraId="0BD0F01A" w14:textId="77777777" w:rsidR="000166E3" w:rsidRPr="00CA002A" w:rsidRDefault="008C3733" w:rsidP="00CA002A">
            <w:pPr>
              <w:shd w:val="clear" w:color="auto" w:fill="FFD966" w:themeFill="accent4" w:themeFillTint="99"/>
              <w:jc w:val="left"/>
              <w:rPr>
                <w:rFonts w:ascii="Arial" w:hAnsi="Arial" w:cs="Arial"/>
                <w:sz w:val="20"/>
                <w:lang w:val="pt-BR"/>
              </w:rPr>
            </w:pPr>
            <w:r w:rsidRPr="00CA002A">
              <w:rPr>
                <w:rFonts w:ascii="Arial" w:hAnsi="Arial" w:cs="Arial"/>
                <w:sz w:val="20"/>
                <w:lang w:val="pt-BR"/>
              </w:rPr>
              <w:t>Emprego</w:t>
            </w:r>
          </w:p>
          <w:p w14:paraId="0BD0F01B" w14:textId="77777777" w:rsidR="000166E3" w:rsidRPr="00CA002A" w:rsidRDefault="008C3733" w:rsidP="00CA002A">
            <w:pPr>
              <w:shd w:val="clear" w:color="auto" w:fill="FFD966" w:themeFill="accent4" w:themeFillTint="99"/>
              <w:jc w:val="left"/>
              <w:rPr>
                <w:rFonts w:ascii="Arial" w:hAnsi="Arial" w:cs="Arial"/>
                <w:sz w:val="20"/>
                <w:lang w:val="pt-BR"/>
              </w:rPr>
            </w:pPr>
            <w:r w:rsidRPr="00CA002A">
              <w:rPr>
                <w:rFonts w:ascii="Arial" w:hAnsi="Arial" w:cs="Arial"/>
                <w:sz w:val="20"/>
                <w:lang w:val="pt-BR"/>
              </w:rPr>
              <w:t>Relações trabalhistas</w:t>
            </w:r>
          </w:p>
          <w:p w14:paraId="0BD0F01C"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Saúde e segurança no trabalho</w:t>
            </w:r>
          </w:p>
          <w:p w14:paraId="0BD0F01D"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Treinamento e educação</w:t>
            </w:r>
          </w:p>
          <w:p w14:paraId="0BD0F01E"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Diversidade e igualdade de oportunidades</w:t>
            </w:r>
          </w:p>
          <w:p w14:paraId="0BD0F01F"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Igualdade de remuneração para mulheres e homens</w:t>
            </w:r>
          </w:p>
          <w:p w14:paraId="0BD0F020"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Avaliação de fornecedores em práticas trabalhistas</w:t>
            </w:r>
          </w:p>
          <w:p w14:paraId="0BD0F021"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Mecanismos de queixas e reclamações relacionadas a práticas trabalhistas</w:t>
            </w:r>
          </w:p>
        </w:tc>
      </w:tr>
      <w:tr w:rsidR="000166E3" w:rsidRPr="008B44E1" w14:paraId="0BD0F02F" w14:textId="77777777" w:rsidTr="005F1A2A">
        <w:trPr>
          <w:trHeight w:val="896"/>
          <w:jc w:val="center"/>
        </w:trPr>
        <w:tc>
          <w:tcPr>
            <w:tcW w:w="1271" w:type="dxa"/>
            <w:vMerge/>
            <w:shd w:val="clear" w:color="auto" w:fill="FFE599" w:themeFill="accent4" w:themeFillTint="66"/>
            <w:vAlign w:val="center"/>
          </w:tcPr>
          <w:p w14:paraId="0BD0F023" w14:textId="77777777" w:rsidR="000166E3" w:rsidRPr="00CA002A" w:rsidRDefault="000166E3" w:rsidP="00CA002A">
            <w:pPr>
              <w:jc w:val="left"/>
              <w:rPr>
                <w:rFonts w:ascii="Arial" w:hAnsi="Arial" w:cs="Arial"/>
                <w:sz w:val="20"/>
                <w:lang w:val="pt-BR"/>
              </w:rPr>
            </w:pPr>
          </w:p>
        </w:tc>
        <w:tc>
          <w:tcPr>
            <w:tcW w:w="1841" w:type="dxa"/>
            <w:shd w:val="clear" w:color="auto" w:fill="FFE599" w:themeFill="accent4" w:themeFillTint="66"/>
            <w:vAlign w:val="center"/>
          </w:tcPr>
          <w:p w14:paraId="0BD0F024" w14:textId="77777777" w:rsidR="000166E3" w:rsidRPr="00CA002A" w:rsidRDefault="008C3733" w:rsidP="00CA002A">
            <w:pPr>
              <w:jc w:val="left"/>
              <w:rPr>
                <w:rFonts w:ascii="Arial" w:hAnsi="Arial" w:cs="Arial"/>
                <w:sz w:val="20"/>
                <w:lang w:val="pt-BR"/>
              </w:rPr>
            </w:pPr>
            <w:r w:rsidRPr="00CA002A">
              <w:rPr>
                <w:rFonts w:ascii="Arial" w:hAnsi="Arial" w:cs="Arial"/>
                <w:b/>
                <w:bCs/>
                <w:sz w:val="20"/>
                <w:lang w:val="pt-BR"/>
              </w:rPr>
              <w:t>Direitos Humanos</w:t>
            </w:r>
          </w:p>
        </w:tc>
        <w:tc>
          <w:tcPr>
            <w:tcW w:w="5247" w:type="dxa"/>
            <w:gridSpan w:val="2"/>
            <w:shd w:val="clear" w:color="auto" w:fill="FFE599" w:themeFill="accent4" w:themeFillTint="66"/>
            <w:vAlign w:val="center"/>
          </w:tcPr>
          <w:p w14:paraId="0BD0F025"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Investimentos</w:t>
            </w:r>
          </w:p>
          <w:p w14:paraId="0BD0F026"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Não discriminação</w:t>
            </w:r>
          </w:p>
          <w:p w14:paraId="0BD0F027"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Liberdade de associação e negociação coletiva</w:t>
            </w:r>
          </w:p>
          <w:p w14:paraId="0BD0F028"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Trabalho Infantil</w:t>
            </w:r>
          </w:p>
          <w:p w14:paraId="0BD0F029"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Trabalho forçado ou análogo ao escravo</w:t>
            </w:r>
          </w:p>
          <w:p w14:paraId="0BD0F02A"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Práticas de segurança</w:t>
            </w:r>
          </w:p>
          <w:p w14:paraId="0BD0F02B"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Direitos Indígenas</w:t>
            </w:r>
          </w:p>
          <w:p w14:paraId="0BD0F02C"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Avaliação</w:t>
            </w:r>
          </w:p>
          <w:p w14:paraId="0BD0F02D"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Avaliação de Fornecedores em Direitos Humanos</w:t>
            </w:r>
          </w:p>
          <w:p w14:paraId="0BD0F02E"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Mecanismos de queixas e reclamações relacionadas a Direitos Humanos</w:t>
            </w:r>
          </w:p>
        </w:tc>
      </w:tr>
      <w:tr w:rsidR="000166E3" w:rsidRPr="008B44E1" w14:paraId="0BD0F039" w14:textId="77777777" w:rsidTr="005F1A2A">
        <w:trPr>
          <w:trHeight w:val="896"/>
          <w:jc w:val="center"/>
        </w:trPr>
        <w:tc>
          <w:tcPr>
            <w:tcW w:w="1271" w:type="dxa"/>
            <w:vMerge/>
            <w:shd w:val="clear" w:color="auto" w:fill="FFE599" w:themeFill="accent4" w:themeFillTint="66"/>
            <w:vAlign w:val="center"/>
          </w:tcPr>
          <w:p w14:paraId="0BD0F030" w14:textId="77777777" w:rsidR="000166E3" w:rsidRPr="00CA002A" w:rsidRDefault="000166E3" w:rsidP="00CA002A">
            <w:pPr>
              <w:jc w:val="left"/>
              <w:rPr>
                <w:rFonts w:ascii="Arial" w:hAnsi="Arial" w:cs="Arial"/>
                <w:sz w:val="20"/>
                <w:lang w:val="pt-BR"/>
              </w:rPr>
            </w:pPr>
          </w:p>
        </w:tc>
        <w:tc>
          <w:tcPr>
            <w:tcW w:w="1841" w:type="dxa"/>
            <w:shd w:val="clear" w:color="auto" w:fill="FFFFCC"/>
            <w:vAlign w:val="center"/>
          </w:tcPr>
          <w:p w14:paraId="0BD0F031" w14:textId="77777777" w:rsidR="000166E3" w:rsidRPr="00CA002A" w:rsidRDefault="008C3733" w:rsidP="00CA002A">
            <w:pPr>
              <w:jc w:val="left"/>
              <w:rPr>
                <w:rFonts w:ascii="Arial" w:hAnsi="Arial" w:cs="Arial"/>
                <w:sz w:val="20"/>
                <w:lang w:val="pt-BR"/>
              </w:rPr>
            </w:pPr>
            <w:r w:rsidRPr="00CA002A">
              <w:rPr>
                <w:rFonts w:ascii="Arial" w:hAnsi="Arial" w:cs="Arial"/>
                <w:b/>
                <w:bCs/>
                <w:sz w:val="20"/>
                <w:lang w:val="pt-BR"/>
              </w:rPr>
              <w:t>Sociedade</w:t>
            </w:r>
          </w:p>
        </w:tc>
        <w:tc>
          <w:tcPr>
            <w:tcW w:w="5247" w:type="dxa"/>
            <w:gridSpan w:val="2"/>
            <w:shd w:val="clear" w:color="auto" w:fill="FFFFCC"/>
            <w:vAlign w:val="center"/>
          </w:tcPr>
          <w:p w14:paraId="0BD0F032" w14:textId="77777777" w:rsidR="000166E3" w:rsidRPr="00CA002A" w:rsidRDefault="008C3733" w:rsidP="00CA002A">
            <w:pPr>
              <w:shd w:val="clear" w:color="auto" w:fill="FFFFCC"/>
              <w:jc w:val="left"/>
              <w:rPr>
                <w:rFonts w:ascii="Arial" w:hAnsi="Arial" w:cs="Arial"/>
                <w:sz w:val="20"/>
                <w:lang w:val="pt-BR"/>
              </w:rPr>
            </w:pPr>
            <w:r w:rsidRPr="00CA002A">
              <w:rPr>
                <w:rFonts w:ascii="Arial" w:hAnsi="Arial" w:cs="Arial"/>
                <w:sz w:val="20"/>
                <w:lang w:val="pt-BR"/>
              </w:rPr>
              <w:t>Comunidades locais</w:t>
            </w:r>
          </w:p>
          <w:p w14:paraId="0BD0F033" w14:textId="77777777" w:rsidR="000166E3" w:rsidRPr="00CA002A" w:rsidRDefault="008C3733" w:rsidP="00CA002A">
            <w:pPr>
              <w:shd w:val="clear" w:color="auto" w:fill="FFFFCC"/>
              <w:jc w:val="left"/>
              <w:rPr>
                <w:rFonts w:ascii="Arial" w:hAnsi="Arial" w:cs="Arial"/>
                <w:sz w:val="20"/>
                <w:lang w:val="pt-BR"/>
              </w:rPr>
            </w:pPr>
            <w:r w:rsidRPr="00CA002A">
              <w:rPr>
                <w:rFonts w:ascii="Arial" w:hAnsi="Arial" w:cs="Arial"/>
                <w:sz w:val="20"/>
                <w:lang w:val="pt-BR"/>
              </w:rPr>
              <w:t>Combate à corrupção</w:t>
            </w:r>
          </w:p>
          <w:p w14:paraId="0BD0F034" w14:textId="77777777" w:rsidR="000166E3" w:rsidRPr="00CA002A" w:rsidRDefault="008C3733" w:rsidP="00CA002A">
            <w:pPr>
              <w:shd w:val="clear" w:color="auto" w:fill="FFFFCC"/>
              <w:jc w:val="left"/>
              <w:rPr>
                <w:rFonts w:ascii="Arial" w:hAnsi="Arial" w:cs="Arial"/>
                <w:sz w:val="20"/>
                <w:lang w:val="pt-BR"/>
              </w:rPr>
            </w:pPr>
            <w:r w:rsidRPr="00CA002A">
              <w:rPr>
                <w:rFonts w:ascii="Arial" w:hAnsi="Arial" w:cs="Arial"/>
                <w:sz w:val="20"/>
                <w:lang w:val="pt-BR"/>
              </w:rPr>
              <w:t>Políticas públicas</w:t>
            </w:r>
          </w:p>
          <w:p w14:paraId="0BD0F035" w14:textId="77777777" w:rsidR="000166E3" w:rsidRPr="00CA002A" w:rsidRDefault="008C3733" w:rsidP="00CA002A">
            <w:pPr>
              <w:shd w:val="clear" w:color="auto" w:fill="FFFFCC"/>
              <w:jc w:val="left"/>
              <w:rPr>
                <w:rFonts w:ascii="Arial" w:hAnsi="Arial" w:cs="Arial"/>
                <w:sz w:val="20"/>
                <w:lang w:val="pt-BR"/>
              </w:rPr>
            </w:pPr>
            <w:r w:rsidRPr="00CA002A">
              <w:rPr>
                <w:rFonts w:ascii="Arial" w:hAnsi="Arial" w:cs="Arial"/>
                <w:sz w:val="20"/>
                <w:lang w:val="pt-BR"/>
              </w:rPr>
              <w:t>Concorrência desleal</w:t>
            </w:r>
          </w:p>
          <w:p w14:paraId="0BD0F036" w14:textId="77777777" w:rsidR="000166E3" w:rsidRPr="00CA002A" w:rsidRDefault="008C3733" w:rsidP="00CA002A">
            <w:pPr>
              <w:shd w:val="clear" w:color="auto" w:fill="FFFFCC"/>
              <w:jc w:val="left"/>
              <w:rPr>
                <w:rFonts w:ascii="Arial" w:hAnsi="Arial" w:cs="Arial"/>
                <w:sz w:val="20"/>
                <w:lang w:val="pt-BR"/>
              </w:rPr>
            </w:pPr>
            <w:r w:rsidRPr="00CA002A">
              <w:rPr>
                <w:rFonts w:ascii="Arial" w:hAnsi="Arial" w:cs="Arial"/>
                <w:sz w:val="20"/>
                <w:lang w:val="pt-BR"/>
              </w:rPr>
              <w:t>Conformidade</w:t>
            </w:r>
          </w:p>
          <w:p w14:paraId="0BD0F037" w14:textId="77777777" w:rsidR="000166E3" w:rsidRPr="00CA002A" w:rsidRDefault="008C3733" w:rsidP="00CA002A">
            <w:pPr>
              <w:shd w:val="clear" w:color="auto" w:fill="FFFFCC"/>
              <w:jc w:val="left"/>
              <w:rPr>
                <w:rFonts w:ascii="Arial" w:hAnsi="Arial" w:cs="Arial"/>
                <w:sz w:val="20"/>
                <w:lang w:val="pt-BR"/>
              </w:rPr>
            </w:pPr>
            <w:r w:rsidRPr="00CA002A">
              <w:rPr>
                <w:rFonts w:ascii="Arial" w:hAnsi="Arial" w:cs="Arial"/>
                <w:sz w:val="20"/>
                <w:lang w:val="pt-BR"/>
              </w:rPr>
              <w:t>Avaliação de fornecedores em impactos na sociedade</w:t>
            </w:r>
          </w:p>
          <w:p w14:paraId="0BD0F038" w14:textId="77777777" w:rsidR="000166E3" w:rsidRPr="00CA002A" w:rsidRDefault="008C3733" w:rsidP="00CA002A">
            <w:pPr>
              <w:jc w:val="left"/>
              <w:rPr>
                <w:rFonts w:ascii="Arial" w:hAnsi="Arial" w:cs="Arial"/>
                <w:sz w:val="20"/>
                <w:lang w:val="pt-BR"/>
              </w:rPr>
            </w:pPr>
            <w:r w:rsidRPr="00CA002A">
              <w:rPr>
                <w:rFonts w:ascii="Arial" w:hAnsi="Arial" w:cs="Arial"/>
                <w:sz w:val="20"/>
                <w:shd w:val="clear" w:color="auto" w:fill="FFFFCC"/>
                <w:lang w:val="pt-BR"/>
              </w:rPr>
              <w:t>Mecanismos de queixas e reclamações relacionadas a impactos na sociedade</w:t>
            </w:r>
          </w:p>
        </w:tc>
      </w:tr>
      <w:tr w:rsidR="000166E3" w14:paraId="0BD0F041" w14:textId="77777777" w:rsidTr="005F1A2A">
        <w:trPr>
          <w:trHeight w:val="896"/>
          <w:jc w:val="center"/>
        </w:trPr>
        <w:tc>
          <w:tcPr>
            <w:tcW w:w="1271" w:type="dxa"/>
            <w:vMerge/>
            <w:shd w:val="clear" w:color="auto" w:fill="FFE599" w:themeFill="accent4" w:themeFillTint="66"/>
            <w:vAlign w:val="center"/>
          </w:tcPr>
          <w:p w14:paraId="0BD0F03A" w14:textId="77777777" w:rsidR="000166E3" w:rsidRPr="00CA002A" w:rsidRDefault="000166E3" w:rsidP="00CA002A">
            <w:pPr>
              <w:jc w:val="left"/>
              <w:rPr>
                <w:rFonts w:ascii="Arial" w:hAnsi="Arial" w:cs="Arial"/>
                <w:sz w:val="20"/>
                <w:lang w:val="pt-BR"/>
              </w:rPr>
            </w:pPr>
          </w:p>
        </w:tc>
        <w:tc>
          <w:tcPr>
            <w:tcW w:w="1841" w:type="dxa"/>
            <w:shd w:val="clear" w:color="auto" w:fill="FFE599" w:themeFill="accent4" w:themeFillTint="66"/>
            <w:vAlign w:val="center"/>
          </w:tcPr>
          <w:p w14:paraId="0BD0F03B" w14:textId="77777777" w:rsidR="000166E3" w:rsidRPr="00CA002A" w:rsidRDefault="008C3733" w:rsidP="00CA002A">
            <w:pPr>
              <w:jc w:val="left"/>
              <w:rPr>
                <w:rFonts w:ascii="Arial" w:hAnsi="Arial" w:cs="Arial"/>
                <w:sz w:val="20"/>
                <w:lang w:val="pt-BR"/>
              </w:rPr>
            </w:pPr>
            <w:r w:rsidRPr="00CA002A">
              <w:rPr>
                <w:rFonts w:ascii="Arial" w:hAnsi="Arial" w:cs="Arial"/>
                <w:b/>
                <w:bCs/>
                <w:sz w:val="20"/>
                <w:lang w:val="pt-BR"/>
              </w:rPr>
              <w:t>Responsabilidade pelo Produto</w:t>
            </w:r>
          </w:p>
        </w:tc>
        <w:tc>
          <w:tcPr>
            <w:tcW w:w="5247" w:type="dxa"/>
            <w:gridSpan w:val="2"/>
            <w:shd w:val="clear" w:color="auto" w:fill="FFE599" w:themeFill="accent4" w:themeFillTint="66"/>
            <w:vAlign w:val="center"/>
          </w:tcPr>
          <w:p w14:paraId="0BD0F03C"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Saúde e segurança do cliente</w:t>
            </w:r>
          </w:p>
          <w:p w14:paraId="0BD0F03D"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Rotulagem de produtos e serviços</w:t>
            </w:r>
          </w:p>
          <w:p w14:paraId="0BD0F03E"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Comunicações de marketing</w:t>
            </w:r>
          </w:p>
          <w:p w14:paraId="0BD0F03F"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Privacidade do cliente</w:t>
            </w:r>
          </w:p>
          <w:p w14:paraId="0BD0F040" w14:textId="77777777" w:rsidR="000166E3" w:rsidRPr="00CA002A" w:rsidRDefault="008C3733" w:rsidP="00CA002A">
            <w:pPr>
              <w:jc w:val="left"/>
              <w:rPr>
                <w:rFonts w:ascii="Arial" w:hAnsi="Arial" w:cs="Arial"/>
                <w:sz w:val="20"/>
                <w:lang w:val="pt-BR"/>
              </w:rPr>
            </w:pPr>
            <w:r w:rsidRPr="00CA002A">
              <w:rPr>
                <w:rFonts w:ascii="Arial" w:hAnsi="Arial" w:cs="Arial"/>
                <w:sz w:val="20"/>
                <w:lang w:val="pt-BR"/>
              </w:rPr>
              <w:t>Conformidade</w:t>
            </w:r>
          </w:p>
        </w:tc>
      </w:tr>
    </w:tbl>
    <w:p w14:paraId="0BD0F042" w14:textId="77777777" w:rsidR="000166E3" w:rsidRDefault="008C3733" w:rsidP="00D220D6">
      <w:pPr>
        <w:spacing w:after="240"/>
        <w:ind w:firstLine="284"/>
        <w:jc w:val="left"/>
        <w:rPr>
          <w:lang w:val="pt-BR"/>
        </w:rPr>
      </w:pPr>
      <w:r>
        <w:rPr>
          <w:sz w:val="20"/>
          <w:lang w:val="pt-BR"/>
        </w:rPr>
        <w:t xml:space="preserve">Fonte: Global </w:t>
      </w:r>
      <w:proofErr w:type="spellStart"/>
      <w:r>
        <w:rPr>
          <w:sz w:val="20"/>
          <w:lang w:val="pt-BR"/>
        </w:rPr>
        <w:t>Reporting</w:t>
      </w:r>
      <w:proofErr w:type="spellEnd"/>
      <w:r>
        <w:rPr>
          <w:sz w:val="20"/>
          <w:lang w:val="pt-BR"/>
        </w:rPr>
        <w:t xml:space="preserve"> </w:t>
      </w:r>
      <w:proofErr w:type="spellStart"/>
      <w:r>
        <w:rPr>
          <w:sz w:val="20"/>
          <w:lang w:val="pt-BR"/>
        </w:rPr>
        <w:t>Initiative</w:t>
      </w:r>
      <w:proofErr w:type="spellEnd"/>
      <w:r>
        <w:rPr>
          <w:sz w:val="20"/>
          <w:lang w:val="pt-BR"/>
        </w:rPr>
        <w:t xml:space="preserve"> (2021).</w:t>
      </w:r>
    </w:p>
    <w:p w14:paraId="0BD0F043" w14:textId="77777777" w:rsidR="000166E3" w:rsidRDefault="000166E3">
      <w:pPr>
        <w:jc w:val="center"/>
        <w:rPr>
          <w:szCs w:val="24"/>
          <w:lang w:val="pt-BR"/>
        </w:rPr>
      </w:pPr>
    </w:p>
    <w:p w14:paraId="0BD0F044" w14:textId="188EE0B5" w:rsidR="000166E3" w:rsidRPr="005F1A2A" w:rsidRDefault="008C3733" w:rsidP="001C5B6C">
      <w:pPr>
        <w:spacing w:after="120" w:line="360" w:lineRule="auto"/>
        <w:ind w:firstLine="284"/>
        <w:rPr>
          <w:lang w:val="pt-BR"/>
        </w:rPr>
      </w:pPr>
      <w:r>
        <w:rPr>
          <w:szCs w:val="24"/>
          <w:shd w:val="clear" w:color="auto" w:fill="FFFFFF"/>
          <w:lang w:val="pt-BR"/>
        </w:rPr>
        <w:t xml:space="preserve">As categorias e aspectos relacionados a cada uma das </w:t>
      </w:r>
      <w:r w:rsidR="00C77DF4">
        <w:rPr>
          <w:szCs w:val="24"/>
          <w:shd w:val="clear" w:color="auto" w:fill="FFFFFF"/>
          <w:lang w:val="pt-BR"/>
        </w:rPr>
        <w:t>dimensões</w:t>
      </w:r>
      <w:r>
        <w:rPr>
          <w:szCs w:val="24"/>
          <w:shd w:val="clear" w:color="auto" w:fill="FFFFFF"/>
          <w:lang w:val="pt-BR"/>
        </w:rPr>
        <w:t xml:space="preserve"> da sustentabilidade, proporcionam uma visão abrangente das áreas abordadas nas Diretrizes da GRI. Essa </w:t>
      </w:r>
      <w:r>
        <w:rPr>
          <w:szCs w:val="24"/>
          <w:shd w:val="clear" w:color="auto" w:fill="FFFFFF"/>
          <w:lang w:val="pt-BR"/>
        </w:rPr>
        <w:lastRenderedPageBreak/>
        <w:t>estrutura é fundamental para desenvolver relatórios de sustentabilidade abrangentes, alinhados às melhores práticas globais, atendendo os aspectos econômicos, sociais e ambientais das organizações. Ao estabelecer uma estrutura precisa para categorias e aspectos, possibilita que as organizações comuniquem seus impactos econômicos, sociais e ambientais de maneira transparente, promovendo o desenvolvimento sustentável. Com base nos tópicos adotados pela GRI, realizou-se uma pesquisa, identificando relatórios de sustentabilidade de empresas do setor têxtil, trazendo um deles para interpretação e análise.</w:t>
      </w:r>
    </w:p>
    <w:p w14:paraId="0BD0F045" w14:textId="77777777" w:rsidR="000166E3" w:rsidRPr="005F1A2A" w:rsidRDefault="000166E3">
      <w:pPr>
        <w:spacing w:line="360" w:lineRule="auto"/>
        <w:ind w:firstLine="709"/>
        <w:rPr>
          <w:shd w:val="clear" w:color="auto" w:fill="FFFFFF"/>
          <w:lang w:val="pt-BR"/>
        </w:rPr>
      </w:pPr>
    </w:p>
    <w:p w14:paraId="0BD0F046" w14:textId="7EC975FD" w:rsidR="000166E3" w:rsidRDefault="00CA002A">
      <w:pPr>
        <w:spacing w:line="360" w:lineRule="auto"/>
        <w:rPr>
          <w:b/>
          <w:shd w:val="clear" w:color="auto" w:fill="FFFFFF"/>
          <w:lang w:val="pt-BR"/>
        </w:rPr>
      </w:pPr>
      <w:r>
        <w:rPr>
          <w:b/>
          <w:shd w:val="clear" w:color="auto" w:fill="FFFFFF"/>
          <w:lang w:val="pt-BR"/>
        </w:rPr>
        <w:t xml:space="preserve">4. Procedimentos metodológicos da pesquisa </w:t>
      </w:r>
    </w:p>
    <w:p w14:paraId="6A3687B4" w14:textId="77777777" w:rsidR="00B918EB" w:rsidRDefault="00B918EB">
      <w:pPr>
        <w:spacing w:line="360" w:lineRule="auto"/>
        <w:rPr>
          <w:lang w:val="pt-BR"/>
        </w:rPr>
      </w:pPr>
    </w:p>
    <w:p w14:paraId="0BD0F048" w14:textId="77777777" w:rsidR="000166E3" w:rsidRPr="005F1A2A" w:rsidRDefault="008C3733" w:rsidP="001C5B6C">
      <w:pPr>
        <w:spacing w:after="120" w:line="360" w:lineRule="auto"/>
        <w:ind w:firstLine="284"/>
        <w:rPr>
          <w:lang w:val="pt-BR"/>
        </w:rPr>
      </w:pPr>
      <w:r>
        <w:rPr>
          <w:lang w:val="pt-BR"/>
        </w:rPr>
        <w:t>Os dados coletados foram extraídos de relatório de sustentabilidade publicado na website</w:t>
      </w:r>
      <w:r>
        <w:rPr>
          <w:i/>
          <w:lang w:val="pt-BR"/>
        </w:rPr>
        <w:t xml:space="preserve"> </w:t>
      </w:r>
      <w:r>
        <w:rPr>
          <w:lang w:val="pt-BR"/>
        </w:rPr>
        <w:t xml:space="preserve">de uma empresa brasileira do setor têxtil, referentes ao ano de 2022, que atendem os padrões definidos pela GRI. Os padrões do GRI se deram pelas seguintes razões: ser uma ferramenta de uso internacional, ser aplicável a diversos setores, se encaixar no contexto e nos parâmetros da sustentabilidade. </w:t>
      </w:r>
    </w:p>
    <w:p w14:paraId="0BD0F049" w14:textId="77777777" w:rsidR="000166E3" w:rsidRPr="005F1A2A" w:rsidRDefault="008C3733" w:rsidP="001C5B6C">
      <w:pPr>
        <w:spacing w:after="120" w:line="360" w:lineRule="auto"/>
        <w:ind w:firstLine="284"/>
        <w:rPr>
          <w:lang w:val="pt-BR"/>
        </w:rPr>
      </w:pPr>
      <w:r>
        <w:rPr>
          <w:lang w:val="pt-BR"/>
        </w:rPr>
        <w:t>Critérios de seleção das amostras: (i) A amostra foi limitada a uma empresa catarinense da indústria têxtil e de vestuário; (</w:t>
      </w:r>
      <w:proofErr w:type="spellStart"/>
      <w:r>
        <w:rPr>
          <w:lang w:val="pt-BR"/>
        </w:rPr>
        <w:t>ii</w:t>
      </w:r>
      <w:proofErr w:type="spellEnd"/>
      <w:r>
        <w:rPr>
          <w:lang w:val="pt-BR"/>
        </w:rPr>
        <w:t xml:space="preserve">); </w:t>
      </w:r>
      <w:proofErr w:type="gramStart"/>
      <w:r>
        <w:rPr>
          <w:lang w:val="pt-BR"/>
        </w:rPr>
        <w:t>Foi</w:t>
      </w:r>
      <w:proofErr w:type="gramEnd"/>
      <w:r>
        <w:rPr>
          <w:lang w:val="pt-BR"/>
        </w:rPr>
        <w:t xml:space="preserve"> selecionada uma empresa que divulgou </w:t>
      </w:r>
      <w:proofErr w:type="gramStart"/>
      <w:r>
        <w:rPr>
          <w:lang w:val="pt-BR"/>
        </w:rPr>
        <w:t>seu relatórios</w:t>
      </w:r>
      <w:proofErr w:type="gramEnd"/>
      <w:r>
        <w:rPr>
          <w:lang w:val="pt-BR"/>
        </w:rPr>
        <w:t xml:space="preserve"> de sustentabilidade referente ao ano de 2023, no </w:t>
      </w:r>
      <w:r>
        <w:rPr>
          <w:i/>
          <w:lang w:val="pt-BR"/>
        </w:rPr>
        <w:t>site</w:t>
      </w:r>
      <w:r>
        <w:rPr>
          <w:lang w:val="pt-BR"/>
        </w:rPr>
        <w:t xml:space="preserve"> institucional. Como o objeto de estudo é verificar se os relatórios de sustentabilidade seguem as diretrizes da GRI, indica-se a empresa com “X”. </w:t>
      </w:r>
    </w:p>
    <w:p w14:paraId="0BD0F04A" w14:textId="77777777" w:rsidR="000166E3" w:rsidRPr="005F1A2A" w:rsidRDefault="008C3733" w:rsidP="001C5B6C">
      <w:pPr>
        <w:spacing w:after="120" w:line="360" w:lineRule="auto"/>
        <w:ind w:firstLine="284"/>
        <w:rPr>
          <w:lang w:val="pt-BR"/>
        </w:rPr>
      </w:pPr>
      <w:r>
        <w:rPr>
          <w:shd w:val="clear" w:color="auto" w:fill="FFFFFF"/>
          <w:lang w:val="pt-BR"/>
        </w:rPr>
        <w:t xml:space="preserve">A empresa “X” é formada por um grupo de marcas de moda e considera que seu Relatório Anual de 2023 é um documento que representa uma das principais ferramentas de transparência. A Missão da empresa é: Ser a melhor e maior equipe de </w:t>
      </w:r>
      <w:r>
        <w:rPr>
          <w:shd w:val="clear" w:color="auto" w:fill="FFFFFF"/>
          <w:lang w:val="pt-BR"/>
        </w:rPr>
        <w:lastRenderedPageBreak/>
        <w:t>marcas de moda do país, reconhecida mundialmente pela criatividade, paixão, eficiência e boas práticas socioambientais.</w:t>
      </w:r>
    </w:p>
    <w:p w14:paraId="0BD0F04B" w14:textId="77777777" w:rsidR="000166E3" w:rsidRDefault="000166E3" w:rsidP="001C5B6C">
      <w:pPr>
        <w:spacing w:line="360" w:lineRule="auto"/>
        <w:ind w:firstLine="284"/>
        <w:rPr>
          <w:shd w:val="clear" w:color="auto" w:fill="FFFFFF"/>
          <w:lang w:val="pt-BR"/>
        </w:rPr>
      </w:pPr>
    </w:p>
    <w:p w14:paraId="0BD0F04C" w14:textId="54EEBD4E" w:rsidR="000166E3" w:rsidRDefault="00CA002A">
      <w:pPr>
        <w:spacing w:line="360" w:lineRule="auto"/>
        <w:rPr>
          <w:b/>
          <w:shd w:val="clear" w:color="auto" w:fill="FFFFFF"/>
          <w:lang w:val="pt-BR"/>
        </w:rPr>
      </w:pPr>
      <w:r>
        <w:rPr>
          <w:b/>
          <w:shd w:val="clear" w:color="auto" w:fill="FFFFFF"/>
          <w:lang w:val="pt-BR"/>
        </w:rPr>
        <w:t>5. Resultados da pesquisa – interpretação e análise</w:t>
      </w:r>
    </w:p>
    <w:p w14:paraId="426882F3" w14:textId="77777777" w:rsidR="00B918EB" w:rsidRDefault="00B918EB">
      <w:pPr>
        <w:spacing w:line="360" w:lineRule="auto"/>
        <w:rPr>
          <w:lang w:val="pt-BR"/>
        </w:rPr>
      </w:pPr>
    </w:p>
    <w:p w14:paraId="3E8F4D8C" w14:textId="410BAFA5" w:rsidR="007C37F8" w:rsidRDefault="008C3733" w:rsidP="007C37F8">
      <w:pPr>
        <w:spacing w:after="120" w:line="360" w:lineRule="auto"/>
        <w:ind w:firstLine="284"/>
        <w:rPr>
          <w:shd w:val="clear" w:color="auto" w:fill="FFFFFF"/>
          <w:lang w:val="pt-BR"/>
        </w:rPr>
      </w:pPr>
      <w:r>
        <w:rPr>
          <w:bCs/>
          <w:sz w:val="22"/>
          <w:szCs w:val="22"/>
          <w:shd w:val="clear" w:color="auto" w:fill="FFFFFF"/>
          <w:lang w:val="pt-BR"/>
        </w:rPr>
        <w:t>Como destacado no relatório de sustentabilidade da empresa seu objetivo é adotar</w:t>
      </w:r>
      <w:r>
        <w:rPr>
          <w:b/>
          <w:bCs/>
          <w:sz w:val="22"/>
          <w:szCs w:val="22"/>
          <w:shd w:val="clear" w:color="auto" w:fill="FFFFFF"/>
          <w:lang w:val="pt-BR"/>
        </w:rPr>
        <w:t xml:space="preserve"> </w:t>
      </w:r>
      <w:r>
        <w:rPr>
          <w:shd w:val="clear" w:color="auto" w:fill="FFFFFF"/>
          <w:lang w:val="pt-BR"/>
        </w:rPr>
        <w:t>boas práticas socioambientais, o que inclui aliar criatividade, tecnologia e inovação para atuar com respeito ao meio ambiente. O Quadro 2 apresenta como a empresa “X” atende aos três pilares da sustentabilidade conforme os padrões da GRI.</w:t>
      </w:r>
    </w:p>
    <w:p w14:paraId="4E619F92" w14:textId="77777777" w:rsidR="007C37F8" w:rsidRPr="007C37F8" w:rsidRDefault="007C37F8" w:rsidP="007C37F8">
      <w:pPr>
        <w:spacing w:after="120" w:line="360" w:lineRule="auto"/>
        <w:ind w:firstLine="284"/>
        <w:rPr>
          <w:shd w:val="clear" w:color="auto" w:fill="FFFFFF"/>
          <w:lang w:val="pt-BR"/>
        </w:rPr>
      </w:pPr>
    </w:p>
    <w:p w14:paraId="0BD0F04F" w14:textId="77777777" w:rsidR="000166E3" w:rsidRPr="00313EFE" w:rsidRDefault="008C3733">
      <w:pPr>
        <w:jc w:val="center"/>
        <w:rPr>
          <w:b/>
          <w:lang w:val="pt-BR"/>
        </w:rPr>
      </w:pPr>
      <w:r w:rsidRPr="00313EFE">
        <w:rPr>
          <w:b/>
          <w:sz w:val="20"/>
          <w:shd w:val="clear" w:color="auto" w:fill="FFFFFF"/>
          <w:lang w:val="pt-BR"/>
        </w:rPr>
        <w:t>Quadro 2 – As dimensões atendidas pela empresa “A</w:t>
      </w:r>
    </w:p>
    <w:tbl>
      <w:tblPr>
        <w:tblStyle w:val="Tabelacomgrade"/>
        <w:tblW w:w="7514" w:type="dxa"/>
        <w:jc w:val="center"/>
        <w:tblLayout w:type="fixed"/>
        <w:tblLook w:val="04A0" w:firstRow="1" w:lastRow="0" w:firstColumn="1" w:lastColumn="0" w:noHBand="0" w:noVBand="1"/>
      </w:tblPr>
      <w:tblGrid>
        <w:gridCol w:w="3119"/>
        <w:gridCol w:w="423"/>
        <w:gridCol w:w="3972"/>
      </w:tblGrid>
      <w:tr w:rsidR="000166E3" w14:paraId="0BD0F051" w14:textId="77777777" w:rsidTr="00313EFE">
        <w:trPr>
          <w:jc w:val="center"/>
        </w:trPr>
        <w:tc>
          <w:tcPr>
            <w:tcW w:w="7513" w:type="dxa"/>
            <w:gridSpan w:val="3"/>
            <w:shd w:val="clear" w:color="auto" w:fill="FFD966" w:themeFill="accent4" w:themeFillTint="99"/>
          </w:tcPr>
          <w:p w14:paraId="0BD0F050" w14:textId="77777777" w:rsidR="000166E3" w:rsidRPr="00CA002A" w:rsidRDefault="008C3733" w:rsidP="00CA002A">
            <w:pPr>
              <w:jc w:val="center"/>
              <w:rPr>
                <w:rFonts w:ascii="Arial" w:hAnsi="Arial" w:cs="Arial"/>
                <w:sz w:val="20"/>
                <w:lang w:val="pt-BR"/>
              </w:rPr>
            </w:pPr>
            <w:r w:rsidRPr="00CA002A">
              <w:rPr>
                <w:rFonts w:ascii="Arial" w:hAnsi="Arial" w:cs="Arial"/>
                <w:b/>
                <w:bCs/>
                <w:sz w:val="20"/>
                <w:lang w:val="pt-BR"/>
              </w:rPr>
              <w:t>SUSTENTABILIDADE SOCIAL</w:t>
            </w:r>
          </w:p>
        </w:tc>
      </w:tr>
      <w:tr w:rsidR="000166E3" w:rsidRPr="008B44E1" w14:paraId="0BD0F056" w14:textId="77777777" w:rsidTr="00313EFE">
        <w:trPr>
          <w:jc w:val="center"/>
        </w:trPr>
        <w:tc>
          <w:tcPr>
            <w:tcW w:w="3119" w:type="dxa"/>
            <w:shd w:val="clear" w:color="auto" w:fill="FFE599" w:themeFill="accent4" w:themeFillTint="66"/>
          </w:tcPr>
          <w:p w14:paraId="0BD0F052" w14:textId="77777777" w:rsidR="000166E3" w:rsidRPr="00CA002A" w:rsidRDefault="008C3733" w:rsidP="00CA002A">
            <w:pPr>
              <w:jc w:val="left"/>
              <w:rPr>
                <w:rFonts w:ascii="Arial" w:hAnsi="Arial" w:cs="Arial"/>
                <w:sz w:val="20"/>
                <w:lang w:val="pt-BR"/>
              </w:rPr>
            </w:pPr>
            <w:r w:rsidRPr="00CA002A">
              <w:rPr>
                <w:rFonts w:ascii="Arial" w:hAnsi="Arial" w:cs="Arial"/>
                <w:b/>
                <w:bCs/>
                <w:sz w:val="20"/>
                <w:lang w:val="pt-BR"/>
              </w:rPr>
              <w:t>Práticas Trabalhistas e Trabalho Decente</w:t>
            </w:r>
          </w:p>
          <w:p w14:paraId="0BD0F053" w14:textId="77777777" w:rsidR="000166E3" w:rsidRPr="00CA002A" w:rsidRDefault="000166E3" w:rsidP="00CA002A">
            <w:pPr>
              <w:rPr>
                <w:rFonts w:ascii="Arial" w:hAnsi="Arial" w:cs="Arial"/>
                <w:b/>
                <w:bCs/>
                <w:sz w:val="20"/>
                <w:lang w:val="pt-BR"/>
              </w:rPr>
            </w:pPr>
          </w:p>
        </w:tc>
        <w:tc>
          <w:tcPr>
            <w:tcW w:w="4394" w:type="dxa"/>
            <w:gridSpan w:val="2"/>
            <w:shd w:val="clear" w:color="auto" w:fill="FFE599" w:themeFill="accent4" w:themeFillTint="66"/>
          </w:tcPr>
          <w:p w14:paraId="0BD0F054" w14:textId="77777777" w:rsidR="000166E3" w:rsidRPr="00CA002A" w:rsidRDefault="008C3733" w:rsidP="00CA002A">
            <w:pPr>
              <w:rPr>
                <w:rFonts w:ascii="Arial" w:hAnsi="Arial" w:cs="Arial"/>
                <w:sz w:val="20"/>
                <w:lang w:val="pt-BR"/>
              </w:rPr>
            </w:pPr>
            <w:r w:rsidRPr="00CA002A">
              <w:rPr>
                <w:rFonts w:ascii="Arial" w:hAnsi="Arial" w:cs="Arial"/>
                <w:b/>
                <w:sz w:val="20"/>
                <w:lang w:val="pt-BR"/>
              </w:rPr>
              <w:t>Bem-estar e da saúde</w:t>
            </w:r>
            <w:r w:rsidRPr="00CA002A">
              <w:rPr>
                <w:rFonts w:ascii="Arial" w:hAnsi="Arial" w:cs="Arial"/>
                <w:sz w:val="20"/>
                <w:lang w:val="pt-BR"/>
              </w:rPr>
              <w:t xml:space="preserve"> - Garantia do bem-estar e da saúde e segurança do trabalhador por meio da gestão do ambiente organizacional, prezando pela saúde mental e física das pessoas colaboradoras e de suas famílias.</w:t>
            </w:r>
          </w:p>
          <w:p w14:paraId="0BD0F055" w14:textId="77777777" w:rsidR="000166E3" w:rsidRPr="00CA002A" w:rsidRDefault="008C3733" w:rsidP="00CA002A">
            <w:pPr>
              <w:rPr>
                <w:rFonts w:ascii="Arial" w:hAnsi="Arial" w:cs="Arial"/>
                <w:sz w:val="20"/>
                <w:lang w:val="pt-BR"/>
              </w:rPr>
            </w:pPr>
            <w:r w:rsidRPr="00CA002A">
              <w:rPr>
                <w:rFonts w:ascii="Arial" w:hAnsi="Arial" w:cs="Arial"/>
                <w:b/>
                <w:sz w:val="20"/>
                <w:lang w:val="pt-BR"/>
              </w:rPr>
              <w:t>Atração, Desenvolvimento e Retenção de Colaboradores</w:t>
            </w:r>
            <w:r w:rsidRPr="00CA002A">
              <w:rPr>
                <w:rFonts w:ascii="Arial" w:hAnsi="Arial" w:cs="Arial"/>
                <w:sz w:val="20"/>
                <w:lang w:val="pt-BR"/>
              </w:rPr>
              <w:t xml:space="preserve"> - Alinhamento de expectativas entre gestores e subordinados, transparência sobre plano de carreira e oferta de meios de capacitação de modo a diminuir a rotatividade (turnover) e aumentar a retenção de talentos internos.</w:t>
            </w:r>
          </w:p>
        </w:tc>
      </w:tr>
      <w:tr w:rsidR="000166E3" w:rsidRPr="008B44E1" w14:paraId="0BD0F05A" w14:textId="77777777" w:rsidTr="00313EFE">
        <w:trPr>
          <w:jc w:val="center"/>
        </w:trPr>
        <w:tc>
          <w:tcPr>
            <w:tcW w:w="3119" w:type="dxa"/>
            <w:shd w:val="clear" w:color="auto" w:fill="FFF2CC" w:themeFill="accent4" w:themeFillTint="33"/>
          </w:tcPr>
          <w:p w14:paraId="0BD0F057" w14:textId="77777777" w:rsidR="000166E3" w:rsidRPr="00CA002A" w:rsidRDefault="008C3733" w:rsidP="00CA002A">
            <w:pPr>
              <w:jc w:val="left"/>
              <w:rPr>
                <w:rFonts w:ascii="Arial" w:hAnsi="Arial" w:cs="Arial"/>
                <w:sz w:val="20"/>
                <w:lang w:val="pt-BR"/>
              </w:rPr>
            </w:pPr>
            <w:r w:rsidRPr="00CA002A">
              <w:rPr>
                <w:rFonts w:ascii="Arial" w:hAnsi="Arial" w:cs="Arial"/>
                <w:b/>
                <w:bCs/>
                <w:sz w:val="20"/>
                <w:lang w:val="pt-BR"/>
              </w:rPr>
              <w:t>Direitos Humanos</w:t>
            </w:r>
          </w:p>
        </w:tc>
        <w:tc>
          <w:tcPr>
            <w:tcW w:w="4394" w:type="dxa"/>
            <w:gridSpan w:val="2"/>
            <w:shd w:val="clear" w:color="auto" w:fill="FFF2CC" w:themeFill="accent4" w:themeFillTint="33"/>
          </w:tcPr>
          <w:p w14:paraId="0BD0F058" w14:textId="77777777" w:rsidR="000166E3" w:rsidRPr="00CA002A" w:rsidRDefault="008C3733" w:rsidP="00CA002A">
            <w:pPr>
              <w:rPr>
                <w:rFonts w:ascii="Arial" w:hAnsi="Arial" w:cs="Arial"/>
                <w:sz w:val="20"/>
                <w:lang w:val="pt-BR"/>
              </w:rPr>
            </w:pPr>
            <w:r w:rsidRPr="00CA002A">
              <w:rPr>
                <w:rFonts w:ascii="Arial" w:hAnsi="Arial" w:cs="Arial"/>
                <w:b/>
                <w:sz w:val="20"/>
                <w:lang w:val="pt-BR"/>
              </w:rPr>
              <w:t xml:space="preserve">Diversidade, equidade e inclusão - </w:t>
            </w:r>
            <w:r w:rsidRPr="00CA002A">
              <w:rPr>
                <w:rFonts w:ascii="Arial" w:hAnsi="Arial" w:cs="Arial"/>
                <w:sz w:val="20"/>
                <w:lang w:val="pt-BR"/>
              </w:rPr>
              <w:t xml:space="preserve">Promoção do respeito à Diversidade dentro e fora da organização, seja ela em função de características individuais relacionadas à origem, gênero, raça, cor, religião, idade, altura, peso, aparência física, deficiência, classe social, orientação sexual, gravidez, estado civil, afiliação sindical, convicção política ou quaisquer outras características humanas. Entende-se a Diversidade, de maneira transversal para todos os cargos e no relacionamento com terceiros. Oferta-se </w:t>
            </w:r>
            <w:r w:rsidRPr="00CA002A">
              <w:rPr>
                <w:rFonts w:ascii="Arial" w:hAnsi="Arial" w:cs="Arial"/>
                <w:sz w:val="20"/>
                <w:lang w:val="pt-BR"/>
              </w:rPr>
              <w:lastRenderedPageBreak/>
              <w:t>tamanhos de modo a atender diferentes tipos de corpos.</w:t>
            </w:r>
          </w:p>
          <w:p w14:paraId="0BD0F059" w14:textId="77777777" w:rsidR="000166E3" w:rsidRPr="00CA002A" w:rsidRDefault="008C3733" w:rsidP="00CA002A">
            <w:pPr>
              <w:rPr>
                <w:rFonts w:ascii="Arial" w:hAnsi="Arial" w:cs="Arial"/>
                <w:sz w:val="20"/>
                <w:lang w:val="pt-BR"/>
              </w:rPr>
            </w:pPr>
            <w:r w:rsidRPr="00CA002A">
              <w:rPr>
                <w:rFonts w:ascii="Arial" w:hAnsi="Arial" w:cs="Arial"/>
                <w:b/>
                <w:sz w:val="20"/>
                <w:lang w:val="pt-BR"/>
              </w:rPr>
              <w:t xml:space="preserve">Respeito aos Direitos Humanos </w:t>
            </w:r>
            <w:r w:rsidRPr="00CA002A">
              <w:rPr>
                <w:rFonts w:ascii="Arial" w:hAnsi="Arial" w:cs="Arial"/>
                <w:sz w:val="20"/>
                <w:lang w:val="pt-BR"/>
              </w:rPr>
              <w:t>- Garantia de processos internos que busquem prevenir, combater e punir casos de violação de direitos humanos, tanto internamente quanto na cadeia de valor. Visamos contribuir para viabilizar condições dignas de trabalho para os elos da cadeia.</w:t>
            </w:r>
          </w:p>
        </w:tc>
      </w:tr>
      <w:tr w:rsidR="000166E3" w:rsidRPr="008B44E1" w14:paraId="0BD0F05E" w14:textId="77777777" w:rsidTr="00313EFE">
        <w:trPr>
          <w:jc w:val="center"/>
        </w:trPr>
        <w:tc>
          <w:tcPr>
            <w:tcW w:w="3119" w:type="dxa"/>
            <w:shd w:val="clear" w:color="auto" w:fill="FFE599" w:themeFill="accent4" w:themeFillTint="66"/>
          </w:tcPr>
          <w:p w14:paraId="0BD0F05B" w14:textId="77777777" w:rsidR="000166E3" w:rsidRPr="00CA002A" w:rsidRDefault="008C3733" w:rsidP="00CA002A">
            <w:pPr>
              <w:jc w:val="left"/>
              <w:rPr>
                <w:rFonts w:ascii="Arial" w:hAnsi="Arial" w:cs="Arial"/>
                <w:sz w:val="20"/>
                <w:lang w:val="pt-BR"/>
              </w:rPr>
            </w:pPr>
            <w:r w:rsidRPr="00CA002A">
              <w:rPr>
                <w:rFonts w:ascii="Arial" w:hAnsi="Arial" w:cs="Arial"/>
                <w:b/>
                <w:bCs/>
                <w:sz w:val="20"/>
                <w:lang w:val="pt-BR"/>
              </w:rPr>
              <w:lastRenderedPageBreak/>
              <w:t>Sociedade</w:t>
            </w:r>
          </w:p>
        </w:tc>
        <w:tc>
          <w:tcPr>
            <w:tcW w:w="4394" w:type="dxa"/>
            <w:gridSpan w:val="2"/>
            <w:shd w:val="clear" w:color="auto" w:fill="FFE599" w:themeFill="accent4" w:themeFillTint="66"/>
          </w:tcPr>
          <w:p w14:paraId="0BD0F05C" w14:textId="77777777" w:rsidR="000166E3" w:rsidRPr="00CA002A" w:rsidRDefault="008C3733" w:rsidP="00CA002A">
            <w:pPr>
              <w:rPr>
                <w:rFonts w:ascii="Arial" w:hAnsi="Arial" w:cs="Arial"/>
                <w:sz w:val="20"/>
                <w:lang w:val="pt-BR"/>
              </w:rPr>
            </w:pPr>
            <w:r w:rsidRPr="00CA002A">
              <w:rPr>
                <w:rFonts w:ascii="Arial" w:hAnsi="Arial" w:cs="Arial"/>
                <w:b/>
                <w:sz w:val="20"/>
                <w:lang w:val="pt-BR"/>
              </w:rPr>
              <w:t>Responsabilidade Social</w:t>
            </w:r>
            <w:r w:rsidRPr="00CA002A">
              <w:rPr>
                <w:rFonts w:ascii="Arial" w:hAnsi="Arial" w:cs="Arial"/>
                <w:sz w:val="20"/>
                <w:lang w:val="pt-BR"/>
              </w:rPr>
              <w:t xml:space="preserve"> - Promoção do impacto positivo no ambiente e na sociedade por meio de investimento social e ambientalmente responsável.</w:t>
            </w:r>
          </w:p>
          <w:p w14:paraId="0BD0F05D" w14:textId="77777777" w:rsidR="000166E3" w:rsidRPr="00CA002A" w:rsidRDefault="008C3733" w:rsidP="00CA002A">
            <w:pPr>
              <w:rPr>
                <w:rFonts w:ascii="Arial" w:hAnsi="Arial" w:cs="Arial"/>
                <w:sz w:val="20"/>
                <w:lang w:val="pt-BR"/>
              </w:rPr>
            </w:pPr>
            <w:r w:rsidRPr="00CA002A">
              <w:rPr>
                <w:rFonts w:ascii="Arial" w:hAnsi="Arial" w:cs="Arial"/>
                <w:b/>
                <w:sz w:val="20"/>
                <w:lang w:val="pt-BR"/>
              </w:rPr>
              <w:t>Ética, Integridade e Compliance</w:t>
            </w:r>
            <w:r w:rsidRPr="00CA002A">
              <w:rPr>
                <w:rFonts w:ascii="Arial" w:hAnsi="Arial" w:cs="Arial"/>
                <w:sz w:val="20"/>
                <w:lang w:val="pt-BR"/>
              </w:rPr>
              <w:t xml:space="preserve"> -Transparência, conformidade com normas, leis e práticas anticorrupção ao longo da cadeia de valor, promoção dos atributos de ética nos processos organizacionais e combate a práticas anticompetitivas, desleais e ilícitas.</w:t>
            </w:r>
          </w:p>
        </w:tc>
      </w:tr>
      <w:tr w:rsidR="000166E3" w:rsidRPr="008B44E1" w14:paraId="0BD0F062" w14:textId="77777777" w:rsidTr="00313EFE">
        <w:trPr>
          <w:trHeight w:val="2693"/>
          <w:jc w:val="center"/>
        </w:trPr>
        <w:tc>
          <w:tcPr>
            <w:tcW w:w="3119" w:type="dxa"/>
            <w:shd w:val="clear" w:color="auto" w:fill="FFF2CC" w:themeFill="accent4" w:themeFillTint="33"/>
          </w:tcPr>
          <w:p w14:paraId="0BD0F05F" w14:textId="77777777" w:rsidR="000166E3" w:rsidRPr="00CA002A" w:rsidRDefault="008C3733" w:rsidP="00CA002A">
            <w:pPr>
              <w:jc w:val="left"/>
              <w:rPr>
                <w:rFonts w:ascii="Arial" w:hAnsi="Arial" w:cs="Arial"/>
                <w:sz w:val="20"/>
                <w:lang w:val="pt-BR"/>
              </w:rPr>
            </w:pPr>
            <w:r w:rsidRPr="00CA002A">
              <w:rPr>
                <w:rFonts w:ascii="Arial" w:hAnsi="Arial" w:cs="Arial"/>
                <w:b/>
                <w:bCs/>
                <w:sz w:val="20"/>
                <w:lang w:val="pt-BR"/>
              </w:rPr>
              <w:t>Responsabilidade pelo Produto</w:t>
            </w:r>
          </w:p>
        </w:tc>
        <w:tc>
          <w:tcPr>
            <w:tcW w:w="4394" w:type="dxa"/>
            <w:gridSpan w:val="2"/>
            <w:shd w:val="clear" w:color="auto" w:fill="FFF2CC" w:themeFill="accent4" w:themeFillTint="33"/>
          </w:tcPr>
          <w:p w14:paraId="0BD0F060" w14:textId="77777777" w:rsidR="000166E3" w:rsidRPr="00CA002A" w:rsidRDefault="008C3733" w:rsidP="00CA002A">
            <w:pPr>
              <w:rPr>
                <w:rFonts w:ascii="Arial" w:hAnsi="Arial" w:cs="Arial"/>
                <w:sz w:val="20"/>
                <w:lang w:val="pt-BR"/>
              </w:rPr>
            </w:pPr>
            <w:r w:rsidRPr="00CA002A">
              <w:rPr>
                <w:rFonts w:ascii="Arial" w:hAnsi="Arial" w:cs="Arial"/>
                <w:b/>
                <w:sz w:val="20"/>
                <w:lang w:val="pt-BR"/>
              </w:rPr>
              <w:t>Transparência no Relacionamento com os Clientes</w:t>
            </w:r>
            <w:r w:rsidRPr="00CA002A">
              <w:rPr>
                <w:rFonts w:ascii="Arial" w:hAnsi="Arial" w:cs="Arial"/>
                <w:sz w:val="20"/>
                <w:lang w:val="pt-BR"/>
              </w:rPr>
              <w:t xml:space="preserve"> - Fornecer ao cliente informações relevantes sobre os processos que levaram à concepção do produto que ele está adquirindo. Transparência e boa comunicação ao longo da cadeia de consumo, inclusive conscientizando o cliente sobre a origem, produção e destinação pós-consumo de nossos produtos.</w:t>
            </w:r>
          </w:p>
          <w:p w14:paraId="0BD0F061" w14:textId="77777777" w:rsidR="000166E3" w:rsidRPr="00CA002A" w:rsidRDefault="008C3733" w:rsidP="00CA002A">
            <w:pPr>
              <w:rPr>
                <w:rFonts w:ascii="Arial" w:hAnsi="Arial" w:cs="Arial"/>
                <w:sz w:val="20"/>
                <w:lang w:val="pt-BR"/>
              </w:rPr>
            </w:pPr>
            <w:r w:rsidRPr="00CA002A">
              <w:rPr>
                <w:rFonts w:ascii="Arial" w:hAnsi="Arial" w:cs="Arial"/>
                <w:b/>
                <w:sz w:val="20"/>
                <w:lang w:val="pt-BR"/>
              </w:rPr>
              <w:t>Qualidade e Segurança do Produto</w:t>
            </w:r>
            <w:r w:rsidRPr="00CA002A">
              <w:rPr>
                <w:rFonts w:ascii="Arial" w:hAnsi="Arial" w:cs="Arial"/>
                <w:sz w:val="20"/>
                <w:lang w:val="pt-BR"/>
              </w:rPr>
              <w:t>- Gestão da qualidade e da durabilidade dos produtos alinhada às normas técnicas. Inclui ainda a responsabilidade no uso de químicos, levando em conta seus impactos no produto, meio ambiente e usuários.</w:t>
            </w:r>
          </w:p>
        </w:tc>
      </w:tr>
      <w:tr w:rsidR="000166E3" w14:paraId="0BD0F064" w14:textId="77777777" w:rsidTr="00CA002A">
        <w:trPr>
          <w:jc w:val="center"/>
        </w:trPr>
        <w:tc>
          <w:tcPr>
            <w:tcW w:w="7513" w:type="dxa"/>
            <w:gridSpan w:val="3"/>
            <w:shd w:val="clear" w:color="auto" w:fill="FFD966" w:themeFill="accent4" w:themeFillTint="99"/>
            <w:vAlign w:val="center"/>
          </w:tcPr>
          <w:p w14:paraId="0BD0F063" w14:textId="77777777" w:rsidR="000166E3" w:rsidRPr="00CA002A" w:rsidRDefault="008C3733" w:rsidP="00CA002A">
            <w:pPr>
              <w:jc w:val="center"/>
              <w:rPr>
                <w:rFonts w:ascii="Arial" w:hAnsi="Arial" w:cs="Arial"/>
                <w:sz w:val="20"/>
                <w:lang w:val="pt-BR"/>
              </w:rPr>
            </w:pPr>
            <w:r w:rsidRPr="00CA002A">
              <w:rPr>
                <w:rFonts w:ascii="Arial" w:hAnsi="Arial" w:cs="Arial"/>
                <w:b/>
                <w:bCs/>
                <w:sz w:val="20"/>
                <w:lang w:val="pt-BR"/>
              </w:rPr>
              <w:t>SUSTENTABILIDADE ECONÔMICA</w:t>
            </w:r>
          </w:p>
        </w:tc>
      </w:tr>
      <w:tr w:rsidR="000166E3" w:rsidRPr="008B44E1" w14:paraId="0BD0F067" w14:textId="77777777" w:rsidTr="00313EFE">
        <w:trPr>
          <w:jc w:val="center"/>
        </w:trPr>
        <w:tc>
          <w:tcPr>
            <w:tcW w:w="3542" w:type="dxa"/>
            <w:gridSpan w:val="2"/>
            <w:shd w:val="clear" w:color="auto" w:fill="FFE599" w:themeFill="accent4" w:themeFillTint="66"/>
          </w:tcPr>
          <w:p w14:paraId="0BD0F065" w14:textId="77777777" w:rsidR="000166E3" w:rsidRPr="00CA002A" w:rsidRDefault="008C3733" w:rsidP="00CA002A">
            <w:pPr>
              <w:rPr>
                <w:rFonts w:ascii="Arial" w:hAnsi="Arial" w:cs="Arial"/>
                <w:sz w:val="20"/>
                <w:lang w:val="pt-BR"/>
              </w:rPr>
            </w:pPr>
            <w:r w:rsidRPr="00CA002A">
              <w:rPr>
                <w:rFonts w:ascii="Arial" w:hAnsi="Arial" w:cs="Arial"/>
                <w:b/>
                <w:sz w:val="20"/>
                <w:lang w:val="pt-BR"/>
              </w:rPr>
              <w:t>Gestão e Engajamento da Cadeia de Suprimentos</w:t>
            </w:r>
          </w:p>
        </w:tc>
        <w:tc>
          <w:tcPr>
            <w:tcW w:w="3971" w:type="dxa"/>
            <w:shd w:val="clear" w:color="auto" w:fill="FFE599" w:themeFill="accent4" w:themeFillTint="66"/>
          </w:tcPr>
          <w:p w14:paraId="0BD0F066" w14:textId="77777777" w:rsidR="000166E3" w:rsidRPr="00CA002A" w:rsidRDefault="008C3733" w:rsidP="00CA002A">
            <w:pPr>
              <w:rPr>
                <w:rFonts w:ascii="Arial" w:hAnsi="Arial" w:cs="Arial"/>
                <w:sz w:val="20"/>
                <w:lang w:val="pt-BR"/>
              </w:rPr>
            </w:pPr>
            <w:r w:rsidRPr="00CA002A">
              <w:rPr>
                <w:rFonts w:ascii="Arial" w:hAnsi="Arial" w:cs="Arial"/>
                <w:sz w:val="20"/>
                <w:lang w:val="pt-BR"/>
              </w:rPr>
              <w:t>Garantia de boas práticas trabalhistas e ambientais. Aderência aos valores ao longo da cadeia de suprimentos.</w:t>
            </w:r>
          </w:p>
        </w:tc>
      </w:tr>
      <w:tr w:rsidR="000166E3" w:rsidRPr="008B44E1" w14:paraId="0BD0F06A" w14:textId="77777777" w:rsidTr="00313EFE">
        <w:trPr>
          <w:jc w:val="center"/>
        </w:trPr>
        <w:tc>
          <w:tcPr>
            <w:tcW w:w="3542" w:type="dxa"/>
            <w:gridSpan w:val="2"/>
            <w:shd w:val="clear" w:color="auto" w:fill="FFE599" w:themeFill="accent4" w:themeFillTint="66"/>
          </w:tcPr>
          <w:p w14:paraId="0BD0F068" w14:textId="77777777" w:rsidR="000166E3" w:rsidRPr="00CA002A" w:rsidRDefault="008C3733" w:rsidP="00CA002A">
            <w:pPr>
              <w:rPr>
                <w:rFonts w:ascii="Arial" w:hAnsi="Arial" w:cs="Arial"/>
                <w:sz w:val="20"/>
                <w:lang w:val="pt-BR"/>
              </w:rPr>
            </w:pPr>
            <w:r w:rsidRPr="00CA002A">
              <w:rPr>
                <w:rFonts w:ascii="Arial" w:hAnsi="Arial" w:cs="Arial"/>
                <w:b/>
                <w:sz w:val="20"/>
                <w:lang w:val="pt-BR"/>
              </w:rPr>
              <w:t>Produto de Menor Impacto</w:t>
            </w:r>
          </w:p>
        </w:tc>
        <w:tc>
          <w:tcPr>
            <w:tcW w:w="3971" w:type="dxa"/>
            <w:shd w:val="clear" w:color="auto" w:fill="FFE599" w:themeFill="accent4" w:themeFillTint="66"/>
          </w:tcPr>
          <w:p w14:paraId="0BD0F069" w14:textId="77777777" w:rsidR="000166E3" w:rsidRPr="00CA002A" w:rsidRDefault="008C3733" w:rsidP="00CA002A">
            <w:pPr>
              <w:rPr>
                <w:rFonts w:ascii="Arial" w:hAnsi="Arial" w:cs="Arial"/>
                <w:sz w:val="20"/>
                <w:lang w:val="pt-BR"/>
              </w:rPr>
            </w:pPr>
            <w:r w:rsidRPr="00CA002A">
              <w:rPr>
                <w:rFonts w:ascii="Arial" w:hAnsi="Arial" w:cs="Arial"/>
                <w:sz w:val="20"/>
                <w:lang w:val="pt-BR"/>
              </w:rPr>
              <w:t>Avaliação dos impactos ao longo do ciclo de vida dos produtos, buscando a redução da pegada ecológica. Estabelecimento de processos para garantir o uso eficiente de recursos, reciclabilidade, matérias-primas de menor impacto e cuidado com o bem-estar anima.</w:t>
            </w:r>
          </w:p>
        </w:tc>
      </w:tr>
      <w:tr w:rsidR="000166E3" w14:paraId="0BD0F06C" w14:textId="77777777" w:rsidTr="00313EFE">
        <w:trPr>
          <w:jc w:val="center"/>
        </w:trPr>
        <w:tc>
          <w:tcPr>
            <w:tcW w:w="7513" w:type="dxa"/>
            <w:gridSpan w:val="3"/>
            <w:shd w:val="clear" w:color="auto" w:fill="FFD966" w:themeFill="accent4" w:themeFillTint="99"/>
          </w:tcPr>
          <w:p w14:paraId="0BD0F06B" w14:textId="77777777" w:rsidR="000166E3" w:rsidRPr="00CA002A" w:rsidRDefault="008C3733" w:rsidP="00CA002A">
            <w:pPr>
              <w:jc w:val="center"/>
              <w:rPr>
                <w:rFonts w:ascii="Arial" w:hAnsi="Arial" w:cs="Arial"/>
                <w:sz w:val="20"/>
                <w:lang w:val="pt-BR"/>
              </w:rPr>
            </w:pPr>
            <w:r w:rsidRPr="00CA002A">
              <w:rPr>
                <w:rFonts w:ascii="Arial" w:hAnsi="Arial" w:cs="Arial"/>
                <w:b/>
                <w:bCs/>
                <w:sz w:val="20"/>
                <w:lang w:val="pt-BR"/>
              </w:rPr>
              <w:t>SUSTENTABILIDADE AMBIENTAL</w:t>
            </w:r>
          </w:p>
        </w:tc>
      </w:tr>
      <w:tr w:rsidR="000166E3" w:rsidRPr="008B44E1" w14:paraId="0BD0F06F" w14:textId="77777777" w:rsidTr="00313EFE">
        <w:trPr>
          <w:jc w:val="center"/>
        </w:trPr>
        <w:tc>
          <w:tcPr>
            <w:tcW w:w="3542" w:type="dxa"/>
            <w:gridSpan w:val="2"/>
            <w:shd w:val="clear" w:color="auto" w:fill="FFF2CC" w:themeFill="accent4" w:themeFillTint="33"/>
          </w:tcPr>
          <w:p w14:paraId="0BD0F06D" w14:textId="77777777" w:rsidR="000166E3" w:rsidRPr="00CA002A" w:rsidRDefault="008C3733" w:rsidP="00CA002A">
            <w:pPr>
              <w:rPr>
                <w:rFonts w:ascii="Arial" w:hAnsi="Arial" w:cs="Arial"/>
                <w:sz w:val="20"/>
                <w:lang w:val="pt-BR"/>
              </w:rPr>
            </w:pPr>
            <w:r w:rsidRPr="00CA002A">
              <w:rPr>
                <w:rFonts w:ascii="Arial" w:hAnsi="Arial" w:cs="Arial"/>
                <w:b/>
                <w:sz w:val="20"/>
                <w:lang w:val="pt-BR"/>
              </w:rPr>
              <w:lastRenderedPageBreak/>
              <w:t>Água e efluentes</w:t>
            </w:r>
          </w:p>
        </w:tc>
        <w:tc>
          <w:tcPr>
            <w:tcW w:w="3971" w:type="dxa"/>
            <w:shd w:val="clear" w:color="auto" w:fill="FFF2CC" w:themeFill="accent4" w:themeFillTint="33"/>
          </w:tcPr>
          <w:p w14:paraId="0BD0F06E" w14:textId="77777777" w:rsidR="000166E3" w:rsidRPr="00CA002A" w:rsidRDefault="008C3733" w:rsidP="00CA002A">
            <w:pPr>
              <w:rPr>
                <w:rFonts w:ascii="Arial" w:hAnsi="Arial" w:cs="Arial"/>
                <w:sz w:val="20"/>
                <w:lang w:val="pt-BR"/>
              </w:rPr>
            </w:pPr>
            <w:r w:rsidRPr="00CA002A">
              <w:rPr>
                <w:rFonts w:ascii="Arial" w:hAnsi="Arial" w:cs="Arial"/>
                <w:sz w:val="20"/>
                <w:lang w:val="pt-BR"/>
              </w:rPr>
              <w:t>Gestão e redução dos impactos das operações nos recursos hídricos, relacionados a captação e consumo de água e descarte de efluentes.</w:t>
            </w:r>
          </w:p>
        </w:tc>
      </w:tr>
      <w:tr w:rsidR="000166E3" w:rsidRPr="008B44E1" w14:paraId="0BD0F072" w14:textId="77777777" w:rsidTr="00313EFE">
        <w:trPr>
          <w:jc w:val="center"/>
        </w:trPr>
        <w:tc>
          <w:tcPr>
            <w:tcW w:w="3542" w:type="dxa"/>
            <w:gridSpan w:val="2"/>
            <w:shd w:val="clear" w:color="auto" w:fill="FFF2CC" w:themeFill="accent4" w:themeFillTint="33"/>
          </w:tcPr>
          <w:p w14:paraId="0BD0F070" w14:textId="77777777" w:rsidR="000166E3" w:rsidRPr="00CA002A" w:rsidRDefault="008C3733" w:rsidP="00CA002A">
            <w:pPr>
              <w:rPr>
                <w:rFonts w:ascii="Arial" w:hAnsi="Arial" w:cs="Arial"/>
                <w:sz w:val="20"/>
                <w:lang w:val="pt-BR"/>
              </w:rPr>
            </w:pPr>
            <w:r w:rsidRPr="00CA002A">
              <w:rPr>
                <w:rFonts w:ascii="Arial" w:hAnsi="Arial" w:cs="Arial"/>
                <w:b/>
                <w:sz w:val="20"/>
                <w:lang w:val="pt-BR"/>
              </w:rPr>
              <w:t>Mudanças Climáticas</w:t>
            </w:r>
          </w:p>
        </w:tc>
        <w:tc>
          <w:tcPr>
            <w:tcW w:w="3971" w:type="dxa"/>
            <w:shd w:val="clear" w:color="auto" w:fill="FFF2CC" w:themeFill="accent4" w:themeFillTint="33"/>
          </w:tcPr>
          <w:p w14:paraId="0BD0F071" w14:textId="77777777" w:rsidR="000166E3" w:rsidRPr="00CA002A" w:rsidRDefault="008C3733" w:rsidP="00CA002A">
            <w:pPr>
              <w:rPr>
                <w:rFonts w:ascii="Arial" w:hAnsi="Arial" w:cs="Arial"/>
                <w:sz w:val="20"/>
                <w:lang w:val="pt-BR"/>
              </w:rPr>
            </w:pPr>
            <w:r w:rsidRPr="00CA002A">
              <w:rPr>
                <w:rFonts w:ascii="Arial" w:hAnsi="Arial" w:cs="Arial"/>
                <w:sz w:val="20"/>
                <w:lang w:val="pt-BR"/>
              </w:rPr>
              <w:t>Mensurar e reduzir emissões de GEE na cadeia de valor. Ética geracional, preocupação com as gerações futuras. Relevância crescente para o mercado de capitais. Usar poder de influência para mover a indústria da moda em direção a práticas menos poluentes.</w:t>
            </w:r>
          </w:p>
        </w:tc>
      </w:tr>
      <w:tr w:rsidR="000166E3" w:rsidRPr="008B44E1" w14:paraId="0BD0F075" w14:textId="77777777" w:rsidTr="00313EFE">
        <w:trPr>
          <w:jc w:val="center"/>
        </w:trPr>
        <w:tc>
          <w:tcPr>
            <w:tcW w:w="3542" w:type="dxa"/>
            <w:gridSpan w:val="2"/>
            <w:shd w:val="clear" w:color="auto" w:fill="FFF2CC" w:themeFill="accent4" w:themeFillTint="33"/>
          </w:tcPr>
          <w:p w14:paraId="0BD0F073" w14:textId="77777777" w:rsidR="000166E3" w:rsidRPr="00CA002A" w:rsidRDefault="008C3733" w:rsidP="00CA002A">
            <w:pPr>
              <w:rPr>
                <w:rFonts w:ascii="Arial" w:hAnsi="Arial" w:cs="Arial"/>
                <w:sz w:val="20"/>
                <w:lang w:val="pt-BR"/>
              </w:rPr>
            </w:pPr>
            <w:r w:rsidRPr="00CA002A">
              <w:rPr>
                <w:rFonts w:ascii="Arial" w:hAnsi="Arial" w:cs="Arial"/>
                <w:b/>
                <w:sz w:val="20"/>
                <w:lang w:val="pt-BR"/>
              </w:rPr>
              <w:t>Gestão de Resíduos Têxteis e Não Têxteis</w:t>
            </w:r>
          </w:p>
        </w:tc>
        <w:tc>
          <w:tcPr>
            <w:tcW w:w="3971" w:type="dxa"/>
            <w:shd w:val="clear" w:color="auto" w:fill="FFF2CC" w:themeFill="accent4" w:themeFillTint="33"/>
          </w:tcPr>
          <w:p w14:paraId="0BD0F074" w14:textId="77777777" w:rsidR="000166E3" w:rsidRPr="00CA002A" w:rsidRDefault="008C3733" w:rsidP="00CA002A">
            <w:pPr>
              <w:rPr>
                <w:rFonts w:ascii="Arial" w:hAnsi="Arial" w:cs="Arial"/>
                <w:sz w:val="20"/>
                <w:lang w:val="pt-BR"/>
              </w:rPr>
            </w:pPr>
            <w:r w:rsidRPr="00CA002A">
              <w:rPr>
                <w:rFonts w:ascii="Arial" w:hAnsi="Arial" w:cs="Arial"/>
                <w:sz w:val="20"/>
                <w:lang w:val="pt-BR"/>
              </w:rPr>
              <w:t>Orientação da gestão de resíduos da companhia a partir de critérios de não geração, redução, reutilização, reciclagem, tratamento e destinação final adequada do produto e/ ou mecanismos de restituição de resíduos pós-consumo. Fortalecer e estimular a economia circular, promovendo o aumento do ciclo de vida dos produtos (</w:t>
            </w:r>
            <w:proofErr w:type="spellStart"/>
            <w:r w:rsidRPr="00CA002A">
              <w:rPr>
                <w:rFonts w:ascii="Arial" w:hAnsi="Arial" w:cs="Arial"/>
                <w:sz w:val="20"/>
                <w:lang w:val="pt-BR"/>
              </w:rPr>
              <w:t>ie</w:t>
            </w:r>
            <w:proofErr w:type="spellEnd"/>
            <w:r w:rsidRPr="00CA002A">
              <w:rPr>
                <w:rFonts w:ascii="Arial" w:hAnsi="Arial" w:cs="Arial"/>
                <w:sz w:val="20"/>
                <w:lang w:val="pt-BR"/>
              </w:rPr>
              <w:t xml:space="preserve">. </w:t>
            </w:r>
            <w:proofErr w:type="spellStart"/>
            <w:r w:rsidRPr="00CA002A">
              <w:rPr>
                <w:rFonts w:ascii="Arial" w:hAnsi="Arial" w:cs="Arial"/>
                <w:i/>
                <w:sz w:val="20"/>
                <w:lang w:val="pt-BR"/>
              </w:rPr>
              <w:t>upcycling</w:t>
            </w:r>
            <w:proofErr w:type="spellEnd"/>
            <w:r w:rsidRPr="00CA002A">
              <w:rPr>
                <w:rFonts w:ascii="Arial" w:hAnsi="Arial" w:cs="Arial"/>
                <w:i/>
                <w:sz w:val="20"/>
                <w:lang w:val="pt-BR"/>
              </w:rPr>
              <w:t xml:space="preserve"> e </w:t>
            </w:r>
            <w:proofErr w:type="spellStart"/>
            <w:r w:rsidRPr="00CA002A">
              <w:rPr>
                <w:rFonts w:ascii="Arial" w:hAnsi="Arial" w:cs="Arial"/>
                <w:i/>
                <w:sz w:val="20"/>
                <w:lang w:val="pt-BR"/>
              </w:rPr>
              <w:t>sustainable</w:t>
            </w:r>
            <w:proofErr w:type="spellEnd"/>
            <w:r w:rsidRPr="00CA002A">
              <w:rPr>
                <w:rFonts w:ascii="Arial" w:hAnsi="Arial" w:cs="Arial"/>
                <w:i/>
                <w:sz w:val="20"/>
                <w:lang w:val="pt-BR"/>
              </w:rPr>
              <w:t xml:space="preserve"> </w:t>
            </w:r>
            <w:proofErr w:type="spellStart"/>
            <w:r w:rsidRPr="00CA002A">
              <w:rPr>
                <w:rFonts w:ascii="Arial" w:hAnsi="Arial" w:cs="Arial"/>
                <w:i/>
                <w:sz w:val="20"/>
                <w:lang w:val="pt-BR"/>
              </w:rPr>
              <w:t>fashion</w:t>
            </w:r>
            <w:proofErr w:type="spellEnd"/>
            <w:r w:rsidRPr="00CA002A">
              <w:rPr>
                <w:rFonts w:ascii="Arial" w:hAnsi="Arial" w:cs="Arial"/>
                <w:i/>
                <w:sz w:val="20"/>
                <w:lang w:val="pt-BR"/>
              </w:rPr>
              <w:t>).</w:t>
            </w:r>
          </w:p>
        </w:tc>
      </w:tr>
    </w:tbl>
    <w:p w14:paraId="0BD0F076" w14:textId="77777777" w:rsidR="000166E3" w:rsidRDefault="008C3733" w:rsidP="00D220D6">
      <w:pPr>
        <w:spacing w:after="240" w:line="360" w:lineRule="auto"/>
        <w:ind w:firstLine="709"/>
        <w:jc w:val="left"/>
        <w:rPr>
          <w:lang w:val="pt-BR"/>
        </w:rPr>
      </w:pPr>
      <w:r>
        <w:rPr>
          <w:sz w:val="20"/>
          <w:lang w:val="pt-BR"/>
        </w:rPr>
        <w:t>Fonte: Elaborado pela autora (2023).</w:t>
      </w:r>
    </w:p>
    <w:p w14:paraId="0BD0F077" w14:textId="77777777" w:rsidR="000166E3" w:rsidRPr="005F1A2A" w:rsidRDefault="000166E3">
      <w:pPr>
        <w:spacing w:line="360" w:lineRule="auto"/>
        <w:jc w:val="center"/>
        <w:rPr>
          <w:sz w:val="20"/>
          <w:lang w:val="pt-BR"/>
        </w:rPr>
      </w:pPr>
    </w:p>
    <w:p w14:paraId="0BD0F078" w14:textId="4E531469" w:rsidR="000166E3" w:rsidRDefault="008C3733" w:rsidP="001C5B6C">
      <w:pPr>
        <w:spacing w:after="120" w:line="360" w:lineRule="auto"/>
        <w:ind w:firstLine="284"/>
        <w:rPr>
          <w:lang w:val="pt-BR"/>
        </w:rPr>
      </w:pPr>
      <w:r>
        <w:rPr>
          <w:bCs/>
          <w:lang w:val="pt-BR"/>
        </w:rPr>
        <w:t>Como pode ser observado no relatório da empresa foco da pesquisa, esta diz</w:t>
      </w:r>
      <w:r>
        <w:rPr>
          <w:lang w:val="pt-BR"/>
        </w:rPr>
        <w:t xml:space="preserve"> cumprir os padrões e exigências legais, como também adotar condutas empresariais responsáveis. Para analisar a </w:t>
      </w:r>
      <w:r>
        <w:rPr>
          <w:b/>
          <w:shd w:val="clear" w:color="auto" w:fill="FFFFFF"/>
          <w:lang w:val="pt-BR"/>
        </w:rPr>
        <w:t>dimens</w:t>
      </w:r>
      <w:r w:rsidR="000F0F38">
        <w:rPr>
          <w:b/>
          <w:shd w:val="clear" w:color="auto" w:fill="FFFFFF"/>
          <w:lang w:val="pt-BR"/>
        </w:rPr>
        <w:t>ão</w:t>
      </w:r>
      <w:r>
        <w:rPr>
          <w:b/>
          <w:shd w:val="clear" w:color="auto" w:fill="FFFFFF"/>
          <w:lang w:val="pt-BR"/>
        </w:rPr>
        <w:t xml:space="preserve"> social</w:t>
      </w:r>
      <w:r>
        <w:rPr>
          <w:shd w:val="clear" w:color="auto" w:fill="FFFFFF"/>
          <w:lang w:val="pt-BR"/>
        </w:rPr>
        <w:t>,</w:t>
      </w:r>
      <w:r>
        <w:rPr>
          <w:b/>
          <w:shd w:val="clear" w:color="auto" w:fill="FFFFFF"/>
          <w:lang w:val="pt-BR"/>
        </w:rPr>
        <w:t xml:space="preserve"> </w:t>
      </w:r>
      <w:r>
        <w:rPr>
          <w:shd w:val="clear" w:color="auto" w:fill="FFFFFF"/>
          <w:lang w:val="pt-BR"/>
        </w:rPr>
        <w:t xml:space="preserve">utilizou-se os </w:t>
      </w:r>
      <w:r>
        <w:rPr>
          <w:color w:val="000000" w:themeColor="text1"/>
          <w:lang w:val="pt-BR"/>
        </w:rPr>
        <w:t xml:space="preserve">tópicos abordados pelas Diretrizes GRI. Quanto as </w:t>
      </w:r>
      <w:r>
        <w:rPr>
          <w:bCs/>
          <w:lang w:val="pt-BR"/>
        </w:rPr>
        <w:t xml:space="preserve">Práticas Trabalhistas e Trabalho Decente, a empresa </w:t>
      </w:r>
      <w:r>
        <w:rPr>
          <w:lang w:val="pt-BR"/>
        </w:rPr>
        <w:t xml:space="preserve">preza pela organização do ambiente de trabalho, proporcionando o bem-estar, a saúde e segurança do seu trabalhador. Procura atrair e manter seus colaboradores, adota o plano de carreira, dando condições para que possam participar de treinamento e de capacitação, mantendo e valorizando os seus profissionais. Atende a diversidade, de maneira transversal para todos os cargos e no relacionamento com terceiros. </w:t>
      </w:r>
    </w:p>
    <w:p w14:paraId="0BD0F079" w14:textId="77777777" w:rsidR="000166E3" w:rsidRPr="005F1A2A" w:rsidRDefault="008C3733" w:rsidP="001C5B6C">
      <w:pPr>
        <w:spacing w:after="120" w:line="360" w:lineRule="auto"/>
        <w:ind w:firstLine="284"/>
        <w:rPr>
          <w:lang w:val="pt-BR"/>
        </w:rPr>
      </w:pPr>
      <w:r>
        <w:rPr>
          <w:szCs w:val="24"/>
          <w:lang w:val="pt-BR"/>
        </w:rPr>
        <w:t xml:space="preserve">A empresa protege os direitos de todos os cidadãos, como pode ser observado nos </w:t>
      </w:r>
      <w:r>
        <w:rPr>
          <w:b/>
          <w:bCs/>
          <w:szCs w:val="24"/>
          <w:lang w:val="pt-BR"/>
        </w:rPr>
        <w:t>Direitos Humanos</w:t>
      </w:r>
      <w:r>
        <w:rPr>
          <w:szCs w:val="24"/>
          <w:lang w:val="pt-BR"/>
        </w:rPr>
        <w:t xml:space="preserve">, considerando importante atender todos os corpos humanos, estilos e gostos dos consumidores. Adota a política de combater e punir casos de violação de </w:t>
      </w:r>
      <w:r>
        <w:rPr>
          <w:szCs w:val="24"/>
          <w:lang w:val="pt-BR"/>
        </w:rPr>
        <w:lastRenderedPageBreak/>
        <w:t>direitos humanos. Destaca-se que todas as empresas e organizações devem observar</w:t>
      </w:r>
      <w:r>
        <w:rPr>
          <w:szCs w:val="24"/>
          <w:shd w:val="clear" w:color="auto" w:fill="FFFFFF"/>
          <w:lang w:val="pt-BR"/>
        </w:rPr>
        <w:t> </w:t>
      </w:r>
      <w:r>
        <w:rPr>
          <w:szCs w:val="24"/>
          <w:lang w:val="pt-BR"/>
        </w:rPr>
        <w:t>todos os direitos</w:t>
      </w:r>
      <w:r>
        <w:rPr>
          <w:szCs w:val="24"/>
          <w:shd w:val="clear" w:color="auto" w:fill="FFFFFF"/>
          <w:lang w:val="pt-BR"/>
        </w:rPr>
        <w:t> enunciados na Carta Internacional de </w:t>
      </w:r>
      <w:r>
        <w:rPr>
          <w:szCs w:val="24"/>
          <w:lang w:val="pt-BR"/>
        </w:rPr>
        <w:t>Direitos Humanos</w:t>
      </w:r>
      <w:r>
        <w:rPr>
          <w:szCs w:val="24"/>
          <w:shd w:val="clear" w:color="auto" w:fill="FFFFFF"/>
          <w:lang w:val="pt-BR"/>
        </w:rPr>
        <w:t>, notadamente a Declaração Universal dos </w:t>
      </w:r>
      <w:r>
        <w:rPr>
          <w:szCs w:val="24"/>
          <w:lang w:val="pt-BR"/>
        </w:rPr>
        <w:t>Direitos Humanos</w:t>
      </w:r>
      <w:r>
        <w:rPr>
          <w:szCs w:val="24"/>
          <w:shd w:val="clear" w:color="auto" w:fill="FFFFFF"/>
          <w:lang w:val="pt-BR"/>
        </w:rPr>
        <w:t>.</w:t>
      </w:r>
    </w:p>
    <w:p w14:paraId="0BD0F07A" w14:textId="77777777" w:rsidR="000166E3" w:rsidRPr="005F1A2A" w:rsidRDefault="008C3733" w:rsidP="001C5B6C">
      <w:pPr>
        <w:spacing w:after="120" w:line="360" w:lineRule="auto"/>
        <w:ind w:firstLine="284"/>
        <w:rPr>
          <w:lang w:val="pt-BR"/>
        </w:rPr>
      </w:pPr>
      <w:r>
        <w:rPr>
          <w:lang w:val="pt-BR"/>
        </w:rPr>
        <w:t>A sociedade de acordo com o relatório da empresa “X”, não sofre os impactos dos seus processos produtivos, porque a empresa protege o meio ambiente e consequentemente a sociedade. Neste contexto, atua de acordo com as leis práticas anticompetitivas, desleais e ilícitas. A dimensão social da empresa envolve também, a proteção ao cliente, informando a origem, produção e destinação pós-consumo dos produtos.</w:t>
      </w:r>
    </w:p>
    <w:p w14:paraId="0BD0F07B" w14:textId="77777777" w:rsidR="000166E3" w:rsidRPr="005F1A2A" w:rsidRDefault="008C3733" w:rsidP="001C5B6C">
      <w:pPr>
        <w:spacing w:after="120" w:line="360" w:lineRule="auto"/>
        <w:ind w:firstLine="284"/>
        <w:rPr>
          <w:lang w:val="pt-BR"/>
        </w:rPr>
      </w:pPr>
      <w:r>
        <w:rPr>
          <w:lang w:val="pt-BR"/>
        </w:rPr>
        <w:t xml:space="preserve">Quanto a </w:t>
      </w:r>
      <w:r>
        <w:rPr>
          <w:b/>
          <w:lang w:val="pt-BR"/>
        </w:rPr>
        <w:t>Dimensão Econômica</w:t>
      </w:r>
      <w:r>
        <w:rPr>
          <w:lang w:val="pt-BR"/>
        </w:rPr>
        <w:t xml:space="preserve"> – Para a Gestão e Engajamento da Cadeia de Suprimentos, a empresa aplica seus valores ao longo da cadeia de suprimentos, o que pode favorecer obter vantagens competitivas. </w:t>
      </w:r>
      <w:r>
        <w:rPr>
          <w:shd w:val="clear" w:color="auto" w:fill="FFFFFF"/>
          <w:lang w:val="pt-BR"/>
        </w:rPr>
        <w:t>Uma </w:t>
      </w:r>
      <w:hyperlink r:id="rId10" w:tgtFrame="_self">
        <w:r>
          <w:rPr>
            <w:rStyle w:val="Hyperlink"/>
            <w:color w:val="000000"/>
            <w:u w:val="none"/>
            <w:shd w:val="clear" w:color="auto" w:fill="FFFFFF"/>
            <w:lang w:val="pt-BR"/>
          </w:rPr>
          <w:t>cadeia de suprimentos sustentável</w:t>
        </w:r>
      </w:hyperlink>
      <w:r>
        <w:rPr>
          <w:shd w:val="clear" w:color="auto" w:fill="FFFFFF"/>
          <w:lang w:val="pt-BR"/>
        </w:rPr>
        <w:t xml:space="preserve"> integra práticas éticas e ambientalmente responsáveis em um modelo competitivo e bem-sucedido. </w:t>
      </w:r>
      <w:r>
        <w:rPr>
          <w:lang w:val="pt-BR"/>
        </w:rPr>
        <w:t>Gestão da qualidade e normas técnicas podem favorecer a durabilidade dos produtos. Uma organização quando adota um sistema de gestão pela qualidade deve, a priori, adotar uma metodologia de identificação e gestão de seus processos.</w:t>
      </w:r>
    </w:p>
    <w:p w14:paraId="0BD0F07C" w14:textId="5E4186D9" w:rsidR="000166E3" w:rsidRPr="005F1A2A" w:rsidRDefault="008C3733" w:rsidP="001C5B6C">
      <w:pPr>
        <w:spacing w:after="120" w:line="360" w:lineRule="auto"/>
        <w:ind w:firstLine="284"/>
        <w:rPr>
          <w:lang w:val="pt-BR"/>
        </w:rPr>
      </w:pPr>
      <w:r>
        <w:rPr>
          <w:lang w:val="pt-BR"/>
        </w:rPr>
        <w:t xml:space="preserve">No que se refere a </w:t>
      </w:r>
      <w:r>
        <w:rPr>
          <w:b/>
          <w:shd w:val="clear" w:color="auto" w:fill="FFFFFF"/>
          <w:lang w:val="pt-BR"/>
        </w:rPr>
        <w:t>dimensão ambiental</w:t>
      </w:r>
      <w:r>
        <w:rPr>
          <w:shd w:val="clear" w:color="auto" w:fill="FFFFFF"/>
          <w:lang w:val="pt-BR"/>
        </w:rPr>
        <w:t xml:space="preserve"> destaca-se ser </w:t>
      </w:r>
      <w:r w:rsidR="007C37F8">
        <w:rPr>
          <w:shd w:val="clear" w:color="auto" w:fill="FFFFFF"/>
          <w:lang w:val="pt-BR"/>
        </w:rPr>
        <w:t>possível</w:t>
      </w:r>
      <w:r>
        <w:rPr>
          <w:shd w:val="clear" w:color="auto" w:fill="FFFFFF"/>
          <w:lang w:val="pt-BR"/>
        </w:rPr>
        <w:t xml:space="preserve"> </w:t>
      </w:r>
      <w:r>
        <w:rPr>
          <w:lang w:val="pt-BR"/>
        </w:rPr>
        <w:t>a preservação do meio ambiente no processo de desenvolvimento de produtos, fato que já faz parte do universo da Moda. Como pode ser observado no Quadro 2, o relatório mostra que a empresa “X” se preocupa com o consumo de água e descarte em efluentes. Inclui a responsabilidade no uso de químicos, levando em conta seus impactos no produto, meio ambiente e na vida dos usuários. Para proteger o planeta de mudanças climáticas</w:t>
      </w:r>
      <w:r w:rsidR="002E3494">
        <w:rPr>
          <w:lang w:val="pt-BR"/>
        </w:rPr>
        <w:t>,</w:t>
      </w:r>
      <w:r>
        <w:rPr>
          <w:lang w:val="pt-BR"/>
        </w:rPr>
        <w:t xml:space="preserve"> a empresa busca ações para a redução da emissão de gases do efeito estufa, bem como de </w:t>
      </w:r>
      <w:r>
        <w:rPr>
          <w:lang w:val="pt-BR"/>
        </w:rPr>
        <w:lastRenderedPageBreak/>
        <w:t>incentivos para o desenvolvimento de sistemas de produção mais ecológicos e circulares.</w:t>
      </w:r>
    </w:p>
    <w:p w14:paraId="0BD0F07D" w14:textId="00156CAC" w:rsidR="000166E3" w:rsidRPr="005F1A2A" w:rsidRDefault="008C3733" w:rsidP="001C5B6C">
      <w:pPr>
        <w:spacing w:after="120" w:line="360" w:lineRule="auto"/>
        <w:ind w:firstLine="284"/>
        <w:rPr>
          <w:lang w:val="pt-BR"/>
        </w:rPr>
      </w:pPr>
      <w:r>
        <w:rPr>
          <w:szCs w:val="24"/>
          <w:shd w:val="clear" w:color="auto" w:fill="FFFFFF"/>
          <w:lang w:val="pt-BR"/>
        </w:rPr>
        <w:t>De acordo com o relatório</w:t>
      </w:r>
      <w:r w:rsidR="00114D09">
        <w:rPr>
          <w:szCs w:val="24"/>
          <w:shd w:val="clear" w:color="auto" w:fill="FFFFFF"/>
          <w:lang w:val="pt-BR"/>
        </w:rPr>
        <w:t>,</w:t>
      </w:r>
      <w:r>
        <w:rPr>
          <w:szCs w:val="24"/>
          <w:shd w:val="clear" w:color="auto" w:fill="FFFFFF"/>
          <w:lang w:val="pt-BR"/>
        </w:rPr>
        <w:t xml:space="preserve"> a empresa faz a </w:t>
      </w:r>
      <w:r>
        <w:rPr>
          <w:b/>
          <w:szCs w:val="24"/>
          <w:shd w:val="clear" w:color="auto" w:fill="FFFFFF"/>
          <w:lang w:val="pt-BR"/>
        </w:rPr>
        <w:t>Gestão de Resíduos Têxteis</w:t>
      </w:r>
      <w:r>
        <w:rPr>
          <w:szCs w:val="24"/>
          <w:shd w:val="clear" w:color="auto" w:fill="FFFFFF"/>
          <w:lang w:val="pt-BR"/>
        </w:rPr>
        <w:t xml:space="preserve"> gerados na sobra da produção, que por não possuírem mais utilidade </w:t>
      </w:r>
      <w:r w:rsidR="007C37F8">
        <w:rPr>
          <w:szCs w:val="24"/>
          <w:shd w:val="clear" w:color="auto" w:fill="FFFFFF"/>
          <w:lang w:val="pt-BR"/>
        </w:rPr>
        <w:t>serão</w:t>
      </w:r>
      <w:r>
        <w:rPr>
          <w:szCs w:val="24"/>
          <w:shd w:val="clear" w:color="auto" w:fill="FFFFFF"/>
          <w:lang w:val="pt-BR"/>
        </w:rPr>
        <w:t xml:space="preserve"> descartados. Com isso a empresa estimula a economia circular. Com a economia circular os resíduos são insumos para a produção de novos produtos. A </w:t>
      </w:r>
      <w:hyperlink r:id="rId11">
        <w:r>
          <w:rPr>
            <w:rStyle w:val="Hyperlink"/>
            <w:color w:val="000000"/>
            <w:szCs w:val="24"/>
            <w:u w:val="none"/>
            <w:shd w:val="clear" w:color="auto" w:fill="FFFFFF"/>
            <w:lang w:val="pt-BR"/>
          </w:rPr>
          <w:t>Política Nacional de Resíduos Sólidos (Lei nº 12.305/2010)</w:t>
        </w:r>
      </w:hyperlink>
      <w:r>
        <w:rPr>
          <w:szCs w:val="24"/>
          <w:shd w:val="clear" w:color="auto" w:fill="FFFFFF"/>
          <w:lang w:val="pt-BR"/>
        </w:rPr>
        <w:t> do </w:t>
      </w:r>
      <w:hyperlink r:id="rId12">
        <w:r>
          <w:rPr>
            <w:rStyle w:val="Hyperlink"/>
            <w:color w:val="000000"/>
            <w:szCs w:val="24"/>
            <w:u w:val="none"/>
            <w:shd w:val="clear" w:color="auto" w:fill="FFFFFF"/>
            <w:lang w:val="pt-BR"/>
          </w:rPr>
          <w:t>Ministério do Meio Ambiente</w:t>
        </w:r>
      </w:hyperlink>
      <w:r>
        <w:rPr>
          <w:szCs w:val="24"/>
          <w:shd w:val="clear" w:color="auto" w:fill="FFFFFF"/>
          <w:lang w:val="pt-BR"/>
        </w:rPr>
        <w:t>, diz que a gestão de resíduos deve garantir o máximo de </w:t>
      </w:r>
      <w:hyperlink r:id="rId13">
        <w:r>
          <w:rPr>
            <w:rStyle w:val="Hyperlink"/>
            <w:color w:val="000000"/>
            <w:szCs w:val="24"/>
            <w:u w:val="none"/>
            <w:shd w:val="clear" w:color="auto" w:fill="FFFFFF"/>
            <w:lang w:val="pt-BR"/>
          </w:rPr>
          <w:t>reaproveitamento</w:t>
        </w:r>
      </w:hyperlink>
      <w:r>
        <w:rPr>
          <w:szCs w:val="24"/>
          <w:shd w:val="clear" w:color="auto" w:fill="FFFFFF"/>
          <w:lang w:val="pt-BR"/>
        </w:rPr>
        <w:t> e </w:t>
      </w:r>
      <w:hyperlink r:id="rId14">
        <w:r>
          <w:rPr>
            <w:rStyle w:val="Hyperlink"/>
            <w:color w:val="000000"/>
            <w:szCs w:val="24"/>
            <w:u w:val="none"/>
            <w:shd w:val="clear" w:color="auto" w:fill="FFFFFF"/>
            <w:lang w:val="pt-BR"/>
          </w:rPr>
          <w:t>reciclagem</w:t>
        </w:r>
      </w:hyperlink>
      <w:r>
        <w:rPr>
          <w:szCs w:val="24"/>
          <w:shd w:val="clear" w:color="auto" w:fill="FFFFFF"/>
          <w:lang w:val="pt-BR"/>
        </w:rPr>
        <w:t> e a minimização dos </w:t>
      </w:r>
      <w:hyperlink r:id="rId15">
        <w:r>
          <w:rPr>
            <w:rStyle w:val="Hyperlink"/>
            <w:color w:val="000000"/>
            <w:szCs w:val="24"/>
            <w:u w:val="none"/>
            <w:shd w:val="clear" w:color="auto" w:fill="FFFFFF"/>
            <w:lang w:val="pt-BR"/>
          </w:rPr>
          <w:t>rejeitos</w:t>
        </w:r>
      </w:hyperlink>
      <w:r>
        <w:rPr>
          <w:szCs w:val="24"/>
          <w:shd w:val="clear" w:color="auto" w:fill="FFFFFF"/>
          <w:lang w:val="pt-BR"/>
        </w:rPr>
        <w:t xml:space="preserve">. A empresa </w:t>
      </w:r>
      <w:r w:rsidR="00953632">
        <w:rPr>
          <w:szCs w:val="24"/>
          <w:shd w:val="clear" w:color="auto" w:fill="FFFFFF"/>
          <w:lang w:val="pt-BR"/>
        </w:rPr>
        <w:t>a</w:t>
      </w:r>
      <w:r>
        <w:rPr>
          <w:szCs w:val="24"/>
          <w:shd w:val="clear" w:color="auto" w:fill="FFFFFF"/>
          <w:lang w:val="pt-BR"/>
        </w:rPr>
        <w:t xml:space="preserve">tingiu 76% da utilização de energia renovável nas unidades administrativas e fabris. </w:t>
      </w:r>
    </w:p>
    <w:p w14:paraId="13720852" w14:textId="77777777" w:rsidR="001C5B6C" w:rsidRPr="005F1A2A" w:rsidRDefault="001C5B6C" w:rsidP="001C5B6C">
      <w:pPr>
        <w:ind w:left="720"/>
        <w:rPr>
          <w:szCs w:val="24"/>
          <w:shd w:val="clear" w:color="auto" w:fill="FFFFFF"/>
          <w:lang w:val="pt-BR"/>
        </w:rPr>
      </w:pPr>
    </w:p>
    <w:p w14:paraId="0BD0F07F" w14:textId="6345BB37" w:rsidR="000166E3" w:rsidRDefault="008C3733">
      <w:pPr>
        <w:spacing w:line="360" w:lineRule="auto"/>
        <w:rPr>
          <w:lang w:val="pt-BR"/>
        </w:rPr>
      </w:pPr>
      <w:r>
        <w:rPr>
          <w:b/>
          <w:lang w:val="pt-BR"/>
        </w:rPr>
        <w:t>6</w:t>
      </w:r>
      <w:r w:rsidR="00CA002A">
        <w:rPr>
          <w:b/>
          <w:lang w:val="pt-BR"/>
        </w:rPr>
        <w:t>.</w:t>
      </w:r>
      <w:r>
        <w:rPr>
          <w:b/>
          <w:lang w:val="pt-BR"/>
        </w:rPr>
        <w:t xml:space="preserve"> </w:t>
      </w:r>
      <w:r w:rsidR="00CA002A">
        <w:rPr>
          <w:b/>
          <w:lang w:val="pt-BR"/>
        </w:rPr>
        <w:t>Conclusão</w:t>
      </w:r>
    </w:p>
    <w:p w14:paraId="0BD0F080" w14:textId="77777777" w:rsidR="000166E3" w:rsidRDefault="000166E3" w:rsidP="001C5B6C">
      <w:pPr>
        <w:ind w:firstLine="284"/>
        <w:rPr>
          <w:lang w:val="pt-BR"/>
        </w:rPr>
      </w:pPr>
    </w:p>
    <w:p w14:paraId="0BD0F081" w14:textId="77777777" w:rsidR="000166E3" w:rsidRPr="005F1A2A" w:rsidRDefault="008C3733" w:rsidP="001C5B6C">
      <w:pPr>
        <w:spacing w:after="120" w:line="360" w:lineRule="auto"/>
        <w:ind w:firstLine="284"/>
        <w:rPr>
          <w:lang w:val="pt-BR"/>
        </w:rPr>
      </w:pPr>
      <w:r>
        <w:rPr>
          <w:shd w:val="clear" w:color="auto" w:fill="FFFFFF"/>
          <w:lang w:val="pt-BR"/>
        </w:rPr>
        <w:t xml:space="preserve">Considerando o conceito do </w:t>
      </w:r>
      <w:r>
        <w:rPr>
          <w:i/>
          <w:iCs/>
          <w:shd w:val="clear" w:color="auto" w:fill="FFFFFF"/>
          <w:lang w:val="pt-BR"/>
        </w:rPr>
        <w:t xml:space="preserve">Triple </w:t>
      </w:r>
      <w:proofErr w:type="spellStart"/>
      <w:r>
        <w:rPr>
          <w:i/>
          <w:iCs/>
          <w:shd w:val="clear" w:color="auto" w:fill="FFFFFF"/>
          <w:lang w:val="pt-BR"/>
        </w:rPr>
        <w:t>Bottom</w:t>
      </w:r>
      <w:proofErr w:type="spellEnd"/>
      <w:r>
        <w:rPr>
          <w:i/>
          <w:iCs/>
          <w:shd w:val="clear" w:color="auto" w:fill="FFFFFF"/>
          <w:lang w:val="pt-BR"/>
        </w:rPr>
        <w:t xml:space="preserve"> </w:t>
      </w:r>
      <w:proofErr w:type="spellStart"/>
      <w:r>
        <w:rPr>
          <w:i/>
          <w:iCs/>
          <w:shd w:val="clear" w:color="auto" w:fill="FFFFFF"/>
          <w:lang w:val="pt-BR"/>
        </w:rPr>
        <w:t>Line</w:t>
      </w:r>
      <w:proofErr w:type="spellEnd"/>
      <w:r>
        <w:rPr>
          <w:shd w:val="clear" w:color="auto" w:fill="FFFFFF"/>
          <w:lang w:val="pt-BR"/>
        </w:rPr>
        <w:t xml:space="preserve">, o tripé da sustentabilidade, que leva em conta três aspectos, o econômico, o social e o ambiental, a ISO 14001, a empresa em questão teve potencial para trazer ganhos ambientais e, consequentemente, ganhos econômicos – reduzir o consumo de água e energia elétrica, por exemplo, reduz os custos. O relatório mostra a </w:t>
      </w:r>
      <w:r>
        <w:rPr>
          <w:lang w:val="pt-BR"/>
        </w:rPr>
        <w:t>responsabilidade da empresa na disseminação de boas práticas empresariais que sejam sustentáveis e saudáveis para seus negócios, para os clientes/consumidores, para o planeta, seus colaboradores, garantindo um ambiente de trabalho seguro, saudável, digno, igualitário e colaborativo, sempre incentivando uma relação pautada no respeito à liberdade e às diferenças entre os indivíduos.</w:t>
      </w:r>
    </w:p>
    <w:p w14:paraId="0BD0F082" w14:textId="77777777" w:rsidR="000166E3" w:rsidRPr="005F1A2A" w:rsidRDefault="008C3733" w:rsidP="001C5B6C">
      <w:pPr>
        <w:spacing w:after="120" w:line="360" w:lineRule="auto"/>
        <w:ind w:firstLine="284"/>
        <w:rPr>
          <w:lang w:val="pt-BR"/>
        </w:rPr>
      </w:pPr>
      <w:r>
        <w:rPr>
          <w:lang w:val="pt-BR"/>
        </w:rPr>
        <w:t xml:space="preserve">Na perspectiva ambiental da sustentabilidade, um dos principais problemas da indústria têxtil é a quantidade de resíduos gerados, que causa impactos nas três dimensões da sustentabilidade. Neste contexto, e como exposto anteriormente, o tópico “Resíduos” teve uma ênfase importante no relatório, pois a empresa indica ter um plano </w:t>
      </w:r>
      <w:r>
        <w:rPr>
          <w:lang w:val="pt-BR"/>
        </w:rPr>
        <w:lastRenderedPageBreak/>
        <w:t>de gerenciamento de resíduos sólidos. Com a gestão correta de resíduos e a eliminação de perdas, além de uma melhor qualidade na produtividade, também se diminuem os custos dos produtos, uma vez que esses resíduos são levados para reciclagem e reaproveitados em outras cadeias de valor.</w:t>
      </w:r>
    </w:p>
    <w:p w14:paraId="0BD0F083" w14:textId="2CD3DF5F" w:rsidR="000166E3" w:rsidRPr="005F1A2A" w:rsidRDefault="008C3733" w:rsidP="001C5B6C">
      <w:pPr>
        <w:spacing w:after="120" w:line="360" w:lineRule="auto"/>
        <w:ind w:firstLine="284"/>
        <w:rPr>
          <w:lang w:val="pt-BR"/>
        </w:rPr>
      </w:pPr>
      <w:r>
        <w:rPr>
          <w:szCs w:val="24"/>
          <w:lang w:val="pt-BR"/>
        </w:rPr>
        <w:t>Um destaque importante no relatório, que vale ressaltar,</w:t>
      </w:r>
      <w:r w:rsidR="008F07CD">
        <w:rPr>
          <w:szCs w:val="24"/>
          <w:lang w:val="pt-BR"/>
        </w:rPr>
        <w:t xml:space="preserve"> é a </w:t>
      </w:r>
      <w:r>
        <w:rPr>
          <w:szCs w:val="24"/>
          <w:lang w:val="pt-BR"/>
        </w:rPr>
        <w:t xml:space="preserve">avaliação dos impactos ao longo do ciclo de vida dos produtos, buscando a redução com a pegada ecológica. </w:t>
      </w:r>
      <w:r w:rsidR="008F07CD">
        <w:rPr>
          <w:szCs w:val="24"/>
          <w:lang w:val="pt-BR"/>
        </w:rPr>
        <w:t>E o e</w:t>
      </w:r>
      <w:r>
        <w:rPr>
          <w:szCs w:val="24"/>
          <w:lang w:val="pt-BR"/>
        </w:rPr>
        <w:t>stabelecimento de processos para garantir o uso eficiente de recursos, reciclabilidade, matérias-primas de menor impacto e cuidado com o bem-estar social. Ficou claro a</w:t>
      </w:r>
      <w:r>
        <w:rPr>
          <w:b/>
          <w:szCs w:val="24"/>
          <w:lang w:val="pt-BR"/>
        </w:rPr>
        <w:t xml:space="preserve"> </w:t>
      </w:r>
      <w:r>
        <w:rPr>
          <w:szCs w:val="24"/>
          <w:lang w:val="pt-BR"/>
        </w:rPr>
        <w:t>avaliação</w:t>
      </w:r>
      <w:r>
        <w:rPr>
          <w:b/>
          <w:szCs w:val="24"/>
          <w:lang w:val="pt-BR"/>
        </w:rPr>
        <w:t xml:space="preserve"> </w:t>
      </w:r>
      <w:r>
        <w:rPr>
          <w:szCs w:val="24"/>
          <w:lang w:val="pt-BR"/>
        </w:rPr>
        <w:t>social dos fornecedores e a contratação de novos fornecedores, ser um compromisso. Diante exposto, foi possível identificar que as práticas de sustentabilidade mais enfatizadas pela empresa “X”, estão relacionadas a dimens</w:t>
      </w:r>
      <w:r w:rsidR="002924FD">
        <w:rPr>
          <w:szCs w:val="24"/>
          <w:lang w:val="pt-BR"/>
        </w:rPr>
        <w:t>ão</w:t>
      </w:r>
      <w:r>
        <w:rPr>
          <w:szCs w:val="24"/>
          <w:lang w:val="pt-BR"/>
        </w:rPr>
        <w:t xml:space="preserve"> </w:t>
      </w:r>
      <w:r w:rsidR="002924FD">
        <w:rPr>
          <w:szCs w:val="24"/>
          <w:lang w:val="pt-BR"/>
        </w:rPr>
        <w:t>s</w:t>
      </w:r>
      <w:r>
        <w:rPr>
          <w:szCs w:val="24"/>
          <w:lang w:val="pt-BR"/>
        </w:rPr>
        <w:t>ocial da sustentabilidade, porém, em consonância com as demais dimensões.</w:t>
      </w:r>
    </w:p>
    <w:p w14:paraId="0BD0F085" w14:textId="77777777" w:rsidR="000166E3" w:rsidRPr="005F1A2A" w:rsidRDefault="000166E3">
      <w:pPr>
        <w:pStyle w:val="PargrafodaLista"/>
        <w:spacing w:after="120"/>
        <w:rPr>
          <w:szCs w:val="24"/>
          <w:lang w:val="pt-BR"/>
        </w:rPr>
      </w:pPr>
    </w:p>
    <w:p w14:paraId="0BD0F086" w14:textId="77777777" w:rsidR="000166E3" w:rsidRPr="005F1A2A" w:rsidRDefault="008C3733">
      <w:pPr>
        <w:spacing w:line="360" w:lineRule="auto"/>
        <w:jc w:val="left"/>
        <w:rPr>
          <w:b/>
          <w:bCs/>
          <w:lang w:val="pt-BR"/>
        </w:rPr>
      </w:pPr>
      <w:r>
        <w:rPr>
          <w:b/>
          <w:bCs/>
          <w:shd w:val="clear" w:color="auto" w:fill="FFFFFF"/>
          <w:lang w:val="pt-BR"/>
        </w:rPr>
        <w:t>REFERÊNCIAS</w:t>
      </w:r>
    </w:p>
    <w:p w14:paraId="0BD0F087" w14:textId="77777777" w:rsidR="000166E3" w:rsidRDefault="000166E3">
      <w:pPr>
        <w:spacing w:line="360" w:lineRule="auto"/>
        <w:jc w:val="left"/>
        <w:rPr>
          <w:shd w:val="clear" w:color="auto" w:fill="FFFFFF"/>
          <w:lang w:val="pt-BR"/>
        </w:rPr>
      </w:pPr>
    </w:p>
    <w:p w14:paraId="0BD0F089" w14:textId="53781003" w:rsidR="000166E3" w:rsidRDefault="008C3733" w:rsidP="001C5B6C">
      <w:pPr>
        <w:spacing w:after="120"/>
        <w:jc w:val="left"/>
        <w:rPr>
          <w:lang w:val="pt-BR"/>
        </w:rPr>
      </w:pPr>
      <w:r>
        <w:rPr>
          <w:lang w:val="pt-BR"/>
        </w:rPr>
        <w:t xml:space="preserve">ÁVILA L. V.; MADRUGA L. R. R. G.; BEURON T. A. </w:t>
      </w:r>
      <w:r w:rsidRPr="004337E5">
        <w:rPr>
          <w:bCs/>
          <w:lang w:val="pt-BR"/>
        </w:rPr>
        <w:t>Planejamento e sustentabilidade:</w:t>
      </w:r>
      <w:r>
        <w:rPr>
          <w:lang w:val="pt-BR"/>
        </w:rPr>
        <w:t xml:space="preserve"> o caso das instituições federais de ensino superior</w:t>
      </w:r>
      <w:r w:rsidRPr="004337E5">
        <w:rPr>
          <w:b/>
          <w:bCs/>
          <w:lang w:val="pt-BR"/>
        </w:rPr>
        <w:t xml:space="preserve">. Revista de Gestão Ambiental e Sustentabilidade – </w:t>
      </w:r>
      <w:proofErr w:type="spellStart"/>
      <w:r w:rsidRPr="004337E5">
        <w:rPr>
          <w:b/>
          <w:bCs/>
          <w:lang w:val="pt-BR"/>
        </w:rPr>
        <w:t>GeAS</w:t>
      </w:r>
      <w:proofErr w:type="spellEnd"/>
      <w:r>
        <w:rPr>
          <w:lang w:val="pt-BR"/>
        </w:rPr>
        <w:t xml:space="preserve"> v.5, n.1. jan./abr. 2016.</w:t>
      </w:r>
    </w:p>
    <w:p w14:paraId="0BD0F08B" w14:textId="1EB36433" w:rsidR="000166E3" w:rsidRPr="00CF0BE1" w:rsidRDefault="008C3733" w:rsidP="001C5B6C">
      <w:pPr>
        <w:shd w:val="clear" w:color="auto" w:fill="FFFFFF"/>
        <w:spacing w:after="120"/>
        <w:jc w:val="left"/>
        <w:rPr>
          <w:lang w:val="pt-BR"/>
        </w:rPr>
      </w:pPr>
      <w:r>
        <w:rPr>
          <w:lang w:val="pt-BR"/>
        </w:rPr>
        <w:t xml:space="preserve">BORGER, Fernanda Gabriela. </w:t>
      </w:r>
      <w:r>
        <w:rPr>
          <w:b/>
          <w:iCs/>
          <w:lang w:val="pt-BR"/>
        </w:rPr>
        <w:t xml:space="preserve">Responsabilidade Social: </w:t>
      </w:r>
      <w:r>
        <w:rPr>
          <w:iCs/>
          <w:lang w:val="pt-BR"/>
        </w:rPr>
        <w:t>Efeitos da Atuação Social na Dinâmica Empresarial</w:t>
      </w:r>
      <w:r w:rsidR="004337E5">
        <w:rPr>
          <w:iCs/>
          <w:lang w:val="pt-BR"/>
        </w:rPr>
        <w:t>. 2001. Tese</w:t>
      </w:r>
      <w:r>
        <w:rPr>
          <w:lang w:val="pt-BR"/>
        </w:rPr>
        <w:t xml:space="preserve"> (</w:t>
      </w:r>
      <w:r w:rsidR="004337E5">
        <w:rPr>
          <w:lang w:val="pt-BR"/>
        </w:rPr>
        <w:t>D</w:t>
      </w:r>
      <w:r>
        <w:rPr>
          <w:lang w:val="pt-BR"/>
        </w:rPr>
        <w:t>outorado)</w:t>
      </w:r>
      <w:r w:rsidR="004337E5">
        <w:rPr>
          <w:lang w:val="pt-BR"/>
        </w:rPr>
        <w:t xml:space="preserve"> -</w:t>
      </w:r>
      <w:r>
        <w:rPr>
          <w:lang w:val="pt-BR"/>
        </w:rPr>
        <w:t xml:space="preserve"> Departamento de Administração</w:t>
      </w:r>
      <w:r w:rsidR="004337E5">
        <w:rPr>
          <w:lang w:val="pt-BR"/>
        </w:rPr>
        <w:t>,</w:t>
      </w:r>
      <w:r>
        <w:rPr>
          <w:lang w:val="pt-BR"/>
        </w:rPr>
        <w:t xml:space="preserve"> </w:t>
      </w:r>
      <w:r w:rsidRPr="00CF0BE1">
        <w:rPr>
          <w:lang w:val="pt-BR"/>
        </w:rPr>
        <w:t>São Paulo: USP, 2001.</w:t>
      </w:r>
    </w:p>
    <w:p w14:paraId="0BD0F08D" w14:textId="076D6B03" w:rsidR="000166E3" w:rsidRPr="005F1A2A" w:rsidRDefault="008C3733" w:rsidP="001C5B6C">
      <w:pPr>
        <w:shd w:val="clear" w:color="auto" w:fill="FFFFFF"/>
        <w:spacing w:after="120"/>
        <w:jc w:val="left"/>
      </w:pPr>
      <w:r w:rsidRPr="008B44E1">
        <w:t xml:space="preserve">BOCKEN, N. M. P. </w:t>
      </w:r>
      <w:r w:rsidRPr="008B44E1">
        <w:rPr>
          <w:i/>
        </w:rPr>
        <w:t>et al</w:t>
      </w:r>
      <w:r w:rsidRPr="008B44E1">
        <w:t xml:space="preserve">. </w:t>
      </w:r>
      <w:r w:rsidRPr="004337E5">
        <w:rPr>
          <w:bCs/>
        </w:rPr>
        <w:t>A literature and practice review to develop sustainable business model archetypes.</w:t>
      </w:r>
      <w:r w:rsidRPr="005F1A2A">
        <w:t xml:space="preserve"> </w:t>
      </w:r>
      <w:r w:rsidRPr="004337E5">
        <w:rPr>
          <w:b/>
          <w:bCs/>
        </w:rPr>
        <w:t>Journal of Cleaner Production</w:t>
      </w:r>
      <w:r w:rsidRPr="005F1A2A">
        <w:t>, v. 65, p. 42–56, 2014.</w:t>
      </w:r>
    </w:p>
    <w:p w14:paraId="0BD0F08F" w14:textId="120D2A6C" w:rsidR="000166E3" w:rsidRDefault="008C3733" w:rsidP="001C5B6C">
      <w:pPr>
        <w:spacing w:after="120"/>
        <w:jc w:val="left"/>
        <w:rPr>
          <w:lang w:val="pt-BR"/>
        </w:rPr>
      </w:pPr>
      <w:r w:rsidRPr="008612EB">
        <w:t xml:space="preserve">BRAUN, Diogo Marcel Reuter; ROBL, Ronan Saulo. </w:t>
      </w:r>
      <w:r>
        <w:rPr>
          <w:lang w:val="pt-BR"/>
        </w:rPr>
        <w:t xml:space="preserve">O ICMS ecológico como instrumento auxiliar para o alcance da sustentabilidade. </w:t>
      </w:r>
      <w:r>
        <w:rPr>
          <w:i/>
          <w:lang w:val="pt-BR"/>
        </w:rPr>
        <w:t>In</w:t>
      </w:r>
      <w:r>
        <w:rPr>
          <w:lang w:val="pt-BR"/>
        </w:rPr>
        <w:t xml:space="preserve">: SOUZA, Maria Cláudia da Silva Antunes de; ARMADA, Charles Alexandre. </w:t>
      </w:r>
      <w:r>
        <w:rPr>
          <w:b/>
          <w:lang w:val="pt-BR"/>
        </w:rPr>
        <w:t>Sustentabilidade, meio ambiente e sociedade</w:t>
      </w:r>
      <w:r>
        <w:rPr>
          <w:lang w:val="pt-BR"/>
        </w:rPr>
        <w:t>: reflexões e perspectivas</w:t>
      </w:r>
      <w:r w:rsidR="004337E5">
        <w:rPr>
          <w:lang w:val="pt-BR"/>
        </w:rPr>
        <w:t xml:space="preserve">, 2015. </w:t>
      </w:r>
      <w:r w:rsidR="004337E5" w:rsidRPr="004337E5">
        <w:rPr>
          <w:i/>
          <w:iCs/>
          <w:lang w:val="pt-BR"/>
        </w:rPr>
        <w:t>E</w:t>
      </w:r>
      <w:r w:rsidRPr="004337E5">
        <w:rPr>
          <w:i/>
          <w:iCs/>
          <w:lang w:val="pt-BR"/>
        </w:rPr>
        <w:t>-book</w:t>
      </w:r>
      <w:r>
        <w:rPr>
          <w:lang w:val="pt-BR"/>
        </w:rPr>
        <w:t>. Umuarama: Universidade Paranaense – UNIPAR, 2015.</w:t>
      </w:r>
    </w:p>
    <w:p w14:paraId="0BD0F090" w14:textId="77777777" w:rsidR="000166E3" w:rsidRDefault="008C3733" w:rsidP="001C5B6C">
      <w:pPr>
        <w:spacing w:after="120"/>
        <w:jc w:val="left"/>
      </w:pPr>
      <w:r>
        <w:rPr>
          <w:lang w:val="pt-BR"/>
        </w:rPr>
        <w:lastRenderedPageBreak/>
        <w:t xml:space="preserve">CLARO, Danny Pimentel; CLARO, Priscila Borin de Oliveira. </w:t>
      </w:r>
      <w:r w:rsidRPr="00FF04ED">
        <w:rPr>
          <w:bCs/>
          <w:lang w:val="pt-BR"/>
        </w:rPr>
        <w:t xml:space="preserve">Sustentabilidade estratégica: </w:t>
      </w:r>
      <w:r>
        <w:rPr>
          <w:lang w:val="pt-BR"/>
        </w:rPr>
        <w:t xml:space="preserve">existe retorno no longo prazo? </w:t>
      </w:r>
      <w:proofErr w:type="spellStart"/>
      <w:r w:rsidRPr="00FF04ED">
        <w:rPr>
          <w:b/>
          <w:bCs/>
        </w:rPr>
        <w:t>Revista</w:t>
      </w:r>
      <w:proofErr w:type="spellEnd"/>
      <w:r w:rsidRPr="00FF04ED">
        <w:rPr>
          <w:b/>
          <w:bCs/>
        </w:rPr>
        <w:t xml:space="preserve"> de </w:t>
      </w:r>
      <w:proofErr w:type="spellStart"/>
      <w:r w:rsidRPr="00FF04ED">
        <w:rPr>
          <w:b/>
          <w:bCs/>
        </w:rPr>
        <w:t>Administração</w:t>
      </w:r>
      <w:proofErr w:type="spellEnd"/>
      <w:r w:rsidRPr="005F1A2A">
        <w:t>, São Paulo, v. 49, n. 2, p. 291-306, 2014.</w:t>
      </w:r>
    </w:p>
    <w:p w14:paraId="0BD0F093" w14:textId="6ED73185" w:rsidR="000166E3" w:rsidRPr="00CF0BE1" w:rsidRDefault="008C3733" w:rsidP="001C5B6C">
      <w:pPr>
        <w:spacing w:after="120"/>
        <w:jc w:val="left"/>
      </w:pPr>
      <w:r w:rsidRPr="005F1A2A">
        <w:t>C</w:t>
      </w:r>
      <w:r w:rsidR="00CB416C">
        <w:t>OHEN</w:t>
      </w:r>
      <w:r w:rsidRPr="005F1A2A">
        <w:t>, B.; W</w:t>
      </w:r>
      <w:r w:rsidR="00CB416C">
        <w:t>INN</w:t>
      </w:r>
      <w:r w:rsidRPr="005F1A2A">
        <w:t xml:space="preserve">, M. I. </w:t>
      </w:r>
      <w:r w:rsidRPr="00FF04ED">
        <w:rPr>
          <w:bCs/>
        </w:rPr>
        <w:t>Market imperfections, opportunity and sustainable entrepreneurship.</w:t>
      </w:r>
      <w:r w:rsidRPr="005F1A2A">
        <w:t xml:space="preserve"> </w:t>
      </w:r>
      <w:r w:rsidRPr="00FF04ED">
        <w:rPr>
          <w:b/>
          <w:bCs/>
        </w:rPr>
        <w:t>Journal of Business Venturing</w:t>
      </w:r>
      <w:r w:rsidRPr="005F1A2A">
        <w:t xml:space="preserve">. </w:t>
      </w:r>
      <w:r w:rsidRPr="00CF0BE1">
        <w:t xml:space="preserve">22(1), </w:t>
      </w:r>
      <w:r w:rsidR="0053330D" w:rsidRPr="00CF0BE1">
        <w:t xml:space="preserve">p. </w:t>
      </w:r>
      <w:r w:rsidRPr="00CF0BE1">
        <w:t>29–49</w:t>
      </w:r>
      <w:r w:rsidR="0053330D" w:rsidRPr="00CF0BE1">
        <w:t xml:space="preserve">, 2007. DOI: </w:t>
      </w:r>
      <w:hyperlink r:id="rId16" w:history="1">
        <w:r w:rsidR="0053330D" w:rsidRPr="00CF0BE1">
          <w:rPr>
            <w:rStyle w:val="Hyperlink"/>
          </w:rPr>
          <w:t>https://doi.org/10.1016/j.jbusvent.2004.12.001</w:t>
        </w:r>
      </w:hyperlink>
      <w:r w:rsidR="008226DC" w:rsidRPr="00CF0BE1">
        <w:t xml:space="preserve">. </w:t>
      </w:r>
      <w:r w:rsidR="008226DC" w:rsidRPr="008226DC">
        <w:rPr>
          <w:lang w:val="pt-BR"/>
        </w:rPr>
        <w:t xml:space="preserve">Disponível em: </w:t>
      </w:r>
      <w:hyperlink r:id="rId17" w:history="1">
        <w:r w:rsidR="008226DC" w:rsidRPr="00E750CB">
          <w:rPr>
            <w:rStyle w:val="Hyperlink"/>
            <w:lang w:val="pt-BR"/>
          </w:rPr>
          <w:t>https://www.sciencedirect.com/science/article/abs/pii/S0883902605000571?via%3Dihub</w:t>
        </w:r>
      </w:hyperlink>
      <w:r w:rsidR="008226DC">
        <w:rPr>
          <w:lang w:val="pt-BR"/>
        </w:rPr>
        <w:t xml:space="preserve">. </w:t>
      </w:r>
      <w:proofErr w:type="spellStart"/>
      <w:r w:rsidR="008226DC" w:rsidRPr="00CF0BE1">
        <w:t>Acesso</w:t>
      </w:r>
      <w:proofErr w:type="spellEnd"/>
      <w:r w:rsidR="008226DC" w:rsidRPr="00CF0BE1">
        <w:t xml:space="preserve"> </w:t>
      </w:r>
      <w:proofErr w:type="spellStart"/>
      <w:r w:rsidR="008226DC" w:rsidRPr="00CF0BE1">
        <w:t>em</w:t>
      </w:r>
      <w:proofErr w:type="spellEnd"/>
      <w:r w:rsidR="008226DC" w:rsidRPr="00CF0BE1">
        <w:t>: 14</w:t>
      </w:r>
      <w:r w:rsidR="00CA5D19">
        <w:t xml:space="preserve"> </w:t>
      </w:r>
      <w:proofErr w:type="spellStart"/>
      <w:r w:rsidR="008226DC" w:rsidRPr="00CF0BE1">
        <w:t>jan.</w:t>
      </w:r>
      <w:proofErr w:type="spellEnd"/>
      <w:r w:rsidR="008226DC" w:rsidRPr="00CF0BE1">
        <w:t xml:space="preserve"> 2025.</w:t>
      </w:r>
    </w:p>
    <w:p w14:paraId="0BD0F095" w14:textId="66DF0152" w:rsidR="000166E3" w:rsidRPr="005F1A2A" w:rsidRDefault="008C3733" w:rsidP="001C5B6C">
      <w:pPr>
        <w:spacing w:after="120"/>
        <w:jc w:val="left"/>
      </w:pPr>
      <w:r w:rsidRPr="005F1A2A">
        <w:t xml:space="preserve">COLANTONIO, A. </w:t>
      </w:r>
      <w:r w:rsidRPr="005F1A2A">
        <w:rPr>
          <w:b/>
        </w:rPr>
        <w:t>Social sustainability</w:t>
      </w:r>
      <w:r w:rsidRPr="005F1A2A">
        <w:t>: a review and critique of traditional versus emerging themes and assessment methods, 2009.</w:t>
      </w:r>
    </w:p>
    <w:p w14:paraId="0BD0F097" w14:textId="3273479D" w:rsidR="000166E3" w:rsidRPr="005F1A2A" w:rsidRDefault="008C3733" w:rsidP="001C5B6C">
      <w:pPr>
        <w:shd w:val="clear" w:color="auto" w:fill="FFFFFF"/>
        <w:spacing w:after="120"/>
        <w:jc w:val="left"/>
      </w:pPr>
      <w:r>
        <w:rPr>
          <w:rStyle w:val="nfase"/>
          <w:i w:val="0"/>
          <w:iCs/>
          <w:lang w:val="pt-BR"/>
        </w:rPr>
        <w:t>DE CARLI, A. M. S</w:t>
      </w:r>
      <w:r>
        <w:rPr>
          <w:rStyle w:val="nfase"/>
          <w:iCs/>
          <w:lang w:val="pt-BR"/>
        </w:rPr>
        <w:t xml:space="preserve">. </w:t>
      </w:r>
      <w:r>
        <w:rPr>
          <w:lang w:val="pt-BR"/>
        </w:rPr>
        <w:t xml:space="preserve">Moda no terceiro milênio novos valores e novas práticas. </w:t>
      </w:r>
      <w:r>
        <w:rPr>
          <w:i/>
          <w:lang w:val="pt-BR"/>
        </w:rPr>
        <w:t>In</w:t>
      </w:r>
      <w:r>
        <w:rPr>
          <w:lang w:val="pt-BR"/>
        </w:rPr>
        <w:t xml:space="preserve">: DE CARLI, A.M.S.; MANFREDINI, M. (Org.). </w:t>
      </w:r>
      <w:r>
        <w:rPr>
          <w:b/>
          <w:lang w:val="pt-BR"/>
        </w:rPr>
        <w:t>Moda em sintonia</w:t>
      </w:r>
      <w:r>
        <w:rPr>
          <w:lang w:val="pt-BR"/>
        </w:rPr>
        <w:t xml:space="preserve">. </w:t>
      </w:r>
      <w:r w:rsidRPr="005F1A2A">
        <w:t xml:space="preserve">Caxias do Sul, RS: </w:t>
      </w:r>
      <w:proofErr w:type="spellStart"/>
      <w:r w:rsidRPr="005F1A2A">
        <w:t>Educs</w:t>
      </w:r>
      <w:proofErr w:type="spellEnd"/>
      <w:r w:rsidRPr="005F1A2A">
        <w:t>, 2011.</w:t>
      </w:r>
    </w:p>
    <w:p w14:paraId="0BD0F099" w14:textId="5E07B535" w:rsidR="000166E3" w:rsidRPr="005F1A2A" w:rsidRDefault="008C3733" w:rsidP="001C5B6C">
      <w:pPr>
        <w:shd w:val="clear" w:color="auto" w:fill="FFFFFF"/>
        <w:spacing w:after="120"/>
        <w:jc w:val="left"/>
      </w:pPr>
      <w:r w:rsidRPr="005F1A2A">
        <w:t xml:space="preserve">DIVITO, L.; BOHNSACK, R. </w:t>
      </w:r>
      <w:r w:rsidRPr="00FF04ED">
        <w:rPr>
          <w:bCs/>
        </w:rPr>
        <w:t>Entrepreneurial orientation and its effect on sustainability decision tradeoffs:</w:t>
      </w:r>
      <w:r w:rsidRPr="005F1A2A">
        <w:t xml:space="preserve"> The case of sustainable fashion firms. </w:t>
      </w:r>
      <w:r w:rsidRPr="00FF04ED">
        <w:rPr>
          <w:b/>
          <w:bCs/>
        </w:rPr>
        <w:t>Journal of Business Venturing</w:t>
      </w:r>
      <w:r w:rsidRPr="005F1A2A">
        <w:t xml:space="preserve">, 32(5), </w:t>
      </w:r>
      <w:r w:rsidR="0053330D">
        <w:t xml:space="preserve">p. </w:t>
      </w:r>
      <w:r w:rsidRPr="005F1A2A">
        <w:t>569–587</w:t>
      </w:r>
      <w:r w:rsidR="0053330D">
        <w:t>, 2017.</w:t>
      </w:r>
    </w:p>
    <w:p w14:paraId="0BD0F09B" w14:textId="280DB5FE" w:rsidR="000166E3" w:rsidRPr="005F1A2A" w:rsidRDefault="008C3733" w:rsidP="001C5B6C">
      <w:pPr>
        <w:shd w:val="clear" w:color="auto" w:fill="FFFFFF"/>
        <w:spacing w:after="120"/>
        <w:jc w:val="left"/>
      </w:pPr>
      <w:r w:rsidRPr="005F1A2A">
        <w:t>ELKINGTON, J</w:t>
      </w:r>
      <w:r w:rsidRPr="00FF04ED">
        <w:t>. Towards the sustainable corporation</w:t>
      </w:r>
      <w:r w:rsidRPr="005F1A2A">
        <w:t xml:space="preserve">: Win-win-win business strategies for sustainable development. </w:t>
      </w:r>
      <w:r w:rsidRPr="00FF04ED">
        <w:rPr>
          <w:b/>
          <w:bCs/>
        </w:rPr>
        <w:t>California Management Review</w:t>
      </w:r>
      <w:r w:rsidRPr="005F1A2A">
        <w:t xml:space="preserve">, 36(2), </w:t>
      </w:r>
      <w:r w:rsidR="00FF04ED">
        <w:t xml:space="preserve">p. </w:t>
      </w:r>
      <w:r w:rsidRPr="005F1A2A">
        <w:t>90-100</w:t>
      </w:r>
      <w:r w:rsidR="00FF04ED">
        <w:t>, 1994.</w:t>
      </w:r>
    </w:p>
    <w:p w14:paraId="0BD0F09D" w14:textId="1CF04136" w:rsidR="000166E3" w:rsidRPr="008226DC" w:rsidRDefault="008C3733" w:rsidP="001C5B6C">
      <w:pPr>
        <w:spacing w:after="120"/>
        <w:jc w:val="left"/>
        <w:rPr>
          <w:lang w:val="pt-BR"/>
        </w:rPr>
      </w:pPr>
      <w:r w:rsidRPr="005F1A2A">
        <w:t xml:space="preserve">GIBBES, C., HOPKINS, A. L., Díaz, A. I., &amp; Jimenez-Osornio, J. </w:t>
      </w:r>
      <w:r w:rsidRPr="005F1A2A">
        <w:rPr>
          <w:b/>
        </w:rPr>
        <w:t>Defining and measuring sustainability</w:t>
      </w:r>
      <w:r w:rsidRPr="005F1A2A">
        <w:t xml:space="preserve">: a systematic review of studies in rural Latin America and the Caribbean. Environment, Development and </w:t>
      </w:r>
      <w:r w:rsidR="0053330D" w:rsidRPr="005F1A2A">
        <w:t>Sustainability</w:t>
      </w:r>
      <w:r w:rsidR="0053330D">
        <w:t xml:space="preserve">, </w:t>
      </w:r>
      <w:r w:rsidR="0053330D" w:rsidRPr="005F1A2A">
        <w:t>22</w:t>
      </w:r>
      <w:r w:rsidRPr="005F1A2A">
        <w:t xml:space="preserve">(1), </w:t>
      </w:r>
      <w:r w:rsidR="0053330D">
        <w:t xml:space="preserve">p. </w:t>
      </w:r>
      <w:r w:rsidRPr="005F1A2A">
        <w:t>447–468</w:t>
      </w:r>
      <w:r w:rsidR="0053330D">
        <w:t xml:space="preserve">, 2020. </w:t>
      </w:r>
      <w:r w:rsidR="0053330D" w:rsidRPr="00CF0BE1">
        <w:t xml:space="preserve">DOI: </w:t>
      </w:r>
      <w:r w:rsidRPr="00CF0BE1">
        <w:t xml:space="preserve"> </w:t>
      </w:r>
      <w:hyperlink r:id="rId18" w:history="1">
        <w:r w:rsidR="008226DC" w:rsidRPr="00CF0BE1">
          <w:rPr>
            <w:rStyle w:val="Hyperlink"/>
          </w:rPr>
          <w:t>https://doi.org/10.1007/s10668-018-0209-9</w:t>
        </w:r>
      </w:hyperlink>
      <w:r w:rsidR="008226DC" w:rsidRPr="00CF0BE1">
        <w:rPr>
          <w:u w:val="single"/>
        </w:rPr>
        <w:t xml:space="preserve"> </w:t>
      </w:r>
      <w:r w:rsidR="008226DC" w:rsidRPr="00CF0BE1">
        <w:t xml:space="preserve">. </w:t>
      </w:r>
      <w:r w:rsidR="008226DC" w:rsidRPr="008226DC">
        <w:rPr>
          <w:lang w:val="pt-BR"/>
        </w:rPr>
        <w:t>Disponível e</w:t>
      </w:r>
      <w:r w:rsidR="008226DC">
        <w:rPr>
          <w:lang w:val="pt-BR"/>
        </w:rPr>
        <w:t xml:space="preserve">m: </w:t>
      </w:r>
      <w:hyperlink r:id="rId19" w:history="1">
        <w:r w:rsidR="008226DC" w:rsidRPr="00E750CB">
          <w:rPr>
            <w:rStyle w:val="Hyperlink"/>
            <w:lang w:val="pt-BR"/>
          </w:rPr>
          <w:t>https://link.springer.com/article/10.1007/s10668-018-0209-9</w:t>
        </w:r>
      </w:hyperlink>
      <w:r w:rsidR="008226DC">
        <w:rPr>
          <w:lang w:val="pt-BR"/>
        </w:rPr>
        <w:t>. Acesso em: 20</w:t>
      </w:r>
      <w:r w:rsidR="00CA5D19">
        <w:rPr>
          <w:lang w:val="pt-BR"/>
        </w:rPr>
        <w:t xml:space="preserve"> </w:t>
      </w:r>
      <w:r w:rsidR="008226DC">
        <w:rPr>
          <w:lang w:val="pt-BR"/>
        </w:rPr>
        <w:t>jan. 2025.</w:t>
      </w:r>
    </w:p>
    <w:p w14:paraId="0BD0F09F" w14:textId="56FBE4D1" w:rsidR="000166E3" w:rsidRPr="00CF0BE1" w:rsidRDefault="008C3733" w:rsidP="001C5B6C">
      <w:pPr>
        <w:spacing w:after="120"/>
        <w:jc w:val="left"/>
        <w:rPr>
          <w:lang w:val="pt-BR"/>
        </w:rPr>
      </w:pPr>
      <w:r w:rsidRPr="008226DC">
        <w:rPr>
          <w:lang w:val="pt-BR"/>
        </w:rPr>
        <w:t xml:space="preserve">GIL, Antônio Carlos. </w:t>
      </w:r>
      <w:r>
        <w:rPr>
          <w:b/>
          <w:lang w:val="pt-BR"/>
        </w:rPr>
        <w:t>Métodos e técnicas de pesquisa social</w:t>
      </w:r>
      <w:r>
        <w:rPr>
          <w:lang w:val="pt-BR"/>
        </w:rPr>
        <w:t>. 6. ed. São Paulo: Atlas, 2008.</w:t>
      </w:r>
    </w:p>
    <w:p w14:paraId="54D40AD5" w14:textId="21965E04" w:rsidR="00B24EAB" w:rsidRDefault="008C3733" w:rsidP="00B24EAB">
      <w:pPr>
        <w:spacing w:after="120"/>
        <w:jc w:val="left"/>
        <w:rPr>
          <w:lang w:val="pt-BR"/>
        </w:rPr>
      </w:pPr>
      <w:r>
        <w:rPr>
          <w:lang w:val="pt-BR"/>
        </w:rPr>
        <w:t>GONDAK, M. de O.; FRANCISCO, A. C</w:t>
      </w:r>
      <w:r w:rsidRPr="0053330D">
        <w:rPr>
          <w:lang w:val="pt-BR"/>
        </w:rPr>
        <w:t xml:space="preserve">. Avaliação de práticas sustentáveis em modelos de negócios da indústria têxtil de moda rápida (fast </w:t>
      </w:r>
      <w:proofErr w:type="spellStart"/>
      <w:r w:rsidRPr="0053330D">
        <w:rPr>
          <w:lang w:val="pt-BR"/>
        </w:rPr>
        <w:t>fashion</w:t>
      </w:r>
      <w:proofErr w:type="spellEnd"/>
      <w:r w:rsidRPr="0053330D">
        <w:rPr>
          <w:lang w:val="pt-BR"/>
        </w:rPr>
        <w:t>).</w:t>
      </w:r>
      <w:r w:rsidRPr="0053330D">
        <w:rPr>
          <w:b/>
          <w:bCs/>
          <w:lang w:val="pt-BR"/>
        </w:rPr>
        <w:t xml:space="preserve"> </w:t>
      </w:r>
      <w:r w:rsidRPr="0053330D">
        <w:rPr>
          <w:b/>
          <w:bCs/>
        </w:rPr>
        <w:t>Brazilian Journal of Development</w:t>
      </w:r>
      <w:r w:rsidRPr="005F1A2A">
        <w:t>, 6(2),</w:t>
      </w:r>
      <w:r w:rsidR="0053330D">
        <w:t xml:space="preserve"> p.</w:t>
      </w:r>
      <w:r w:rsidRPr="005F1A2A">
        <w:t xml:space="preserve"> 5894–5905</w:t>
      </w:r>
      <w:r w:rsidR="0053330D">
        <w:t>, 2020</w:t>
      </w:r>
      <w:r w:rsidRPr="005F1A2A">
        <w:t>.</w:t>
      </w:r>
      <w:r w:rsidR="0053330D">
        <w:t xml:space="preserve"> </w:t>
      </w:r>
      <w:r w:rsidR="0053330D" w:rsidRPr="00CF0BE1">
        <w:t>DOI:</w:t>
      </w:r>
      <w:r w:rsidR="00687D18" w:rsidRPr="00687D18">
        <w:t xml:space="preserve"> </w:t>
      </w:r>
      <w:hyperlink r:id="rId20" w:history="1">
        <w:r w:rsidR="00687D18" w:rsidRPr="0013448A">
          <w:rPr>
            <w:rStyle w:val="Hyperlink"/>
          </w:rPr>
          <w:t>https://doi.org/10.34117/bjdv6n2-045</w:t>
        </w:r>
      </w:hyperlink>
      <w:r w:rsidR="00687D18">
        <w:t xml:space="preserve"> </w:t>
      </w:r>
      <w:r w:rsidR="008226DC" w:rsidRPr="00CF0BE1">
        <w:t xml:space="preserve">. </w:t>
      </w:r>
      <w:r w:rsidR="008226DC" w:rsidRPr="008226DC">
        <w:rPr>
          <w:lang w:val="pt-BR"/>
        </w:rPr>
        <w:t xml:space="preserve">Disponível em: </w:t>
      </w:r>
      <w:hyperlink r:id="rId21" w:history="1">
        <w:r w:rsidR="008226DC" w:rsidRPr="00E750CB">
          <w:rPr>
            <w:rStyle w:val="Hyperlink"/>
            <w:lang w:val="pt-BR"/>
          </w:rPr>
          <w:t>https://ojs.brazilianjournals.com.br/ojs/index.php/BRJD/article/view/6675/5885</w:t>
        </w:r>
      </w:hyperlink>
      <w:r w:rsidR="008226DC">
        <w:rPr>
          <w:lang w:val="pt-BR"/>
        </w:rPr>
        <w:t xml:space="preserve">. Acesso em: </w:t>
      </w:r>
      <w:r w:rsidR="008226DC" w:rsidRPr="008226DC">
        <w:rPr>
          <w:lang w:val="pt-BR"/>
        </w:rPr>
        <w:t xml:space="preserve"> </w:t>
      </w:r>
      <w:r w:rsidR="008226DC">
        <w:rPr>
          <w:lang w:val="pt-BR"/>
        </w:rPr>
        <w:t>20</w:t>
      </w:r>
      <w:r w:rsidR="00CA5D19">
        <w:rPr>
          <w:lang w:val="pt-BR"/>
        </w:rPr>
        <w:t xml:space="preserve"> </w:t>
      </w:r>
      <w:r w:rsidR="008226DC">
        <w:rPr>
          <w:lang w:val="pt-BR"/>
        </w:rPr>
        <w:t>jan. 2025</w:t>
      </w:r>
      <w:r w:rsidR="00200821">
        <w:rPr>
          <w:lang w:val="pt-BR"/>
        </w:rPr>
        <w:t>.</w:t>
      </w:r>
    </w:p>
    <w:p w14:paraId="035F7416" w14:textId="21ABBF3B" w:rsidR="00CA5D19" w:rsidRPr="00B24EAB" w:rsidRDefault="00CA5D19" w:rsidP="00B24EAB">
      <w:pPr>
        <w:spacing w:after="120"/>
        <w:jc w:val="left"/>
        <w:rPr>
          <w:lang w:val="pt-BR"/>
        </w:rPr>
      </w:pPr>
      <w:r w:rsidRPr="00CA5D19">
        <w:rPr>
          <w:szCs w:val="24"/>
          <w:lang w:val="pt-BR"/>
        </w:rPr>
        <w:t xml:space="preserve">GRI. </w:t>
      </w:r>
      <w:r w:rsidRPr="00CA5D19">
        <w:rPr>
          <w:b/>
          <w:bCs/>
          <w:szCs w:val="24"/>
          <w:lang w:val="pt-BR"/>
        </w:rPr>
        <w:t xml:space="preserve">Global </w:t>
      </w:r>
      <w:proofErr w:type="spellStart"/>
      <w:r w:rsidRPr="00CA5D19">
        <w:rPr>
          <w:b/>
          <w:bCs/>
          <w:szCs w:val="24"/>
          <w:lang w:val="pt-BR"/>
        </w:rPr>
        <w:t>Reporting</w:t>
      </w:r>
      <w:proofErr w:type="spellEnd"/>
      <w:r w:rsidRPr="00CA5D19">
        <w:rPr>
          <w:b/>
          <w:bCs/>
          <w:szCs w:val="24"/>
          <w:lang w:val="pt-BR"/>
        </w:rPr>
        <w:t xml:space="preserve"> </w:t>
      </w:r>
      <w:proofErr w:type="spellStart"/>
      <w:r w:rsidRPr="00CA5D19">
        <w:rPr>
          <w:b/>
          <w:bCs/>
          <w:szCs w:val="24"/>
          <w:lang w:val="pt-BR"/>
        </w:rPr>
        <w:t>Initiative</w:t>
      </w:r>
      <w:proofErr w:type="spellEnd"/>
      <w:r w:rsidRPr="00CA5D19">
        <w:rPr>
          <w:szCs w:val="24"/>
          <w:lang w:val="pt-BR"/>
        </w:rPr>
        <w:t xml:space="preserve">. </w:t>
      </w:r>
      <w:r w:rsidRPr="00CA5D19">
        <w:rPr>
          <w:b/>
          <w:bCs/>
          <w:szCs w:val="24"/>
          <w:lang w:val="pt-BR"/>
        </w:rPr>
        <w:t>ABOUT GRI</w:t>
      </w:r>
      <w:r w:rsidRPr="00CA5D19">
        <w:rPr>
          <w:szCs w:val="24"/>
          <w:lang w:val="pt-BR"/>
        </w:rPr>
        <w:t xml:space="preserve">. 2021. Disponível em: </w:t>
      </w:r>
      <w:hyperlink r:id="rId22" w:tgtFrame="_new" w:history="1">
        <w:r w:rsidRPr="00CA5D19">
          <w:rPr>
            <w:color w:val="0000FF"/>
            <w:szCs w:val="24"/>
            <w:u w:val="single"/>
            <w:lang w:val="pt-BR"/>
          </w:rPr>
          <w:t>https://www.globalreporting.org/about-gri/</w:t>
        </w:r>
      </w:hyperlink>
      <w:r w:rsidRPr="00CA5D19">
        <w:rPr>
          <w:szCs w:val="24"/>
          <w:lang w:val="pt-BR"/>
        </w:rPr>
        <w:t xml:space="preserve">. Acesso em: </w:t>
      </w:r>
      <w:r>
        <w:rPr>
          <w:szCs w:val="24"/>
          <w:lang w:val="pt-BR"/>
        </w:rPr>
        <w:t>21</w:t>
      </w:r>
      <w:r w:rsidRPr="00CA5D19">
        <w:rPr>
          <w:szCs w:val="24"/>
          <w:lang w:val="pt-BR"/>
        </w:rPr>
        <w:t xml:space="preserve"> </w:t>
      </w:r>
      <w:r>
        <w:rPr>
          <w:szCs w:val="24"/>
          <w:lang w:val="pt-BR"/>
        </w:rPr>
        <w:t>jan</w:t>
      </w:r>
      <w:r w:rsidRPr="00CA5D19">
        <w:rPr>
          <w:szCs w:val="24"/>
          <w:lang w:val="pt-BR"/>
        </w:rPr>
        <w:t>. 202</w:t>
      </w:r>
      <w:r>
        <w:rPr>
          <w:szCs w:val="24"/>
          <w:lang w:val="pt-BR"/>
        </w:rPr>
        <w:t>5</w:t>
      </w:r>
      <w:r w:rsidRPr="00CA5D19">
        <w:rPr>
          <w:szCs w:val="24"/>
          <w:lang w:val="pt-BR"/>
        </w:rPr>
        <w:t>.</w:t>
      </w:r>
    </w:p>
    <w:p w14:paraId="0C1B7E7C" w14:textId="08FCD13F" w:rsidR="00CA5D19" w:rsidRDefault="00CA5D19" w:rsidP="001C5B6C">
      <w:pPr>
        <w:spacing w:after="120"/>
        <w:jc w:val="left"/>
      </w:pPr>
      <w:r w:rsidRPr="00CA5D19">
        <w:rPr>
          <w:lang w:val="pt-BR"/>
        </w:rPr>
        <w:lastRenderedPageBreak/>
        <w:t xml:space="preserve">GRUPO SOMA. </w:t>
      </w:r>
      <w:r w:rsidRPr="00CA5D19">
        <w:rPr>
          <w:b/>
          <w:bCs/>
          <w:lang w:val="pt-BR"/>
        </w:rPr>
        <w:t>Relatório Anual 2020</w:t>
      </w:r>
      <w:r w:rsidRPr="00CA5D19">
        <w:rPr>
          <w:lang w:val="pt-BR"/>
        </w:rPr>
        <w:t xml:space="preserve">. 2020. Disponível em: </w:t>
      </w:r>
      <w:hyperlink r:id="rId23" w:tgtFrame="_new" w:history="1">
        <w:r w:rsidRPr="00CA5D19">
          <w:rPr>
            <w:color w:val="0000FF"/>
            <w:u w:val="single"/>
            <w:lang w:val="pt-BR"/>
          </w:rPr>
          <w:t>https://www.somagrupo.com.br/investidores/relatorios-anuais/</w:t>
        </w:r>
      </w:hyperlink>
      <w:r w:rsidRPr="00CA5D19">
        <w:rPr>
          <w:lang w:val="pt-BR"/>
        </w:rPr>
        <w:t xml:space="preserve">. </w:t>
      </w:r>
      <w:proofErr w:type="spellStart"/>
      <w:r w:rsidRPr="00CA5D19">
        <w:t>Acesso</w:t>
      </w:r>
      <w:proofErr w:type="spellEnd"/>
      <w:r w:rsidRPr="00CA5D19">
        <w:t xml:space="preserve"> </w:t>
      </w:r>
      <w:proofErr w:type="spellStart"/>
      <w:r w:rsidRPr="00CA5D19">
        <w:t>em</w:t>
      </w:r>
      <w:proofErr w:type="spellEnd"/>
      <w:r w:rsidRPr="00CA5D19">
        <w:t xml:space="preserve">: </w:t>
      </w:r>
      <w:r>
        <w:t>21</w:t>
      </w:r>
      <w:r w:rsidRPr="00CA5D19">
        <w:t xml:space="preserve"> </w:t>
      </w:r>
      <w:proofErr w:type="spellStart"/>
      <w:r>
        <w:t>jan</w:t>
      </w:r>
      <w:r w:rsidRPr="00CA5D19">
        <w:t>.</w:t>
      </w:r>
      <w:proofErr w:type="spellEnd"/>
      <w:r w:rsidRPr="00CA5D19">
        <w:t xml:space="preserve"> 2025.</w:t>
      </w:r>
    </w:p>
    <w:p w14:paraId="0BD0F0A5" w14:textId="1505D450" w:rsidR="000166E3" w:rsidRPr="005F1A2A" w:rsidRDefault="008C3733" w:rsidP="001C5B6C">
      <w:pPr>
        <w:spacing w:after="120"/>
        <w:jc w:val="left"/>
      </w:pPr>
      <w:r w:rsidRPr="00B24EAB">
        <w:t xml:space="preserve">LU, </w:t>
      </w:r>
      <w:proofErr w:type="spellStart"/>
      <w:r w:rsidRPr="00B24EAB">
        <w:t>Yonglong</w:t>
      </w:r>
      <w:proofErr w:type="spellEnd"/>
      <w:r w:rsidRPr="00B24EAB">
        <w:t xml:space="preserve">; NAKICENOVIC, Nebojsa; VISBECK, Martin; STEVANCE, A.-S. </w:t>
      </w:r>
      <w:r w:rsidRPr="00B24EAB">
        <w:rPr>
          <w:bCs/>
        </w:rPr>
        <w:t>Five Priorities for the UN SDGs.</w:t>
      </w:r>
      <w:r w:rsidRPr="00B24EAB">
        <w:t xml:space="preserve"> </w:t>
      </w:r>
      <w:r w:rsidRPr="00B24EAB">
        <w:rPr>
          <w:b/>
          <w:bCs/>
        </w:rPr>
        <w:t>Nature</w:t>
      </w:r>
      <w:r w:rsidRPr="00B24EAB">
        <w:t>, 520,</w:t>
      </w:r>
      <w:r w:rsidR="00B24EAB" w:rsidRPr="00B24EAB">
        <w:t xml:space="preserve"> p.</w:t>
      </w:r>
      <w:r w:rsidRPr="00B24EAB">
        <w:t xml:space="preserve"> 432–433</w:t>
      </w:r>
      <w:r w:rsidR="00B24EAB" w:rsidRPr="00B24EAB">
        <w:t>, April 2015</w:t>
      </w:r>
      <w:r w:rsidRPr="00B24EAB">
        <w:t>.</w:t>
      </w:r>
    </w:p>
    <w:p w14:paraId="0BD0F0A7" w14:textId="32791725" w:rsidR="000166E3" w:rsidRPr="00200821" w:rsidRDefault="008C3733" w:rsidP="001C5B6C">
      <w:pPr>
        <w:spacing w:after="120"/>
        <w:jc w:val="left"/>
        <w:rPr>
          <w:lang w:val="pt-BR"/>
        </w:rPr>
      </w:pPr>
      <w:r w:rsidRPr="005F1A2A">
        <w:t xml:space="preserve">MAFINI, C.; MUPOSHI, A. </w:t>
      </w:r>
      <w:r w:rsidRPr="00CF0BE1">
        <w:rPr>
          <w:bCs/>
        </w:rPr>
        <w:t>The impact of green supply chain management in small to medium enterprises:</w:t>
      </w:r>
      <w:r w:rsidRPr="005F1A2A">
        <w:rPr>
          <w:b/>
        </w:rPr>
        <w:t xml:space="preserve"> </w:t>
      </w:r>
      <w:r w:rsidRPr="005F1A2A">
        <w:t>Cross-sectional evidence</w:t>
      </w:r>
      <w:r w:rsidRPr="00CF0BE1">
        <w:rPr>
          <w:b/>
          <w:bCs/>
        </w:rPr>
        <w:t>. Journal of Transport and Supply Chain Management</w:t>
      </w:r>
      <w:r w:rsidRPr="005F1A2A">
        <w:t xml:space="preserve">, </w:t>
      </w:r>
      <w:r w:rsidR="00CF0BE1">
        <w:t>p.</w:t>
      </w:r>
      <w:r w:rsidR="00200821">
        <w:t xml:space="preserve"> 0-11, 11 (February), </w:t>
      </w:r>
      <w:r w:rsidR="00CF0BE1">
        <w:t>2017.</w:t>
      </w:r>
      <w:r w:rsidRPr="005F1A2A">
        <w:t xml:space="preserve"> </w:t>
      </w:r>
      <w:hyperlink r:id="rId24" w:history="1">
        <w:r w:rsidR="00200821" w:rsidRPr="00196F4C">
          <w:rPr>
            <w:rStyle w:val="Hyperlink"/>
          </w:rPr>
          <w:t>https://doi.org/10.4102/jtscm.v11i0.270</w:t>
        </w:r>
      </w:hyperlink>
      <w:r w:rsidR="00200821" w:rsidRPr="00196F4C">
        <w:t xml:space="preserve">. </w:t>
      </w:r>
      <w:r w:rsidR="00196F4C">
        <w:rPr>
          <w:lang w:val="pt-BR"/>
        </w:rPr>
        <w:t>Disponível</w:t>
      </w:r>
      <w:r w:rsidR="00200821" w:rsidRPr="00200821">
        <w:rPr>
          <w:lang w:val="pt-BR"/>
        </w:rPr>
        <w:t xml:space="preserve"> em:</w:t>
      </w:r>
      <w:r w:rsidR="00196F4C">
        <w:rPr>
          <w:lang w:val="pt-BR"/>
        </w:rPr>
        <w:t xml:space="preserve"> </w:t>
      </w:r>
      <w:hyperlink r:id="rId25" w:history="1">
        <w:r w:rsidR="00196F4C" w:rsidRPr="000061A4">
          <w:rPr>
            <w:rStyle w:val="Hyperlink"/>
            <w:lang w:val="pt-BR"/>
          </w:rPr>
          <w:t>https://jtscm.co.za/index.php/jtscm/article/view/270</w:t>
        </w:r>
      </w:hyperlink>
      <w:r w:rsidR="00196F4C">
        <w:rPr>
          <w:lang w:val="pt-BR"/>
        </w:rPr>
        <w:t xml:space="preserve"> . Acesso em: </w:t>
      </w:r>
      <w:proofErr w:type="gramStart"/>
      <w:r w:rsidR="00196F4C">
        <w:rPr>
          <w:lang w:val="pt-BR"/>
        </w:rPr>
        <w:t>22</w:t>
      </w:r>
      <w:r w:rsidR="00CA5D19">
        <w:rPr>
          <w:lang w:val="pt-BR"/>
        </w:rPr>
        <w:t xml:space="preserve"> </w:t>
      </w:r>
      <w:r w:rsidR="00196F4C">
        <w:rPr>
          <w:lang w:val="pt-BR"/>
        </w:rPr>
        <w:t xml:space="preserve"> jan.</w:t>
      </w:r>
      <w:proofErr w:type="gramEnd"/>
      <w:r w:rsidR="00196F4C">
        <w:rPr>
          <w:lang w:val="pt-BR"/>
        </w:rPr>
        <w:t xml:space="preserve"> 2025.</w:t>
      </w:r>
    </w:p>
    <w:p w14:paraId="0BD0F0A8" w14:textId="636C0AE7" w:rsidR="000166E3" w:rsidRPr="005F1A2A" w:rsidRDefault="008C3733" w:rsidP="001C5B6C">
      <w:pPr>
        <w:spacing w:after="120"/>
        <w:jc w:val="left"/>
        <w:rPr>
          <w:lang w:val="pt-BR"/>
        </w:rPr>
      </w:pPr>
      <w:r>
        <w:rPr>
          <w:lang w:val="pt-BR"/>
        </w:rPr>
        <w:t xml:space="preserve">MENDES JÚNIOR, B. D. O. </w:t>
      </w:r>
      <w:r>
        <w:rPr>
          <w:b/>
          <w:lang w:val="pt-BR"/>
        </w:rPr>
        <w:t>Setor Têxtil</w:t>
      </w:r>
      <w:r>
        <w:rPr>
          <w:lang w:val="pt-BR"/>
        </w:rPr>
        <w:t>. Caderno Setorial ETENE. Fortaleza: Banco do Nordeste do Brasil, 2017, ano.2, n.16</w:t>
      </w:r>
      <w:r w:rsidR="00335DBC">
        <w:rPr>
          <w:lang w:val="pt-BR"/>
        </w:rPr>
        <w:t>.</w:t>
      </w:r>
    </w:p>
    <w:p w14:paraId="0BD0F0AB" w14:textId="0C8F8C76" w:rsidR="000166E3" w:rsidRPr="001C5B6C" w:rsidRDefault="008C3733" w:rsidP="001C5B6C">
      <w:pPr>
        <w:spacing w:after="120"/>
        <w:jc w:val="left"/>
      </w:pPr>
      <w:r w:rsidRPr="005F1A2A">
        <w:t xml:space="preserve">NOTTEN, P. </w:t>
      </w:r>
      <w:r w:rsidRPr="00335DBC">
        <w:rPr>
          <w:b/>
          <w:bCs/>
        </w:rPr>
        <w:t>Sustainability and Circularity in the Textile Value Chain:</w:t>
      </w:r>
      <w:r w:rsidRPr="005F1A2A">
        <w:t xml:space="preserve"> Global Stocktaking, 2020.</w:t>
      </w:r>
    </w:p>
    <w:p w14:paraId="0BD0F0AD" w14:textId="1226C536" w:rsidR="000166E3" w:rsidRPr="00200821" w:rsidRDefault="008C3733" w:rsidP="001C5B6C">
      <w:pPr>
        <w:spacing w:after="120"/>
        <w:jc w:val="left"/>
        <w:rPr>
          <w:color w:val="000000" w:themeColor="text1"/>
        </w:rPr>
      </w:pPr>
      <w:r w:rsidRPr="005F1A2A">
        <w:t>KIM, D.; KIM, S</w:t>
      </w:r>
      <w:r w:rsidRPr="00CF0BE1">
        <w:t>. Sustainable supply chain based on news articles and sustainability reports:</w:t>
      </w:r>
      <w:r w:rsidRPr="005F1A2A">
        <w:t xml:space="preserve"> Text mining with Leximancer and DICTION. </w:t>
      </w:r>
      <w:r w:rsidRPr="00282D8F">
        <w:rPr>
          <w:b/>
          <w:bCs/>
          <w:lang w:val="pt-BR"/>
        </w:rPr>
        <w:t>Sustainability (</w:t>
      </w:r>
      <w:proofErr w:type="spellStart"/>
      <w:r w:rsidRPr="00282D8F">
        <w:rPr>
          <w:b/>
          <w:bCs/>
          <w:lang w:val="pt-BR"/>
        </w:rPr>
        <w:t>Switzerland</w:t>
      </w:r>
      <w:proofErr w:type="spellEnd"/>
      <w:r w:rsidRPr="00282D8F">
        <w:rPr>
          <w:b/>
          <w:bCs/>
          <w:lang w:val="pt-BR"/>
        </w:rPr>
        <w:t>)</w:t>
      </w:r>
      <w:r w:rsidRPr="00282D8F">
        <w:rPr>
          <w:lang w:val="pt-BR"/>
        </w:rPr>
        <w:t>, 9(6)</w:t>
      </w:r>
      <w:r w:rsidR="00CF0BE1" w:rsidRPr="00282D8F">
        <w:rPr>
          <w:lang w:val="pt-BR"/>
        </w:rPr>
        <w:t>, 2017</w:t>
      </w:r>
      <w:r w:rsidRPr="00282D8F">
        <w:rPr>
          <w:lang w:val="pt-BR"/>
        </w:rPr>
        <w:t>.</w:t>
      </w:r>
      <w:r w:rsidR="00CF0BE1" w:rsidRPr="00282D8F">
        <w:rPr>
          <w:lang w:val="pt-BR"/>
        </w:rPr>
        <w:t xml:space="preserve"> DOI:</w:t>
      </w:r>
      <w:r w:rsidRPr="00282D8F">
        <w:rPr>
          <w:lang w:val="pt-BR"/>
        </w:rPr>
        <w:t xml:space="preserve"> </w:t>
      </w:r>
      <w:hyperlink r:id="rId26" w:history="1">
        <w:r w:rsidR="00CF0BE1" w:rsidRPr="00282D8F">
          <w:rPr>
            <w:rStyle w:val="Hyperlink"/>
            <w:lang w:val="pt-BR"/>
          </w:rPr>
          <w:t>https://doi.org/10.3390/su9061008</w:t>
        </w:r>
      </w:hyperlink>
      <w:r w:rsidR="00200821" w:rsidRPr="00282D8F">
        <w:rPr>
          <w:rStyle w:val="Hyperlink"/>
          <w:u w:val="none"/>
          <w:lang w:val="pt-BR"/>
        </w:rPr>
        <w:t xml:space="preserve"> . </w:t>
      </w:r>
      <w:r w:rsidR="00196F4C" w:rsidRPr="00282D8F">
        <w:rPr>
          <w:rStyle w:val="Hyperlink"/>
          <w:color w:val="000000" w:themeColor="text1"/>
          <w:u w:val="none"/>
          <w:lang w:val="pt-BR"/>
        </w:rPr>
        <w:t>Disponível</w:t>
      </w:r>
      <w:r w:rsidR="00200821" w:rsidRPr="00282D8F">
        <w:rPr>
          <w:rStyle w:val="Hyperlink"/>
          <w:color w:val="000000" w:themeColor="text1"/>
          <w:u w:val="none"/>
          <w:lang w:val="pt-BR"/>
        </w:rPr>
        <w:t xml:space="preserve"> em: </w:t>
      </w:r>
      <w:hyperlink r:id="rId27" w:history="1">
        <w:r w:rsidR="00196F4C" w:rsidRPr="00282D8F">
          <w:rPr>
            <w:rStyle w:val="Hyperlink"/>
            <w:lang w:val="pt-BR"/>
          </w:rPr>
          <w:t>https://www.mdpi.com/2071-1050/9/6/1008</w:t>
        </w:r>
      </w:hyperlink>
      <w:r w:rsidR="00196F4C" w:rsidRPr="00282D8F">
        <w:rPr>
          <w:rStyle w:val="Hyperlink"/>
          <w:color w:val="000000" w:themeColor="text1"/>
          <w:u w:val="none"/>
          <w:lang w:val="pt-BR"/>
        </w:rPr>
        <w:t xml:space="preserve"> . </w:t>
      </w:r>
      <w:proofErr w:type="spellStart"/>
      <w:r w:rsidR="00196F4C">
        <w:rPr>
          <w:rStyle w:val="Hyperlink"/>
          <w:color w:val="000000" w:themeColor="text1"/>
          <w:u w:val="none"/>
        </w:rPr>
        <w:t>Acesso</w:t>
      </w:r>
      <w:proofErr w:type="spellEnd"/>
      <w:r w:rsidR="00196F4C">
        <w:rPr>
          <w:rStyle w:val="Hyperlink"/>
          <w:color w:val="000000" w:themeColor="text1"/>
          <w:u w:val="none"/>
        </w:rPr>
        <w:t xml:space="preserve"> </w:t>
      </w:r>
      <w:proofErr w:type="spellStart"/>
      <w:r w:rsidR="00196F4C">
        <w:rPr>
          <w:rStyle w:val="Hyperlink"/>
          <w:color w:val="000000" w:themeColor="text1"/>
          <w:u w:val="none"/>
        </w:rPr>
        <w:t>em</w:t>
      </w:r>
      <w:proofErr w:type="spellEnd"/>
      <w:r w:rsidR="00196F4C">
        <w:rPr>
          <w:rStyle w:val="Hyperlink"/>
          <w:color w:val="000000" w:themeColor="text1"/>
          <w:u w:val="none"/>
        </w:rPr>
        <w:t>: 22</w:t>
      </w:r>
      <w:r w:rsidR="00CA5D19">
        <w:rPr>
          <w:rStyle w:val="Hyperlink"/>
          <w:color w:val="000000" w:themeColor="text1"/>
          <w:u w:val="none"/>
        </w:rPr>
        <w:t xml:space="preserve"> </w:t>
      </w:r>
      <w:proofErr w:type="spellStart"/>
      <w:r w:rsidR="00196F4C">
        <w:rPr>
          <w:rStyle w:val="Hyperlink"/>
          <w:color w:val="000000" w:themeColor="text1"/>
          <w:u w:val="none"/>
        </w:rPr>
        <w:t>jan.</w:t>
      </w:r>
      <w:proofErr w:type="spellEnd"/>
      <w:r w:rsidR="00196F4C">
        <w:rPr>
          <w:rStyle w:val="Hyperlink"/>
          <w:color w:val="000000" w:themeColor="text1"/>
          <w:u w:val="none"/>
        </w:rPr>
        <w:t xml:space="preserve"> 2025.</w:t>
      </w:r>
    </w:p>
    <w:p w14:paraId="4F1AF4C1" w14:textId="43730878" w:rsidR="001C5B6C" w:rsidRPr="00282D8F" w:rsidRDefault="008C3733" w:rsidP="001C5B6C">
      <w:pPr>
        <w:spacing w:after="120"/>
        <w:jc w:val="left"/>
      </w:pPr>
      <w:r w:rsidRPr="005F1A2A">
        <w:t xml:space="preserve">PALACIOS-MATEO, C., VAN DER MEER, Y.; SEIDE, G. </w:t>
      </w:r>
      <w:r w:rsidRPr="00CF0BE1">
        <w:rPr>
          <w:bCs/>
        </w:rPr>
        <w:t>Analysis of the polyester clothing value chain to identify key intervention points for sustainability.</w:t>
      </w:r>
      <w:r w:rsidRPr="005F1A2A">
        <w:t xml:space="preserve"> </w:t>
      </w:r>
      <w:r w:rsidRPr="00196F4C">
        <w:rPr>
          <w:b/>
          <w:bCs/>
          <w:lang w:val="pt-BR"/>
        </w:rPr>
        <w:t xml:space="preserve">Environmental </w:t>
      </w:r>
      <w:proofErr w:type="spellStart"/>
      <w:r w:rsidRPr="00196F4C">
        <w:rPr>
          <w:b/>
          <w:bCs/>
          <w:lang w:val="pt-BR"/>
        </w:rPr>
        <w:t>Sciences</w:t>
      </w:r>
      <w:proofErr w:type="spellEnd"/>
      <w:r w:rsidRPr="00196F4C">
        <w:rPr>
          <w:b/>
          <w:bCs/>
          <w:lang w:val="pt-BR"/>
        </w:rPr>
        <w:t xml:space="preserve"> </w:t>
      </w:r>
      <w:proofErr w:type="spellStart"/>
      <w:r w:rsidRPr="00196F4C">
        <w:rPr>
          <w:b/>
          <w:bCs/>
          <w:lang w:val="pt-BR"/>
        </w:rPr>
        <w:t>Europe</w:t>
      </w:r>
      <w:proofErr w:type="spellEnd"/>
      <w:r w:rsidRPr="00196F4C">
        <w:rPr>
          <w:lang w:val="pt-BR"/>
        </w:rPr>
        <w:t>, 33(1)</w:t>
      </w:r>
      <w:r w:rsidR="00CF0BE1" w:rsidRPr="00196F4C">
        <w:rPr>
          <w:lang w:val="pt-BR"/>
        </w:rPr>
        <w:t>, 2021</w:t>
      </w:r>
      <w:r w:rsidRPr="00196F4C">
        <w:rPr>
          <w:lang w:val="pt-BR"/>
        </w:rPr>
        <w:t>.</w:t>
      </w:r>
      <w:r w:rsidR="00CF0BE1" w:rsidRPr="00196F4C">
        <w:rPr>
          <w:lang w:val="pt-BR"/>
        </w:rPr>
        <w:t xml:space="preserve"> DOI</w:t>
      </w:r>
      <w:bookmarkStart w:id="0" w:name="_Hlk192005043"/>
      <w:r w:rsidR="00CF0BE1" w:rsidRPr="00196F4C">
        <w:rPr>
          <w:lang w:val="pt-BR"/>
        </w:rPr>
        <w:t>:</w:t>
      </w:r>
      <w:r w:rsidRPr="00196F4C">
        <w:rPr>
          <w:lang w:val="pt-BR"/>
        </w:rPr>
        <w:t xml:space="preserve"> </w:t>
      </w:r>
      <w:bookmarkEnd w:id="0"/>
      <w:r w:rsidR="00687D18">
        <w:rPr>
          <w:lang w:val="pt-BR"/>
        </w:rPr>
        <w:fldChar w:fldCharType="begin"/>
      </w:r>
      <w:r w:rsidR="00687D18">
        <w:rPr>
          <w:lang w:val="pt-BR"/>
        </w:rPr>
        <w:instrText>HYPERLINK "</w:instrText>
      </w:r>
      <w:r w:rsidR="00687D18" w:rsidRPr="00687D18">
        <w:rPr>
          <w:lang w:val="pt-BR"/>
        </w:rPr>
        <w:instrText>https://doi.org/10.1186/s12302-020-00447-x</w:instrText>
      </w:r>
      <w:r w:rsidR="00687D18">
        <w:rPr>
          <w:lang w:val="pt-BR"/>
        </w:rPr>
        <w:instrText>"</w:instrText>
      </w:r>
      <w:r w:rsidR="00687D18">
        <w:rPr>
          <w:lang w:val="pt-BR"/>
        </w:rPr>
      </w:r>
      <w:r w:rsidR="00687D18">
        <w:rPr>
          <w:lang w:val="pt-BR"/>
        </w:rPr>
        <w:fldChar w:fldCharType="separate"/>
      </w:r>
      <w:r w:rsidR="00687D18" w:rsidRPr="0013448A">
        <w:rPr>
          <w:rStyle w:val="Hyperlink"/>
          <w:lang w:val="pt-BR"/>
        </w:rPr>
        <w:t>https://doi.org/10.1186/s12302-020-00447-x</w:t>
      </w:r>
      <w:r w:rsidR="00687D18">
        <w:rPr>
          <w:lang w:val="pt-BR"/>
        </w:rPr>
        <w:fldChar w:fldCharType="end"/>
      </w:r>
      <w:r w:rsidR="00687D18">
        <w:rPr>
          <w:lang w:val="pt-BR"/>
        </w:rPr>
        <w:t xml:space="preserve"> </w:t>
      </w:r>
      <w:r w:rsidR="00196F4C">
        <w:rPr>
          <w:lang w:val="pt-BR"/>
        </w:rPr>
        <w:t>.</w:t>
      </w:r>
      <w:r w:rsidR="00200821" w:rsidRPr="00196F4C">
        <w:rPr>
          <w:lang w:val="pt-BR"/>
        </w:rPr>
        <w:t xml:space="preserve"> </w:t>
      </w:r>
      <w:r w:rsidR="00196F4C">
        <w:rPr>
          <w:lang w:val="pt-BR"/>
        </w:rPr>
        <w:t>Disponível</w:t>
      </w:r>
      <w:r w:rsidR="00200821" w:rsidRPr="00196F4C">
        <w:rPr>
          <w:lang w:val="pt-BR"/>
        </w:rPr>
        <w:t xml:space="preserve"> em:</w:t>
      </w:r>
      <w:r w:rsidR="00196F4C">
        <w:rPr>
          <w:lang w:val="pt-BR"/>
        </w:rPr>
        <w:t xml:space="preserve"> </w:t>
      </w:r>
      <w:hyperlink r:id="rId28" w:history="1">
        <w:r w:rsidR="00196F4C" w:rsidRPr="000061A4">
          <w:rPr>
            <w:rStyle w:val="Hyperlink"/>
            <w:lang w:val="pt-BR"/>
          </w:rPr>
          <w:t>https://enveurope.springeropen.com/articles/10.1186/s12302-020-00447-x</w:t>
        </w:r>
      </w:hyperlink>
      <w:r w:rsidR="00196F4C">
        <w:rPr>
          <w:lang w:val="pt-BR"/>
        </w:rPr>
        <w:t xml:space="preserve"> . </w:t>
      </w:r>
      <w:proofErr w:type="spellStart"/>
      <w:r w:rsidR="00196F4C" w:rsidRPr="00282D8F">
        <w:t>Acesso</w:t>
      </w:r>
      <w:proofErr w:type="spellEnd"/>
      <w:r w:rsidR="00196F4C" w:rsidRPr="00282D8F">
        <w:t xml:space="preserve"> </w:t>
      </w:r>
      <w:proofErr w:type="spellStart"/>
      <w:r w:rsidR="00196F4C" w:rsidRPr="00282D8F">
        <w:t>em</w:t>
      </w:r>
      <w:proofErr w:type="spellEnd"/>
      <w:r w:rsidR="00196F4C" w:rsidRPr="00282D8F">
        <w:t>: 23</w:t>
      </w:r>
      <w:r w:rsidR="00CA5D19">
        <w:t xml:space="preserve"> </w:t>
      </w:r>
      <w:proofErr w:type="spellStart"/>
      <w:r w:rsidR="00196F4C" w:rsidRPr="00282D8F">
        <w:t>jan.</w:t>
      </w:r>
      <w:proofErr w:type="spellEnd"/>
      <w:r w:rsidR="00196F4C" w:rsidRPr="00282D8F">
        <w:t xml:space="preserve"> 2025.</w:t>
      </w:r>
    </w:p>
    <w:p w14:paraId="0BD0F0B1" w14:textId="3B2FA1BC" w:rsidR="000166E3" w:rsidRPr="00282D8F" w:rsidRDefault="008C3733" w:rsidP="001C5B6C">
      <w:pPr>
        <w:spacing w:after="120"/>
        <w:jc w:val="left"/>
      </w:pPr>
      <w:r w:rsidRPr="005F1A2A">
        <w:t xml:space="preserve">PIERONI, M. P. P., MCALOONE, T. C.; PIGOSSO, D. C. </w:t>
      </w:r>
      <w:r w:rsidRPr="00200821">
        <w:rPr>
          <w:bCs/>
        </w:rPr>
        <w:t>A</w:t>
      </w:r>
      <w:r w:rsidR="00200821">
        <w:rPr>
          <w:bCs/>
        </w:rPr>
        <w:t xml:space="preserve"> </w:t>
      </w:r>
      <w:r w:rsidRPr="00200821">
        <w:rPr>
          <w:bCs/>
        </w:rPr>
        <w:t>Business model innovation for circular economy and sustainability: A review of approaches.</w:t>
      </w:r>
      <w:r w:rsidRPr="00200821">
        <w:rPr>
          <w:b/>
          <w:bCs/>
        </w:rPr>
        <w:t xml:space="preserve"> Journal of Cleaner Production</w:t>
      </w:r>
      <w:r w:rsidRPr="005F1A2A">
        <w:t>, 215, 198–216.</w:t>
      </w:r>
      <w:r w:rsidR="00200821">
        <w:t xml:space="preserve"> </w:t>
      </w:r>
      <w:r w:rsidR="00200821" w:rsidRPr="00282D8F">
        <w:t>DOI:</w:t>
      </w:r>
      <w:r w:rsidRPr="00282D8F">
        <w:t xml:space="preserve"> </w:t>
      </w:r>
      <w:hyperlink r:id="rId29" w:history="1">
        <w:r w:rsidR="00200821" w:rsidRPr="00282D8F">
          <w:rPr>
            <w:rStyle w:val="Hyperlink"/>
          </w:rPr>
          <w:t>https://doi.org/10.1016/j.jclepro.2019.01.036</w:t>
        </w:r>
      </w:hyperlink>
      <w:r w:rsidR="00200821" w:rsidRPr="00282D8F">
        <w:t>.</w:t>
      </w:r>
      <w:r w:rsidR="00196F4C" w:rsidRPr="00282D8F">
        <w:t xml:space="preserve"> </w:t>
      </w:r>
      <w:r w:rsidR="00196F4C" w:rsidRPr="00196F4C">
        <w:rPr>
          <w:lang w:val="pt-BR"/>
        </w:rPr>
        <w:t>Disponível</w:t>
      </w:r>
      <w:r w:rsidR="00200821" w:rsidRPr="00196F4C">
        <w:rPr>
          <w:lang w:val="pt-BR"/>
        </w:rPr>
        <w:t xml:space="preserve"> em:</w:t>
      </w:r>
      <w:r w:rsidR="00196F4C" w:rsidRPr="00196F4C">
        <w:rPr>
          <w:lang w:val="pt-BR"/>
        </w:rPr>
        <w:t xml:space="preserve"> </w:t>
      </w:r>
      <w:hyperlink r:id="rId30" w:history="1">
        <w:r w:rsidR="00196F4C" w:rsidRPr="000061A4">
          <w:rPr>
            <w:rStyle w:val="Hyperlink"/>
            <w:lang w:val="pt-BR"/>
          </w:rPr>
          <w:t>https://www.sciencedirect.com/science/article/abs/pii/S0959652619300423?via%3Dihub</w:t>
        </w:r>
      </w:hyperlink>
      <w:r w:rsidR="00196F4C">
        <w:rPr>
          <w:lang w:val="pt-BR"/>
        </w:rPr>
        <w:t xml:space="preserve"> . </w:t>
      </w:r>
      <w:proofErr w:type="spellStart"/>
      <w:r w:rsidR="00196F4C" w:rsidRPr="00282D8F">
        <w:t>Acesso</w:t>
      </w:r>
      <w:proofErr w:type="spellEnd"/>
      <w:r w:rsidR="00196F4C" w:rsidRPr="00282D8F">
        <w:t xml:space="preserve"> </w:t>
      </w:r>
      <w:proofErr w:type="spellStart"/>
      <w:r w:rsidR="00196F4C" w:rsidRPr="00282D8F">
        <w:t>em</w:t>
      </w:r>
      <w:proofErr w:type="spellEnd"/>
      <w:r w:rsidR="00196F4C" w:rsidRPr="00282D8F">
        <w:t>: 24</w:t>
      </w:r>
      <w:r w:rsidR="00CA5D19">
        <w:t xml:space="preserve"> </w:t>
      </w:r>
      <w:proofErr w:type="spellStart"/>
      <w:r w:rsidR="00196F4C" w:rsidRPr="00282D8F">
        <w:t>jan.</w:t>
      </w:r>
      <w:proofErr w:type="spellEnd"/>
      <w:r w:rsidR="00196F4C" w:rsidRPr="00282D8F">
        <w:t xml:space="preserve"> 2025.</w:t>
      </w:r>
    </w:p>
    <w:p w14:paraId="0BD0F0B3" w14:textId="66E74F38" w:rsidR="000166E3" w:rsidRPr="001C5B6C" w:rsidRDefault="008C3733" w:rsidP="001C5B6C">
      <w:pPr>
        <w:spacing w:after="120"/>
        <w:jc w:val="left"/>
      </w:pPr>
      <w:r w:rsidRPr="005F1A2A">
        <w:t>SPIEGLER, A. B., HALBERSTADT, J</w:t>
      </w:r>
      <w:r w:rsidRPr="00200821">
        <w:t xml:space="preserve">. </w:t>
      </w:r>
      <w:proofErr w:type="spellStart"/>
      <w:r w:rsidRPr="00200821">
        <w:t>SHEstainability</w:t>
      </w:r>
      <w:proofErr w:type="spellEnd"/>
      <w:r w:rsidRPr="00200821">
        <w:t>:</w:t>
      </w:r>
      <w:r w:rsidRPr="005F1A2A">
        <w:t xml:space="preserve"> how relationship networks influence the idea generation in opportunity recognition process by female social entrepreneurs. </w:t>
      </w:r>
      <w:r w:rsidRPr="00200821">
        <w:rPr>
          <w:b/>
          <w:bCs/>
        </w:rPr>
        <w:t>International Journal of Entrepreneurial Venturing</w:t>
      </w:r>
      <w:r w:rsidRPr="005F1A2A">
        <w:t>,</w:t>
      </w:r>
      <w:r w:rsidR="00200821">
        <w:t xml:space="preserve"> </w:t>
      </w:r>
      <w:r w:rsidRPr="005F1A2A">
        <w:t xml:space="preserve">10(2), </w:t>
      </w:r>
      <w:r w:rsidR="00200821">
        <w:t xml:space="preserve">p. </w:t>
      </w:r>
      <w:r w:rsidRPr="005F1A2A">
        <w:t>202-235</w:t>
      </w:r>
      <w:r w:rsidR="00200821">
        <w:t>, 2018.</w:t>
      </w:r>
    </w:p>
    <w:p w14:paraId="0BD0F0B5" w14:textId="38AD2EC0" w:rsidR="000166E3" w:rsidRPr="005F1A2A" w:rsidRDefault="008C3733" w:rsidP="001C5B6C">
      <w:pPr>
        <w:spacing w:after="120"/>
        <w:jc w:val="left"/>
      </w:pPr>
      <w:r w:rsidRPr="005F1A2A">
        <w:lastRenderedPageBreak/>
        <w:t xml:space="preserve">WEINGAERTNER, C.; MOBERG, Å. </w:t>
      </w:r>
      <w:r w:rsidRPr="00200821">
        <w:rPr>
          <w:bCs/>
        </w:rPr>
        <w:t>Exploring social sustainability</w:t>
      </w:r>
      <w:r w:rsidRPr="005F1A2A">
        <w:t>: Learning from perspectives on urban development and companies and products</w:t>
      </w:r>
      <w:r w:rsidRPr="00200821">
        <w:rPr>
          <w:b/>
          <w:bCs/>
        </w:rPr>
        <w:t>. Sustainable Development</w:t>
      </w:r>
      <w:r w:rsidRPr="005F1A2A">
        <w:t>,</w:t>
      </w:r>
      <w:r w:rsidR="00200821">
        <w:t xml:space="preserve"> </w:t>
      </w:r>
      <w:r w:rsidRPr="005F1A2A">
        <w:t>22(2)</w:t>
      </w:r>
      <w:r w:rsidR="00200821">
        <w:t>, 2014.</w:t>
      </w:r>
    </w:p>
    <w:p w14:paraId="0BD0F0B6" w14:textId="1CEF12BB" w:rsidR="000166E3" w:rsidRDefault="008C3733" w:rsidP="001C5B6C">
      <w:pPr>
        <w:spacing w:after="120"/>
        <w:jc w:val="left"/>
      </w:pPr>
      <w:r w:rsidRPr="005F1A2A">
        <w:t>YOUNG, W.; TILLEY, F</w:t>
      </w:r>
      <w:r w:rsidRPr="00200821">
        <w:t>. Can businesses move beyond efficiency?</w:t>
      </w:r>
      <w:r w:rsidRPr="005F1A2A">
        <w:t xml:space="preserve"> The shift toward effectiveness and equity in the corporate sustainability debate. </w:t>
      </w:r>
      <w:r w:rsidRPr="00200821">
        <w:rPr>
          <w:b/>
          <w:bCs/>
          <w:lang w:val="pt-BR"/>
        </w:rPr>
        <w:t xml:space="preserve">Business </w:t>
      </w:r>
      <w:proofErr w:type="spellStart"/>
      <w:r w:rsidRPr="00200821">
        <w:rPr>
          <w:b/>
          <w:bCs/>
          <w:lang w:val="pt-BR"/>
        </w:rPr>
        <w:t>Strategy</w:t>
      </w:r>
      <w:proofErr w:type="spellEnd"/>
      <w:r w:rsidRPr="00200821">
        <w:rPr>
          <w:b/>
          <w:bCs/>
          <w:lang w:val="pt-BR"/>
        </w:rPr>
        <w:t xml:space="preserve"> </w:t>
      </w:r>
      <w:proofErr w:type="spellStart"/>
      <w:r w:rsidRPr="00200821">
        <w:rPr>
          <w:b/>
          <w:bCs/>
          <w:lang w:val="pt-BR"/>
        </w:rPr>
        <w:t>and</w:t>
      </w:r>
      <w:proofErr w:type="spellEnd"/>
      <w:r w:rsidRPr="00200821">
        <w:rPr>
          <w:b/>
          <w:bCs/>
          <w:lang w:val="pt-BR"/>
        </w:rPr>
        <w:t xml:space="preserve"> </w:t>
      </w:r>
      <w:proofErr w:type="spellStart"/>
      <w:r w:rsidRPr="00200821">
        <w:rPr>
          <w:b/>
          <w:bCs/>
          <w:lang w:val="pt-BR"/>
        </w:rPr>
        <w:t>the</w:t>
      </w:r>
      <w:proofErr w:type="spellEnd"/>
      <w:r w:rsidRPr="00200821">
        <w:rPr>
          <w:b/>
          <w:bCs/>
          <w:lang w:val="pt-BR"/>
        </w:rPr>
        <w:t xml:space="preserve"> </w:t>
      </w:r>
      <w:proofErr w:type="spellStart"/>
      <w:r w:rsidRPr="00200821">
        <w:rPr>
          <w:b/>
          <w:bCs/>
          <w:lang w:val="pt-BR"/>
        </w:rPr>
        <w:t>Environment</w:t>
      </w:r>
      <w:proofErr w:type="spellEnd"/>
      <w:r>
        <w:rPr>
          <w:lang w:val="pt-BR"/>
        </w:rPr>
        <w:t>,</w:t>
      </w:r>
      <w:r w:rsidR="00200821">
        <w:rPr>
          <w:lang w:val="pt-BR"/>
        </w:rPr>
        <w:t xml:space="preserve"> </w:t>
      </w:r>
      <w:r>
        <w:rPr>
          <w:lang w:val="pt-BR"/>
        </w:rPr>
        <w:t>15(6),</w:t>
      </w:r>
      <w:r w:rsidR="00200821">
        <w:rPr>
          <w:lang w:val="pt-BR"/>
        </w:rPr>
        <w:t xml:space="preserve"> p.</w:t>
      </w:r>
      <w:r>
        <w:rPr>
          <w:lang w:val="pt-BR"/>
        </w:rPr>
        <w:t xml:space="preserve"> 402-41</w:t>
      </w:r>
      <w:r w:rsidR="00200821">
        <w:rPr>
          <w:lang w:val="pt-BR"/>
        </w:rPr>
        <w:t>, 2006.</w:t>
      </w:r>
    </w:p>
    <w:sectPr w:rsidR="000166E3" w:rsidSect="007C37F8">
      <w:headerReference w:type="default" r:id="rId31"/>
      <w:footerReference w:type="even" r:id="rId32"/>
      <w:footerReference w:type="default" r:id="rId33"/>
      <w:footerReference w:type="first" r:id="rId34"/>
      <w:pgSz w:w="11906" w:h="16838"/>
      <w:pgMar w:top="1417" w:right="1701" w:bottom="1417" w:left="1701" w:header="1701" w:footer="1417" w:gutter="0"/>
      <w:pgNumType w:start="4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0A6C" w14:textId="77777777" w:rsidR="005E256E" w:rsidRDefault="005E256E">
      <w:r>
        <w:separator/>
      </w:r>
    </w:p>
  </w:endnote>
  <w:endnote w:type="continuationSeparator" w:id="0">
    <w:p w14:paraId="7DBD25C4" w14:textId="77777777" w:rsidR="005E256E" w:rsidRDefault="005E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roman"/>
    <w:pitch w:val="variable"/>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MT">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F0BC" w14:textId="77777777" w:rsidR="000166E3" w:rsidRDefault="000166E3">
    <w:pPr>
      <w:pStyle w:val="Rodap"/>
      <w:rPr>
        <w:rStyle w:val="Nmerodepgina"/>
      </w:rPr>
    </w:pPr>
  </w:p>
  <w:p w14:paraId="0BD0F0BD" w14:textId="77777777" w:rsidR="000166E3" w:rsidRDefault="008C3733">
    <w:pPr>
      <w:widowControl w:val="0"/>
      <w:rPr>
        <w:sz w:val="22"/>
        <w:szCs w:val="22"/>
        <w:lang w:val="pt-BR"/>
      </w:rPr>
    </w:pPr>
    <w:r>
      <w:rPr>
        <w:rFonts w:ascii="Arial-BoldMT" w:hAnsi="Arial-BoldMT" w:cs="Arial-BoldMT"/>
        <w:b/>
        <w:bCs/>
        <w:sz w:val="18"/>
        <w:szCs w:val="18"/>
        <w:lang w:val="pt-BR" w:eastAsia="en-US" w:bidi="en-US"/>
      </w:rPr>
      <w:t xml:space="preserve">Estudos em Design </w:t>
    </w:r>
    <w:r>
      <w:rPr>
        <w:rFonts w:ascii="Arial-BoldMT" w:hAnsi="Arial-BoldMT" w:cs="Arial-BoldMT"/>
        <w:sz w:val="18"/>
        <w:szCs w:val="18"/>
        <w:lang w:val="pt-BR" w:eastAsia="en-US" w:bidi="en-US"/>
      </w:rPr>
      <w:t xml:space="preserve">| Revista (online). Rio de Janeiro: v. </w:t>
    </w:r>
    <w:r>
      <w:rPr>
        <w:rFonts w:ascii="Arial-BoldMT" w:hAnsi="Arial-BoldMT" w:cs="Arial-BoldMT"/>
        <w:color w:val="FF0000"/>
        <w:sz w:val="18"/>
        <w:szCs w:val="18"/>
        <w:lang w:val="pt-BR" w:eastAsia="en-US" w:bidi="en-US"/>
      </w:rPr>
      <w:t>X</w:t>
    </w:r>
    <w:r>
      <w:rPr>
        <w:rFonts w:ascii="Arial-BoldMT" w:hAnsi="Arial-BoldMT" w:cs="Arial-BoldMT"/>
        <w:sz w:val="18"/>
        <w:szCs w:val="18"/>
        <w:lang w:val="pt-BR" w:eastAsia="en-US" w:bidi="en-US"/>
      </w:rPr>
      <w:t xml:space="preserve"> | n. </w:t>
    </w:r>
    <w:r>
      <w:rPr>
        <w:rFonts w:ascii="Arial-BoldMT" w:hAnsi="Arial-BoldMT" w:cs="Arial-BoldMT"/>
        <w:color w:val="FF0000"/>
        <w:sz w:val="18"/>
        <w:szCs w:val="18"/>
        <w:lang w:val="pt-BR" w:eastAsia="en-US" w:bidi="en-US"/>
      </w:rPr>
      <w:t>X</w:t>
    </w:r>
    <w:r>
      <w:rPr>
        <w:rFonts w:ascii="Arial-BoldMT" w:hAnsi="Arial-BoldMT" w:cs="Arial-BoldMT"/>
        <w:sz w:val="18"/>
        <w:szCs w:val="18"/>
        <w:lang w:val="pt-BR" w:eastAsia="en-US" w:bidi="en-US"/>
      </w:rPr>
      <w:t xml:space="preserve"> [</w:t>
    </w:r>
    <w:r>
      <w:rPr>
        <w:rFonts w:ascii="Arial-BoldMT" w:hAnsi="Arial-BoldMT" w:cs="Arial-BoldMT"/>
        <w:color w:val="FF0000"/>
        <w:sz w:val="18"/>
        <w:szCs w:val="18"/>
        <w:lang w:val="pt-BR" w:eastAsia="en-US" w:bidi="en-US"/>
      </w:rPr>
      <w:t>ANO</w:t>
    </w:r>
    <w:r>
      <w:rPr>
        <w:rFonts w:ascii="Arial-BoldMT" w:hAnsi="Arial-BoldMT" w:cs="Arial-BoldMT"/>
        <w:sz w:val="18"/>
        <w:szCs w:val="18"/>
        <w:lang w:val="pt-BR" w:eastAsia="en-US" w:bidi="en-US"/>
      </w:rPr>
      <w:t xml:space="preserve">], p. </w:t>
    </w:r>
    <w:r>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Pr>
        <w:rStyle w:val="apple-style-span"/>
        <w:rFonts w:ascii="Verdana" w:hAnsi="Verdana"/>
        <w:sz w:val="17"/>
        <w:szCs w:val="17"/>
        <w:lang w:val="pt-BR"/>
      </w:rPr>
      <w:t>1983-196X</w:t>
    </w:r>
  </w:p>
  <w:p w14:paraId="0BD0F0BE" w14:textId="77777777" w:rsidR="000166E3" w:rsidRDefault="000166E3">
    <w:pPr>
      <w:pStyle w:val="Rodap"/>
      <w:rPr>
        <w:lang w:val="pt-BR"/>
      </w:rPr>
    </w:pPr>
  </w:p>
  <w:p w14:paraId="0BD0F0BF" w14:textId="77777777" w:rsidR="000166E3" w:rsidRDefault="000166E3">
    <w:pPr>
      <w:pStyle w:val="Rodap"/>
      <w:rPr>
        <w:rStyle w:val="Nmerodepgina"/>
        <w:lang w:val="pt-BR"/>
      </w:rPr>
    </w:pPr>
  </w:p>
  <w:p w14:paraId="0BD0F0C0" w14:textId="77777777" w:rsidR="000166E3" w:rsidRDefault="000166E3">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F0C1" w14:textId="77777777" w:rsidR="000166E3" w:rsidRDefault="000166E3">
    <w:pPr>
      <w:widowControl w:val="0"/>
      <w:rPr>
        <w:sz w:val="22"/>
        <w:szCs w:val="22"/>
        <w:lang w:val="pt-BR"/>
      </w:rPr>
    </w:pPr>
  </w:p>
  <w:p w14:paraId="0BD0F0C2" w14:textId="77777777" w:rsidR="000166E3" w:rsidRDefault="008C3733">
    <w:pPr>
      <w:widowControl w:val="0"/>
      <w:rPr>
        <w:sz w:val="17"/>
        <w:szCs w:val="17"/>
        <w:lang w:val="pt-BR"/>
      </w:rPr>
    </w:pPr>
    <w:r>
      <w:rPr>
        <w:rFonts w:ascii="Arial" w:hAnsi="Arial" w:cs="Arial"/>
        <w:b/>
        <w:bCs/>
        <w:color w:val="7F7F7F"/>
        <w:sz w:val="17"/>
        <w:szCs w:val="17"/>
        <w:lang w:val="pt-BR" w:eastAsia="en-US" w:bidi="en-US"/>
      </w:rPr>
      <w:t xml:space="preserve">ENSUS 2023 – XI Encontro de Sustentabilidade em Projeto – </w:t>
    </w:r>
    <w:r>
      <w:rPr>
        <w:rFonts w:ascii="Arial" w:hAnsi="Arial" w:cs="Arial"/>
        <w:bCs/>
        <w:color w:val="7F7F7F"/>
        <w:sz w:val="17"/>
        <w:szCs w:val="17"/>
        <w:lang w:val="pt-BR" w:eastAsia="en-US" w:bidi="en-US"/>
      </w:rPr>
      <w:t xml:space="preserve">UFSC – Florianópolis – 05 a 07 de </w:t>
    </w:r>
    <w:proofErr w:type="gramStart"/>
    <w:r>
      <w:rPr>
        <w:rFonts w:ascii="Arial" w:hAnsi="Arial" w:cs="Arial"/>
        <w:bCs/>
        <w:color w:val="7F7F7F"/>
        <w:sz w:val="17"/>
        <w:szCs w:val="17"/>
        <w:lang w:val="pt-BR" w:eastAsia="en-US" w:bidi="en-US"/>
      </w:rPr>
      <w:t>Junho</w:t>
    </w:r>
    <w:proofErr w:type="gramEnd"/>
    <w:r>
      <w:rPr>
        <w:rFonts w:ascii="Arial" w:hAnsi="Arial" w:cs="Arial"/>
        <w:bCs/>
        <w:color w:val="7F7F7F"/>
        <w:sz w:val="17"/>
        <w:szCs w:val="17"/>
        <w:lang w:val="pt-BR" w:eastAsia="en-US" w:bidi="en-US"/>
      </w:rPr>
      <w:t xml:space="preserve"> de 2023.</w:t>
    </w:r>
  </w:p>
  <w:p w14:paraId="0BD0F0C3" w14:textId="77777777" w:rsidR="000166E3" w:rsidRDefault="000166E3">
    <w:pPr>
      <w:widowControl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F0C4" w14:textId="77777777" w:rsidR="000166E3" w:rsidRDefault="000166E3">
    <w:pPr>
      <w:widowControl w:val="0"/>
      <w:rPr>
        <w:sz w:val="22"/>
        <w:szCs w:val="22"/>
        <w:lang w:val="pt-BR"/>
      </w:rPr>
    </w:pPr>
  </w:p>
  <w:p w14:paraId="0BD0F0C5" w14:textId="77777777" w:rsidR="000166E3" w:rsidRDefault="008C3733">
    <w:pPr>
      <w:widowControl w:val="0"/>
      <w:rPr>
        <w:sz w:val="17"/>
        <w:szCs w:val="17"/>
        <w:lang w:val="pt-BR"/>
      </w:rPr>
    </w:pPr>
    <w:r>
      <w:rPr>
        <w:rFonts w:ascii="Arial" w:hAnsi="Arial" w:cs="Arial"/>
        <w:b/>
        <w:bCs/>
        <w:color w:val="7F7F7F"/>
        <w:sz w:val="17"/>
        <w:szCs w:val="17"/>
        <w:lang w:val="pt-BR" w:eastAsia="en-US" w:bidi="en-US"/>
      </w:rPr>
      <w:t xml:space="preserve">ENSUS 2023 – XI Encontro de Sustentabilidade em Projeto – </w:t>
    </w:r>
    <w:r>
      <w:rPr>
        <w:rFonts w:ascii="Arial" w:hAnsi="Arial" w:cs="Arial"/>
        <w:bCs/>
        <w:color w:val="7F7F7F"/>
        <w:sz w:val="17"/>
        <w:szCs w:val="17"/>
        <w:lang w:val="pt-BR" w:eastAsia="en-US" w:bidi="en-US"/>
      </w:rPr>
      <w:t xml:space="preserve">UFSC – Florianópolis – 05 a 07 de </w:t>
    </w:r>
    <w:proofErr w:type="gramStart"/>
    <w:r>
      <w:rPr>
        <w:rFonts w:ascii="Arial" w:hAnsi="Arial" w:cs="Arial"/>
        <w:bCs/>
        <w:color w:val="7F7F7F"/>
        <w:sz w:val="17"/>
        <w:szCs w:val="17"/>
        <w:lang w:val="pt-BR" w:eastAsia="en-US" w:bidi="en-US"/>
      </w:rPr>
      <w:t>Junho</w:t>
    </w:r>
    <w:proofErr w:type="gramEnd"/>
    <w:r>
      <w:rPr>
        <w:rFonts w:ascii="Arial" w:hAnsi="Arial" w:cs="Arial"/>
        <w:bCs/>
        <w:color w:val="7F7F7F"/>
        <w:sz w:val="17"/>
        <w:szCs w:val="17"/>
        <w:lang w:val="pt-BR" w:eastAsia="en-US" w:bidi="en-US"/>
      </w:rPr>
      <w:t xml:space="preserve"> de 2023.</w:t>
    </w:r>
  </w:p>
  <w:p w14:paraId="0BD0F0C6" w14:textId="77777777" w:rsidR="000166E3" w:rsidRDefault="000166E3">
    <w:pPr>
      <w:widowControl w:val="0"/>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C0AE" w14:textId="77777777" w:rsidR="005E256E" w:rsidRDefault="005E256E">
      <w:r>
        <w:separator/>
      </w:r>
    </w:p>
  </w:footnote>
  <w:footnote w:type="continuationSeparator" w:id="0">
    <w:p w14:paraId="34979713" w14:textId="77777777" w:rsidR="005E256E" w:rsidRDefault="005E2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062" w:type="dxa"/>
      <w:tblLayout w:type="fixed"/>
      <w:tblLook w:val="04A0" w:firstRow="1" w:lastRow="0" w:firstColumn="1" w:lastColumn="0" w:noHBand="0" w:noVBand="1"/>
    </w:tblPr>
    <w:tblGrid>
      <w:gridCol w:w="3020"/>
      <w:gridCol w:w="3021"/>
      <w:gridCol w:w="3021"/>
    </w:tblGrid>
    <w:tr w:rsidR="000166E3" w14:paraId="0BD0F0BA" w14:textId="77777777">
      <w:tc>
        <w:tcPr>
          <w:tcW w:w="3020" w:type="dxa"/>
          <w:tcBorders>
            <w:top w:val="nil"/>
            <w:left w:val="nil"/>
            <w:bottom w:val="nil"/>
            <w:right w:val="nil"/>
          </w:tcBorders>
        </w:tcPr>
        <w:p w14:paraId="0BD0F0B7" w14:textId="77777777" w:rsidR="000166E3" w:rsidRDefault="008C3733">
          <w:r>
            <w:rPr>
              <w:noProof/>
            </w:rPr>
            <w:drawing>
              <wp:inline distT="0" distB="0" distL="0" distR="0" wp14:anchorId="0BD0F0C7" wp14:editId="0BD0F0C8">
                <wp:extent cx="1074420" cy="107442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1074420" cy="1074420"/>
                        </a:xfrm>
                        <a:prstGeom prst="rect">
                          <a:avLst/>
                        </a:prstGeom>
                      </pic:spPr>
                    </pic:pic>
                  </a:graphicData>
                </a:graphic>
              </wp:inline>
            </w:drawing>
          </w:r>
        </w:p>
      </w:tc>
      <w:tc>
        <w:tcPr>
          <w:tcW w:w="3021" w:type="dxa"/>
          <w:tcBorders>
            <w:top w:val="nil"/>
            <w:left w:val="nil"/>
            <w:bottom w:val="nil"/>
            <w:right w:val="nil"/>
          </w:tcBorders>
        </w:tcPr>
        <w:p w14:paraId="0BD0F0B8" w14:textId="77777777" w:rsidR="000166E3" w:rsidRDefault="008C3733">
          <w:r>
            <w:rPr>
              <w:noProof/>
            </w:rPr>
            <w:drawing>
              <wp:inline distT="0" distB="0" distL="0" distR="0" wp14:anchorId="0BD0F0C9" wp14:editId="0BD0F0CA">
                <wp:extent cx="1410970" cy="85725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2"/>
                        <a:stretch>
                          <a:fillRect/>
                        </a:stretch>
                      </pic:blipFill>
                      <pic:spPr bwMode="auto">
                        <a:xfrm>
                          <a:off x="0" y="0"/>
                          <a:ext cx="1410970" cy="857250"/>
                        </a:xfrm>
                        <a:prstGeom prst="rect">
                          <a:avLst/>
                        </a:prstGeom>
                      </pic:spPr>
                    </pic:pic>
                  </a:graphicData>
                </a:graphic>
              </wp:inline>
            </w:drawing>
          </w:r>
        </w:p>
      </w:tc>
      <w:tc>
        <w:tcPr>
          <w:tcW w:w="3021" w:type="dxa"/>
          <w:tcBorders>
            <w:top w:val="nil"/>
            <w:left w:val="nil"/>
            <w:bottom w:val="nil"/>
            <w:right w:val="nil"/>
          </w:tcBorders>
        </w:tcPr>
        <w:p w14:paraId="0BD0F0B9" w14:textId="77777777" w:rsidR="000166E3" w:rsidRDefault="008C3733">
          <w:pPr>
            <w:ind w:firstLine="708"/>
          </w:pPr>
          <w:r>
            <w:rPr>
              <w:noProof/>
            </w:rPr>
            <w:drawing>
              <wp:inline distT="0" distB="0" distL="0" distR="0" wp14:anchorId="0BD0F0CB" wp14:editId="0BD0F0CC">
                <wp:extent cx="764540" cy="1057275"/>
                <wp:effectExtent l="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pic:cNvPicPr>
                          <a:picLocks noChangeAspect="1" noChangeArrowheads="1"/>
                        </pic:cNvPicPr>
                      </pic:nvPicPr>
                      <pic:blipFill>
                        <a:blip r:embed="rId3"/>
                        <a:stretch>
                          <a:fillRect/>
                        </a:stretch>
                      </pic:blipFill>
                      <pic:spPr bwMode="auto">
                        <a:xfrm flipH="1">
                          <a:off x="0" y="0"/>
                          <a:ext cx="764540" cy="1057275"/>
                        </a:xfrm>
                        <a:prstGeom prst="rect">
                          <a:avLst/>
                        </a:prstGeom>
                      </pic:spPr>
                    </pic:pic>
                  </a:graphicData>
                </a:graphic>
              </wp:inline>
            </w:drawing>
          </w:r>
        </w:p>
      </w:tc>
    </w:tr>
  </w:tbl>
  <w:p w14:paraId="0BD0F0BB" w14:textId="77777777" w:rsidR="000166E3" w:rsidRDefault="000166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576"/>
    <w:multiLevelType w:val="hybridMultilevel"/>
    <w:tmpl w:val="D72AF7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9CC2EF2"/>
    <w:multiLevelType w:val="multilevel"/>
    <w:tmpl w:val="6E6824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98D1D4B"/>
    <w:multiLevelType w:val="multilevel"/>
    <w:tmpl w:val="E96099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A970011"/>
    <w:multiLevelType w:val="multilevel"/>
    <w:tmpl w:val="90CC6026"/>
    <w:lvl w:ilvl="0">
      <w:start w:val="1"/>
      <w:numFmt w:val="decimal"/>
      <w:pStyle w:val="Subttulo"/>
      <w:lvlText w:val="4.%1."/>
      <w:lvlJc w:val="left"/>
      <w:pPr>
        <w:tabs>
          <w:tab w:val="num" w:pos="0"/>
        </w:tabs>
        <w:ind w:left="720" w:hanging="360"/>
      </w:pPr>
      <w:rPr>
        <w:rFonts w:ascii="Arial" w:hAnsi="Arial" w:cs="Arial"/>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52977319">
    <w:abstractNumId w:val="2"/>
  </w:num>
  <w:num w:numId="2" w16cid:durableId="419178386">
    <w:abstractNumId w:val="3"/>
  </w:num>
  <w:num w:numId="3" w16cid:durableId="1029915275">
    <w:abstractNumId w:val="1"/>
  </w:num>
  <w:num w:numId="4" w16cid:durableId="188062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E3"/>
    <w:rsid w:val="000166E3"/>
    <w:rsid w:val="000F0939"/>
    <w:rsid w:val="000F0F38"/>
    <w:rsid w:val="00114D09"/>
    <w:rsid w:val="00196F4C"/>
    <w:rsid w:val="001C34DD"/>
    <w:rsid w:val="001C5B6C"/>
    <w:rsid w:val="001E6EC9"/>
    <w:rsid w:val="001F515B"/>
    <w:rsid w:val="00200821"/>
    <w:rsid w:val="00242BDE"/>
    <w:rsid w:val="00282D8F"/>
    <w:rsid w:val="002924FD"/>
    <w:rsid w:val="002E3494"/>
    <w:rsid w:val="00313EFE"/>
    <w:rsid w:val="00335DBC"/>
    <w:rsid w:val="003C6373"/>
    <w:rsid w:val="003E1CFB"/>
    <w:rsid w:val="004337E5"/>
    <w:rsid w:val="00441FA4"/>
    <w:rsid w:val="00460A69"/>
    <w:rsid w:val="004A159F"/>
    <w:rsid w:val="004A5B21"/>
    <w:rsid w:val="004D578E"/>
    <w:rsid w:val="0053330D"/>
    <w:rsid w:val="00556753"/>
    <w:rsid w:val="00576661"/>
    <w:rsid w:val="005A0F72"/>
    <w:rsid w:val="005E256E"/>
    <w:rsid w:val="005F1A2A"/>
    <w:rsid w:val="0060356B"/>
    <w:rsid w:val="00687D18"/>
    <w:rsid w:val="006B0F32"/>
    <w:rsid w:val="007C37F8"/>
    <w:rsid w:val="007D71C1"/>
    <w:rsid w:val="008226DC"/>
    <w:rsid w:val="00845844"/>
    <w:rsid w:val="008612EB"/>
    <w:rsid w:val="00887F28"/>
    <w:rsid w:val="008B44E1"/>
    <w:rsid w:val="008C3733"/>
    <w:rsid w:val="008F07CD"/>
    <w:rsid w:val="00953632"/>
    <w:rsid w:val="009A0FB0"/>
    <w:rsid w:val="009F2B2C"/>
    <w:rsid w:val="00AC4445"/>
    <w:rsid w:val="00B24EAB"/>
    <w:rsid w:val="00B918EB"/>
    <w:rsid w:val="00B9224F"/>
    <w:rsid w:val="00C37875"/>
    <w:rsid w:val="00C77DF4"/>
    <w:rsid w:val="00CA002A"/>
    <w:rsid w:val="00CA5D19"/>
    <w:rsid w:val="00CB416C"/>
    <w:rsid w:val="00CF0BE1"/>
    <w:rsid w:val="00D220D6"/>
    <w:rsid w:val="00D640DD"/>
    <w:rsid w:val="00E0618E"/>
    <w:rsid w:val="00E5557E"/>
    <w:rsid w:val="00E7554C"/>
    <w:rsid w:val="00ED39AF"/>
    <w:rsid w:val="00EF2C01"/>
    <w:rsid w:val="00F06683"/>
    <w:rsid w:val="00FF04E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EFDC"/>
  <w15:docId w15:val="{F8427DE9-1A3A-4CD6-BA35-BB7BC7F9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sid w:val="00827839"/>
    <w:rPr>
      <w:rFonts w:ascii="Arial" w:eastAsia="Times New Roman" w:hAnsi="Arial" w:cs="Times New Roman"/>
      <w:b/>
      <w:kern w:val="2"/>
      <w:sz w:val="28"/>
      <w:szCs w:val="20"/>
      <w:lang w:val="en-US" w:eastAsia="pt-BR"/>
    </w:rPr>
  </w:style>
  <w:style w:type="character" w:customStyle="1" w:styleId="RodapChar">
    <w:name w:val="Rodapé Char"/>
    <w:link w:val="Rodap"/>
    <w:semiHidden/>
    <w:qFormat/>
    <w:rsid w:val="00827839"/>
    <w:rPr>
      <w:rFonts w:ascii="Verdana" w:eastAsia="Times New Roman" w:hAnsi="Verdana" w:cs="Times New Roman"/>
      <w:smallCaps/>
      <w:sz w:val="10"/>
      <w:szCs w:val="20"/>
      <w:lang w:val="en-US" w:eastAsia="pt-BR"/>
    </w:rPr>
  </w:style>
  <w:style w:type="character" w:styleId="Nmerodepgina">
    <w:name w:val="page number"/>
    <w:semiHidden/>
    <w:qFormat/>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qFormat/>
    <w:rsid w:val="00827839"/>
  </w:style>
  <w:style w:type="character" w:customStyle="1" w:styleId="TextodebaloChar">
    <w:name w:val="Texto de balão Char"/>
    <w:link w:val="Textodebalo"/>
    <w:uiPriority w:val="99"/>
    <w:semiHidden/>
    <w:qFormat/>
    <w:rsid w:val="00A16C65"/>
    <w:rPr>
      <w:rFonts w:ascii="Lucida Grande" w:eastAsia="Times New Roman" w:hAnsi="Lucida Grande" w:cs="Lucida Grande"/>
      <w:sz w:val="18"/>
      <w:szCs w:val="18"/>
      <w:lang w:val="en-US" w:eastAsia="pt-BR"/>
    </w:rPr>
  </w:style>
  <w:style w:type="character" w:customStyle="1" w:styleId="CabealhoChar">
    <w:name w:val="Cabeçalho Char"/>
    <w:link w:val="Cabealho"/>
    <w:uiPriority w:val="99"/>
    <w:qFormat/>
    <w:rsid w:val="00777D35"/>
    <w:rPr>
      <w:rFonts w:ascii="Times New Roman" w:eastAsia="Times New Roman" w:hAnsi="Times New Roman" w:cs="Times New Roman"/>
      <w:sz w:val="24"/>
      <w:szCs w:val="20"/>
      <w:lang w:val="en-US" w:eastAsia="pt-BR"/>
    </w:rPr>
  </w:style>
  <w:style w:type="character" w:customStyle="1" w:styleId="TextodenotaderodapChar">
    <w:name w:val="Texto de nota de rodapé Char"/>
    <w:link w:val="Textodenotaderodap"/>
    <w:uiPriority w:val="99"/>
    <w:qFormat/>
    <w:rsid w:val="00777D35"/>
    <w:rPr>
      <w:rFonts w:ascii="Times New Roman" w:eastAsia="Times New Roman" w:hAnsi="Times New Roman" w:cs="Times New Roman"/>
      <w:sz w:val="24"/>
      <w:szCs w:val="24"/>
      <w:lang w:val="en-US" w:eastAsia="pt-BR"/>
    </w:rPr>
  </w:style>
  <w:style w:type="character" w:customStyle="1" w:styleId="Caracteresdenotaderodap">
    <w:name w:val="Caracteres de nota de rodapé"/>
    <w:uiPriority w:val="99"/>
    <w:unhideWhenUsed/>
    <w:qFormat/>
    <w:rsid w:val="00777D35"/>
    <w:rPr>
      <w:vertAlign w:val="superscript"/>
    </w:rPr>
  </w:style>
  <w:style w:type="character" w:styleId="Refdenotaderodap">
    <w:name w:val="footnote reference"/>
    <w:rPr>
      <w:vertAlign w:val="superscript"/>
    </w:rPr>
  </w:style>
  <w:style w:type="character" w:customStyle="1" w:styleId="MapadoDocumentoChar">
    <w:name w:val="Mapa do Documento Char"/>
    <w:link w:val="MapadoDocumento"/>
    <w:uiPriority w:val="99"/>
    <w:semiHidden/>
    <w:qFormat/>
    <w:rsid w:val="00342D36"/>
    <w:rPr>
      <w:rFonts w:ascii="Lucida Grande" w:eastAsia="Times New Roman" w:hAnsi="Lucida Grande" w:cs="Lucida Grande"/>
      <w:sz w:val="24"/>
      <w:szCs w:val="24"/>
      <w:lang w:val="en-US" w:eastAsia="pt-BR"/>
    </w:rPr>
  </w:style>
  <w:style w:type="character" w:customStyle="1" w:styleId="TtuloChar">
    <w:name w:val="Título Char"/>
    <w:link w:val="Ttulo"/>
    <w:qFormat/>
    <w:rsid w:val="007628A1"/>
    <w:rPr>
      <w:rFonts w:ascii="Tahoma" w:eastAsia="Times New Roman" w:hAnsi="Tahoma" w:cs="Tahoma"/>
      <w:b/>
      <w:bCs/>
      <w:color w:val="0066FF"/>
      <w:sz w:val="28"/>
      <w:szCs w:val="28"/>
      <w:lang w:eastAsia="pt-BR"/>
    </w:rPr>
  </w:style>
  <w:style w:type="character" w:customStyle="1" w:styleId="SubttuloChar">
    <w:name w:val="Subtítulo Char"/>
    <w:link w:val="Subttulo"/>
    <w:uiPriority w:val="11"/>
    <w:qFormat/>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customStyle="1" w:styleId="Caracteresdenotadefim">
    <w:name w:val="Caracteres de nota de fim"/>
    <w:qFormat/>
  </w:style>
  <w:style w:type="character" w:styleId="nfase">
    <w:name w:val="Emphasis"/>
    <w:qFormat/>
    <w:rPr>
      <w:rFonts w:cs="Times New Roman"/>
      <w:i/>
    </w:rPr>
  </w:style>
  <w:style w:type="character" w:styleId="CitaoHTML">
    <w:name w:val="HTML Cite"/>
    <w:basedOn w:val="Fontepargpadro"/>
    <w:qFormat/>
    <w:rPr>
      <w:i/>
      <w:iCs/>
    </w:rPr>
  </w:style>
  <w:style w:type="paragraph" w:styleId="Ttulo">
    <w:name w:val="Title"/>
    <w:basedOn w:val="Normal"/>
    <w:next w:val="Corpodetexto"/>
    <w:link w:val="TtuloChar"/>
    <w:qFormat/>
    <w:rsid w:val="007628A1"/>
    <w:pPr>
      <w:jc w:val="center"/>
    </w:pPr>
    <w:rPr>
      <w:rFonts w:ascii="Tahoma" w:hAnsi="Tahoma" w:cs="Tahoma"/>
      <w:b/>
      <w:bCs/>
      <w:color w:val="0066FF"/>
      <w:sz w:val="28"/>
      <w:szCs w:val="28"/>
      <w:lang w:val="pt-BR"/>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qFormat/>
    <w:rsid w:val="00DF1010"/>
    <w:pPr>
      <w:widowControl w:val="0"/>
      <w:tabs>
        <w:tab w:val="left" w:pos="284"/>
      </w:tabs>
      <w:spacing w:after="120"/>
      <w:jc w:val="left"/>
    </w:pPr>
    <w:rPr>
      <w:rFonts w:ascii="Arial" w:hAnsi="Arial" w:cs="Arial"/>
      <w:kern w:val="2"/>
      <w:sz w:val="20"/>
      <w:lang w:val="en-GB" w:eastAsia="en-US"/>
    </w:rPr>
  </w:style>
  <w:style w:type="paragraph" w:customStyle="1" w:styleId="IDpaper-heading2">
    <w:name w:val="IDpaper-heading2"/>
    <w:basedOn w:val="Normal"/>
    <w:qFormat/>
    <w:rsid w:val="00DF1010"/>
    <w:pPr>
      <w:widowControl w:val="0"/>
      <w:tabs>
        <w:tab w:val="left" w:pos="284"/>
      </w:tabs>
      <w:spacing w:before="240" w:after="120"/>
      <w:jc w:val="left"/>
    </w:pPr>
    <w:rPr>
      <w:rFonts w:ascii="Arial" w:hAnsi="Arial" w:cs="Arial"/>
      <w:b/>
      <w:bCs/>
      <w:kern w:val="2"/>
      <w:sz w:val="20"/>
      <w:lang w:val="en-GB" w:eastAsia="en-US"/>
    </w:rPr>
  </w:style>
  <w:style w:type="paragraph" w:styleId="Textodebalo">
    <w:name w:val="Balloon Text"/>
    <w:basedOn w:val="Normal"/>
    <w:link w:val="TextodebaloChar"/>
    <w:uiPriority w:val="99"/>
    <w:semiHidden/>
    <w:unhideWhenUsed/>
    <w:qFormat/>
    <w:rsid w:val="00A16C65"/>
    <w:rPr>
      <w:rFonts w:ascii="Lucida Grande" w:hAnsi="Lucida Grande" w:cs="Lucida Grande"/>
      <w:sz w:val="18"/>
      <w:szCs w:val="18"/>
    </w:rPr>
  </w:style>
  <w:style w:type="paragraph" w:customStyle="1" w:styleId="caption1">
    <w:name w:val="caption1"/>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paragraph" w:styleId="Textodenotaderodap">
    <w:name w:val="footnote text"/>
    <w:basedOn w:val="Normal"/>
    <w:link w:val="TextodenotaderodapChar"/>
    <w:uiPriority w:val="99"/>
    <w:unhideWhenUsed/>
    <w:rsid w:val="00777D35"/>
    <w:rPr>
      <w:szCs w:val="24"/>
    </w:rPr>
  </w:style>
  <w:style w:type="paragraph" w:styleId="MapadoDocumento">
    <w:name w:val="Document Map"/>
    <w:basedOn w:val="Normal"/>
    <w:link w:val="MapadoDocumentoChar"/>
    <w:uiPriority w:val="99"/>
    <w:semiHidden/>
    <w:unhideWhenUsed/>
    <w:qFormat/>
    <w:rsid w:val="00342D36"/>
    <w:rPr>
      <w:rFonts w:ascii="Lucida Grande" w:hAnsi="Lucida Grande" w:cs="Lucida Grande"/>
      <w:szCs w:val="24"/>
    </w:rPr>
  </w:style>
  <w:style w:type="paragraph" w:styleId="Reviso">
    <w:name w:val="Revision"/>
    <w:uiPriority w:val="99"/>
    <w:semiHidden/>
    <w:qFormat/>
    <w:rsid w:val="00342D36"/>
    <w:rPr>
      <w:rFonts w:ascii="Times New Roman" w:eastAsia="Times New Roman" w:hAnsi="Times New Roman"/>
      <w:sz w:val="24"/>
      <w:lang w:val="en-US"/>
    </w:rPr>
  </w:style>
  <w:style w:type="paragraph" w:styleId="Subttulo">
    <w:name w:val="Subtitle"/>
    <w:basedOn w:val="Normal"/>
    <w:next w:val="Normal"/>
    <w:link w:val="SubttuloChar"/>
    <w:uiPriority w:val="11"/>
    <w:qFormat/>
    <w:rsid w:val="00575335"/>
    <w:pPr>
      <w:numPr>
        <w:numId w:val="2"/>
      </w:numPr>
      <w:spacing w:before="240" w:after="120"/>
      <w:ind w:left="357" w:hanging="357"/>
    </w:pPr>
    <w:rPr>
      <w:rFonts w:ascii="Arial" w:hAnsi="Arial"/>
      <w:b/>
      <w:spacing w:val="15"/>
      <w:szCs w:val="22"/>
      <w:lang w:val="pt-BR" w:eastAsia="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MenoPendente">
    <w:name w:val="Unresolved Mention"/>
    <w:basedOn w:val="Fontepargpadro"/>
    <w:uiPriority w:val="99"/>
    <w:semiHidden/>
    <w:unhideWhenUsed/>
    <w:rsid w:val="0053330D"/>
    <w:rPr>
      <w:color w:val="605E5C"/>
      <w:shd w:val="clear" w:color="auto" w:fill="E1DFDD"/>
    </w:rPr>
  </w:style>
  <w:style w:type="character" w:styleId="HiperlinkVisitado">
    <w:name w:val="FollowedHyperlink"/>
    <w:basedOn w:val="Fontepargpadro"/>
    <w:uiPriority w:val="99"/>
    <w:semiHidden/>
    <w:unhideWhenUsed/>
    <w:rsid w:val="00196F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13220">
      <w:bodyDiv w:val="1"/>
      <w:marLeft w:val="0"/>
      <w:marRight w:val="0"/>
      <w:marTop w:val="0"/>
      <w:marBottom w:val="0"/>
      <w:divBdr>
        <w:top w:val="none" w:sz="0" w:space="0" w:color="auto"/>
        <w:left w:val="none" w:sz="0" w:space="0" w:color="auto"/>
        <w:bottom w:val="none" w:sz="0" w:space="0" w:color="auto"/>
        <w:right w:val="none" w:sz="0" w:space="0" w:color="auto"/>
      </w:divBdr>
      <w:divsChild>
        <w:div w:id="729304272">
          <w:marLeft w:val="0"/>
          <w:marRight w:val="0"/>
          <w:marTop w:val="0"/>
          <w:marBottom w:val="0"/>
          <w:divBdr>
            <w:top w:val="none" w:sz="0" w:space="0" w:color="auto"/>
            <w:left w:val="none" w:sz="0" w:space="0" w:color="auto"/>
            <w:bottom w:val="none" w:sz="0" w:space="0" w:color="auto"/>
            <w:right w:val="none" w:sz="0" w:space="0" w:color="auto"/>
          </w:divBdr>
          <w:divsChild>
            <w:div w:id="224682722">
              <w:marLeft w:val="0"/>
              <w:marRight w:val="0"/>
              <w:marTop w:val="0"/>
              <w:marBottom w:val="0"/>
              <w:divBdr>
                <w:top w:val="none" w:sz="0" w:space="0" w:color="auto"/>
                <w:left w:val="none" w:sz="0" w:space="0" w:color="auto"/>
                <w:bottom w:val="none" w:sz="0" w:space="0" w:color="auto"/>
                <w:right w:val="none" w:sz="0" w:space="0" w:color="auto"/>
              </w:divBdr>
              <w:divsChild>
                <w:div w:id="239293640">
                  <w:marLeft w:val="0"/>
                  <w:marRight w:val="0"/>
                  <w:marTop w:val="0"/>
                  <w:marBottom w:val="0"/>
                  <w:divBdr>
                    <w:top w:val="none" w:sz="0" w:space="0" w:color="auto"/>
                    <w:left w:val="none" w:sz="0" w:space="0" w:color="auto"/>
                    <w:bottom w:val="none" w:sz="0" w:space="0" w:color="auto"/>
                    <w:right w:val="none" w:sz="0" w:space="0" w:color="auto"/>
                  </w:divBdr>
                  <w:divsChild>
                    <w:div w:id="561718799">
                      <w:marLeft w:val="0"/>
                      <w:marRight w:val="0"/>
                      <w:marTop w:val="0"/>
                      <w:marBottom w:val="0"/>
                      <w:divBdr>
                        <w:top w:val="none" w:sz="0" w:space="0" w:color="auto"/>
                        <w:left w:val="none" w:sz="0" w:space="0" w:color="auto"/>
                        <w:bottom w:val="none" w:sz="0" w:space="0" w:color="auto"/>
                        <w:right w:val="none" w:sz="0" w:space="0" w:color="auto"/>
                      </w:divBdr>
                      <w:divsChild>
                        <w:div w:id="1978341735">
                          <w:marLeft w:val="0"/>
                          <w:marRight w:val="0"/>
                          <w:marTop w:val="0"/>
                          <w:marBottom w:val="0"/>
                          <w:divBdr>
                            <w:top w:val="none" w:sz="0" w:space="0" w:color="auto"/>
                            <w:left w:val="none" w:sz="0" w:space="0" w:color="auto"/>
                            <w:bottom w:val="none" w:sz="0" w:space="0" w:color="auto"/>
                            <w:right w:val="none" w:sz="0" w:space="0" w:color="auto"/>
                          </w:divBdr>
                          <w:divsChild>
                            <w:div w:id="415632137">
                              <w:marLeft w:val="0"/>
                              <w:marRight w:val="0"/>
                              <w:marTop w:val="0"/>
                              <w:marBottom w:val="0"/>
                              <w:divBdr>
                                <w:top w:val="none" w:sz="0" w:space="0" w:color="auto"/>
                                <w:left w:val="none" w:sz="0" w:space="0" w:color="auto"/>
                                <w:bottom w:val="none" w:sz="0" w:space="0" w:color="auto"/>
                                <w:right w:val="none" w:sz="0" w:space="0" w:color="auto"/>
                              </w:divBdr>
                              <w:divsChild>
                                <w:div w:id="835068831">
                                  <w:marLeft w:val="0"/>
                                  <w:marRight w:val="0"/>
                                  <w:marTop w:val="0"/>
                                  <w:marBottom w:val="0"/>
                                  <w:divBdr>
                                    <w:top w:val="none" w:sz="0" w:space="0" w:color="auto"/>
                                    <w:left w:val="none" w:sz="0" w:space="0" w:color="auto"/>
                                    <w:bottom w:val="none" w:sz="0" w:space="0" w:color="auto"/>
                                    <w:right w:val="none" w:sz="0" w:space="0" w:color="auto"/>
                                  </w:divBdr>
                                  <w:divsChild>
                                    <w:div w:id="15930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365730">
      <w:bodyDiv w:val="1"/>
      <w:marLeft w:val="0"/>
      <w:marRight w:val="0"/>
      <w:marTop w:val="0"/>
      <w:marBottom w:val="0"/>
      <w:divBdr>
        <w:top w:val="none" w:sz="0" w:space="0" w:color="auto"/>
        <w:left w:val="none" w:sz="0" w:space="0" w:color="auto"/>
        <w:bottom w:val="none" w:sz="0" w:space="0" w:color="auto"/>
        <w:right w:val="none" w:sz="0" w:space="0" w:color="auto"/>
      </w:divBdr>
      <w:divsChild>
        <w:div w:id="1751467289">
          <w:marLeft w:val="0"/>
          <w:marRight w:val="0"/>
          <w:marTop w:val="0"/>
          <w:marBottom w:val="0"/>
          <w:divBdr>
            <w:top w:val="none" w:sz="0" w:space="0" w:color="auto"/>
            <w:left w:val="none" w:sz="0" w:space="0" w:color="auto"/>
            <w:bottom w:val="none" w:sz="0" w:space="0" w:color="auto"/>
            <w:right w:val="none" w:sz="0" w:space="0" w:color="auto"/>
          </w:divBdr>
          <w:divsChild>
            <w:div w:id="29690410">
              <w:marLeft w:val="0"/>
              <w:marRight w:val="0"/>
              <w:marTop w:val="0"/>
              <w:marBottom w:val="0"/>
              <w:divBdr>
                <w:top w:val="none" w:sz="0" w:space="0" w:color="auto"/>
                <w:left w:val="none" w:sz="0" w:space="0" w:color="auto"/>
                <w:bottom w:val="none" w:sz="0" w:space="0" w:color="auto"/>
                <w:right w:val="none" w:sz="0" w:space="0" w:color="auto"/>
              </w:divBdr>
              <w:divsChild>
                <w:div w:id="460609962">
                  <w:marLeft w:val="0"/>
                  <w:marRight w:val="0"/>
                  <w:marTop w:val="0"/>
                  <w:marBottom w:val="0"/>
                  <w:divBdr>
                    <w:top w:val="none" w:sz="0" w:space="0" w:color="auto"/>
                    <w:left w:val="none" w:sz="0" w:space="0" w:color="auto"/>
                    <w:bottom w:val="none" w:sz="0" w:space="0" w:color="auto"/>
                    <w:right w:val="none" w:sz="0" w:space="0" w:color="auto"/>
                  </w:divBdr>
                  <w:divsChild>
                    <w:div w:id="962660150">
                      <w:marLeft w:val="0"/>
                      <w:marRight w:val="0"/>
                      <w:marTop w:val="0"/>
                      <w:marBottom w:val="0"/>
                      <w:divBdr>
                        <w:top w:val="none" w:sz="0" w:space="0" w:color="auto"/>
                        <w:left w:val="none" w:sz="0" w:space="0" w:color="auto"/>
                        <w:bottom w:val="none" w:sz="0" w:space="0" w:color="auto"/>
                        <w:right w:val="none" w:sz="0" w:space="0" w:color="auto"/>
                      </w:divBdr>
                      <w:divsChild>
                        <w:div w:id="1371110617">
                          <w:marLeft w:val="0"/>
                          <w:marRight w:val="0"/>
                          <w:marTop w:val="0"/>
                          <w:marBottom w:val="0"/>
                          <w:divBdr>
                            <w:top w:val="none" w:sz="0" w:space="0" w:color="auto"/>
                            <w:left w:val="none" w:sz="0" w:space="0" w:color="auto"/>
                            <w:bottom w:val="none" w:sz="0" w:space="0" w:color="auto"/>
                            <w:right w:val="none" w:sz="0" w:space="0" w:color="auto"/>
                          </w:divBdr>
                          <w:divsChild>
                            <w:div w:id="1092624989">
                              <w:marLeft w:val="0"/>
                              <w:marRight w:val="0"/>
                              <w:marTop w:val="0"/>
                              <w:marBottom w:val="0"/>
                              <w:divBdr>
                                <w:top w:val="none" w:sz="0" w:space="0" w:color="auto"/>
                                <w:left w:val="none" w:sz="0" w:space="0" w:color="auto"/>
                                <w:bottom w:val="none" w:sz="0" w:space="0" w:color="auto"/>
                                <w:right w:val="none" w:sz="0" w:space="0" w:color="auto"/>
                              </w:divBdr>
                              <w:divsChild>
                                <w:div w:id="1089152765">
                                  <w:marLeft w:val="0"/>
                                  <w:marRight w:val="0"/>
                                  <w:marTop w:val="0"/>
                                  <w:marBottom w:val="0"/>
                                  <w:divBdr>
                                    <w:top w:val="none" w:sz="0" w:space="0" w:color="auto"/>
                                    <w:left w:val="none" w:sz="0" w:space="0" w:color="auto"/>
                                    <w:bottom w:val="none" w:sz="0" w:space="0" w:color="auto"/>
                                    <w:right w:val="none" w:sz="0" w:space="0" w:color="auto"/>
                                  </w:divBdr>
                                  <w:divsChild>
                                    <w:div w:id="479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gresiduos.com.br/blog/conheca-os-metodos-mais-utilizados-no-reaproveitamento-de-residuos/" TargetMode="External"/><Relationship Id="rId18" Type="http://schemas.openxmlformats.org/officeDocument/2006/relationships/hyperlink" Target="https://doi.org/10.1007/s10668-018-0209-9" TargetMode="External"/><Relationship Id="rId26" Type="http://schemas.openxmlformats.org/officeDocument/2006/relationships/hyperlink" Target="https://doi.org/10.3390/su9061008" TargetMode="External"/><Relationship Id="rId3" Type="http://schemas.openxmlformats.org/officeDocument/2006/relationships/styles" Target="styles.xml"/><Relationship Id="rId21" Type="http://schemas.openxmlformats.org/officeDocument/2006/relationships/hyperlink" Target="https://ojs.brazilianjournals.com.br/ojs/index.php/BRJD/article/view/6675/588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ma.gov.br/" TargetMode="External"/><Relationship Id="rId17" Type="http://schemas.openxmlformats.org/officeDocument/2006/relationships/hyperlink" Target="https://www.sciencedirect.com/science/article/abs/pii/S0883902605000571?via%3Dihub" TargetMode="External"/><Relationship Id="rId25" Type="http://schemas.openxmlformats.org/officeDocument/2006/relationships/hyperlink" Target="https://jtscm.co.za/index.php/jtscm/article/view/270"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jbusvent.2004.12.001" TargetMode="External"/><Relationship Id="rId20" Type="http://schemas.openxmlformats.org/officeDocument/2006/relationships/hyperlink" Target="https://doi.org/10.34117/bjdv6n2-045" TargetMode="External"/><Relationship Id="rId29" Type="http://schemas.openxmlformats.org/officeDocument/2006/relationships/hyperlink" Target="https://doi.org/10.1016/j.jclepro.2019.01.0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a.gov.br/pol&#237;tica-de-res&#237;duos-s&#243;lidos" TargetMode="External"/><Relationship Id="rId24" Type="http://schemas.openxmlformats.org/officeDocument/2006/relationships/hyperlink" Target="https://doi.org/10.4102/jtscm.v11i0.27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vgresiduos.com.br/blog/blogdiferenca-entre-lixo-residuo-rejeito/" TargetMode="External"/><Relationship Id="rId23" Type="http://schemas.openxmlformats.org/officeDocument/2006/relationships/hyperlink" Target="https://www.somagrupo.com.br/investidores/relatorios-anuais/" TargetMode="External"/><Relationship Id="rId28" Type="http://schemas.openxmlformats.org/officeDocument/2006/relationships/hyperlink" Target="https://enveurope.springeropen.com/articles/10.1186/s12302-020-00447-x" TargetMode="External"/><Relationship Id="rId36" Type="http://schemas.openxmlformats.org/officeDocument/2006/relationships/theme" Target="theme/theme1.xml"/><Relationship Id="rId10" Type="http://schemas.openxmlformats.org/officeDocument/2006/relationships/hyperlink" Target="https://www.sap.com/brazil/products/scm.html?url_id=text-br-insights-ea-whatisssc-programpage" TargetMode="External"/><Relationship Id="rId19" Type="http://schemas.openxmlformats.org/officeDocument/2006/relationships/hyperlink" Target="https://link.springer.com/article/10.1007/s10668-018-0209-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leiasilveira@gmail.com" TargetMode="External"/><Relationship Id="rId14" Type="http://schemas.openxmlformats.org/officeDocument/2006/relationships/hyperlink" Target="https://www.vgresiduos.com.br/blog/empresas-x-reciclagem/" TargetMode="External"/><Relationship Id="rId22" Type="http://schemas.openxmlformats.org/officeDocument/2006/relationships/hyperlink" Target="https://www.globalreporting.org/about-gri/" TargetMode="External"/><Relationship Id="rId27" Type="http://schemas.openxmlformats.org/officeDocument/2006/relationships/hyperlink" Target="https://www.mdpi.com/2071-1050/9/6/1008" TargetMode="External"/><Relationship Id="rId30" Type="http://schemas.openxmlformats.org/officeDocument/2006/relationships/hyperlink" Target="https://www.sciencedirect.com/science/article/abs/pii/S0959652619300423?via%3Dihub" TargetMode="External"/><Relationship Id="rId35" Type="http://schemas.openxmlformats.org/officeDocument/2006/relationships/fontTable" Target="fontTable.xml"/><Relationship Id="rId8" Type="http://schemas.openxmlformats.org/officeDocument/2006/relationships/hyperlink" Target="mailto:rozadeoliveiraroese@outloo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150A-E858-4738-9A79-9078BF3A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5569</Words>
  <Characters>30073</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ROZA DE OLIVEIRA ROESE</cp:lastModifiedBy>
  <cp:revision>2</cp:revision>
  <dcterms:created xsi:type="dcterms:W3CDTF">2025-04-09T20:02:00Z</dcterms:created>
  <dcterms:modified xsi:type="dcterms:W3CDTF">2025-04-09T20:02:00Z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2023-02-22T12:27:00Z</dcterms:created>
  <dc:creator>CRISTINA</dc:creator>
  <dc:description/>
  <dc:language>pt-BR</dc:language>
  <cp:lastModifiedBy/>
  <cp:lastPrinted>2014-09-05T00:41:00Z</cp:lastPrinted>
  <dcterms:modified xsi:type="dcterms:W3CDTF">2025-02-28T13:12:01Z</dcterms:modified>
  <cp:revision>6</cp:revision>
  <dc:subject/>
  <dc:title/>
</cp:coreProperties>
</file>