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DB6D" w14:textId="043D0B1B" w:rsidR="00B745D0" w:rsidRDefault="00F135A0" w:rsidP="00F135A0">
      <w:pPr>
        <w:spacing w:after="120"/>
        <w:jc w:val="center"/>
        <w:rPr>
          <w:b/>
          <w:sz w:val="28"/>
          <w:szCs w:val="28"/>
        </w:rPr>
      </w:pPr>
      <w:r w:rsidRPr="00F135A0">
        <w:rPr>
          <w:b/>
          <w:sz w:val="28"/>
          <w:szCs w:val="28"/>
        </w:rPr>
        <w:t>Comportamento termomecânico de diferentes tipos de concretos com vermiculita</w:t>
      </w:r>
    </w:p>
    <w:p w14:paraId="74CCDC41" w14:textId="77777777" w:rsidR="00F135A0" w:rsidRPr="00BE2F88" w:rsidRDefault="00F135A0" w:rsidP="00F135A0">
      <w:pPr>
        <w:spacing w:after="120"/>
        <w:jc w:val="center"/>
        <w:rPr>
          <w:b/>
          <w:sz w:val="28"/>
          <w:szCs w:val="28"/>
        </w:rPr>
      </w:pPr>
    </w:p>
    <w:p w14:paraId="0B07AE55" w14:textId="6BD84101" w:rsidR="00827839" w:rsidRPr="00BE2F88" w:rsidRDefault="00F135A0" w:rsidP="00E97ED4">
      <w:pPr>
        <w:spacing w:after="120"/>
        <w:jc w:val="center"/>
        <w:rPr>
          <w:b/>
          <w:i/>
          <w:sz w:val="28"/>
          <w:szCs w:val="28"/>
        </w:rPr>
      </w:pPr>
      <w:proofErr w:type="spellStart"/>
      <w:r w:rsidRPr="00F135A0">
        <w:rPr>
          <w:b/>
          <w:i/>
          <w:sz w:val="28"/>
          <w:szCs w:val="28"/>
        </w:rPr>
        <w:t>Thermomechanical</w:t>
      </w:r>
      <w:proofErr w:type="spellEnd"/>
      <w:r w:rsidRPr="00F135A0">
        <w:rPr>
          <w:b/>
          <w:i/>
          <w:sz w:val="28"/>
          <w:szCs w:val="28"/>
        </w:rPr>
        <w:t xml:space="preserve"> </w:t>
      </w:r>
      <w:proofErr w:type="spellStart"/>
      <w:r w:rsidRPr="00F135A0">
        <w:rPr>
          <w:b/>
          <w:i/>
          <w:sz w:val="28"/>
          <w:szCs w:val="28"/>
        </w:rPr>
        <w:t>Behavior</w:t>
      </w:r>
      <w:proofErr w:type="spellEnd"/>
      <w:r w:rsidRPr="00F135A0">
        <w:rPr>
          <w:b/>
          <w:i/>
          <w:sz w:val="28"/>
          <w:szCs w:val="28"/>
        </w:rPr>
        <w:t xml:space="preserve"> </w:t>
      </w:r>
      <w:proofErr w:type="spellStart"/>
      <w:r w:rsidRPr="00F135A0">
        <w:rPr>
          <w:b/>
          <w:i/>
          <w:sz w:val="28"/>
          <w:szCs w:val="28"/>
        </w:rPr>
        <w:t>of</w:t>
      </w:r>
      <w:proofErr w:type="spellEnd"/>
      <w:r w:rsidRPr="00F135A0">
        <w:rPr>
          <w:b/>
          <w:i/>
          <w:sz w:val="28"/>
          <w:szCs w:val="28"/>
        </w:rPr>
        <w:t xml:space="preserve"> </w:t>
      </w:r>
      <w:proofErr w:type="spellStart"/>
      <w:r w:rsidRPr="00F135A0">
        <w:rPr>
          <w:b/>
          <w:i/>
          <w:sz w:val="28"/>
          <w:szCs w:val="28"/>
        </w:rPr>
        <w:t>Different</w:t>
      </w:r>
      <w:proofErr w:type="spellEnd"/>
      <w:r w:rsidRPr="00F135A0">
        <w:rPr>
          <w:b/>
          <w:i/>
          <w:sz w:val="28"/>
          <w:szCs w:val="28"/>
        </w:rPr>
        <w:t xml:space="preserve"> </w:t>
      </w:r>
      <w:proofErr w:type="spellStart"/>
      <w:r w:rsidRPr="00F135A0">
        <w:rPr>
          <w:b/>
          <w:i/>
          <w:sz w:val="28"/>
          <w:szCs w:val="28"/>
        </w:rPr>
        <w:t>Types</w:t>
      </w:r>
      <w:proofErr w:type="spellEnd"/>
      <w:r w:rsidRPr="00F135A0">
        <w:rPr>
          <w:b/>
          <w:i/>
          <w:sz w:val="28"/>
          <w:szCs w:val="28"/>
        </w:rPr>
        <w:t xml:space="preserve"> </w:t>
      </w:r>
      <w:proofErr w:type="spellStart"/>
      <w:r w:rsidRPr="00F135A0">
        <w:rPr>
          <w:b/>
          <w:i/>
          <w:sz w:val="28"/>
          <w:szCs w:val="28"/>
        </w:rPr>
        <w:t>of</w:t>
      </w:r>
      <w:proofErr w:type="spellEnd"/>
      <w:r w:rsidRPr="00F135A0">
        <w:rPr>
          <w:b/>
          <w:i/>
          <w:sz w:val="28"/>
          <w:szCs w:val="28"/>
        </w:rPr>
        <w:t xml:space="preserve"> Concrete </w:t>
      </w:r>
      <w:proofErr w:type="spellStart"/>
      <w:r w:rsidRPr="00F135A0">
        <w:rPr>
          <w:b/>
          <w:i/>
          <w:sz w:val="28"/>
          <w:szCs w:val="28"/>
        </w:rPr>
        <w:t>with</w:t>
      </w:r>
      <w:proofErr w:type="spellEnd"/>
      <w:r w:rsidRPr="00F135A0">
        <w:rPr>
          <w:b/>
          <w:i/>
          <w:sz w:val="28"/>
          <w:szCs w:val="28"/>
        </w:rPr>
        <w:t xml:space="preserve"> </w:t>
      </w:r>
      <w:proofErr w:type="spellStart"/>
      <w:r w:rsidRPr="00F135A0">
        <w:rPr>
          <w:b/>
          <w:i/>
          <w:sz w:val="28"/>
          <w:szCs w:val="28"/>
        </w:rPr>
        <w:t>Vermiculite</w:t>
      </w:r>
      <w:proofErr w:type="spellEnd"/>
    </w:p>
    <w:p w14:paraId="5EEED451" w14:textId="77777777" w:rsidR="00933433" w:rsidRPr="00BE2F88" w:rsidRDefault="00933433" w:rsidP="00E97ED4">
      <w:pPr>
        <w:spacing w:after="120"/>
        <w:rPr>
          <w:color w:val="A6A6A6"/>
          <w:sz w:val="28"/>
          <w:szCs w:val="28"/>
        </w:rPr>
      </w:pPr>
    </w:p>
    <w:p w14:paraId="29BBF210" w14:textId="77777777" w:rsidR="001130FD" w:rsidRPr="00BE2F88" w:rsidRDefault="001130FD" w:rsidP="001130FD">
      <w:pPr>
        <w:spacing w:after="120"/>
        <w:jc w:val="left"/>
        <w:rPr>
          <w:szCs w:val="24"/>
        </w:rPr>
      </w:pPr>
      <w:r>
        <w:rPr>
          <w:b/>
          <w:szCs w:val="24"/>
        </w:rPr>
        <w:t xml:space="preserve">Aldo Ribeiro de Carvalho, Mestre, Universidade Federal de Ouro Preto </w:t>
      </w:r>
    </w:p>
    <w:p w14:paraId="2A4212A6" w14:textId="77777777" w:rsidR="001130FD" w:rsidRPr="00BE2F88" w:rsidRDefault="001130FD" w:rsidP="001130FD">
      <w:pPr>
        <w:spacing w:after="120"/>
        <w:jc w:val="left"/>
        <w:rPr>
          <w:sz w:val="20"/>
        </w:rPr>
      </w:pPr>
      <w:r>
        <w:rPr>
          <w:szCs w:val="24"/>
        </w:rPr>
        <w:t>aldorcarvalho@outlook.com</w:t>
      </w:r>
    </w:p>
    <w:p w14:paraId="666368F7" w14:textId="77777777" w:rsidR="001130FD" w:rsidRPr="00BE2F88" w:rsidRDefault="001130FD" w:rsidP="001130FD">
      <w:pPr>
        <w:spacing w:after="120"/>
        <w:jc w:val="left"/>
        <w:rPr>
          <w:b/>
          <w:szCs w:val="24"/>
        </w:rPr>
      </w:pPr>
      <w:r w:rsidRPr="00F00304">
        <w:rPr>
          <w:b/>
          <w:szCs w:val="24"/>
        </w:rPr>
        <w:t xml:space="preserve">Arthur Henrique </w:t>
      </w:r>
      <w:proofErr w:type="spellStart"/>
      <w:r w:rsidRPr="00F00304">
        <w:rPr>
          <w:b/>
          <w:szCs w:val="24"/>
        </w:rPr>
        <w:t>Gasparete</w:t>
      </w:r>
      <w:proofErr w:type="spellEnd"/>
      <w:r w:rsidRPr="00F00304">
        <w:rPr>
          <w:b/>
          <w:szCs w:val="24"/>
        </w:rPr>
        <w:t xml:space="preserve"> Casali</w:t>
      </w:r>
      <w:r>
        <w:rPr>
          <w:b/>
          <w:szCs w:val="24"/>
        </w:rPr>
        <w:t>, Mestre, Universidade Federal de Juiz de Fora</w:t>
      </w:r>
    </w:p>
    <w:p w14:paraId="0EBEC412" w14:textId="77777777" w:rsidR="001130FD" w:rsidRDefault="001130FD" w:rsidP="001130FD">
      <w:pPr>
        <w:spacing w:after="120"/>
        <w:jc w:val="left"/>
        <w:rPr>
          <w:szCs w:val="24"/>
        </w:rPr>
      </w:pPr>
      <w:r w:rsidRPr="004E51B5">
        <w:rPr>
          <w:szCs w:val="24"/>
        </w:rPr>
        <w:t>arthur.casali@engenharia.ufjf.br</w:t>
      </w:r>
    </w:p>
    <w:p w14:paraId="43D2450B" w14:textId="77777777" w:rsidR="001130FD" w:rsidRPr="00BE2F88" w:rsidRDefault="001130FD" w:rsidP="001130FD">
      <w:pPr>
        <w:spacing w:after="120"/>
        <w:jc w:val="left"/>
        <w:rPr>
          <w:b/>
          <w:szCs w:val="24"/>
        </w:rPr>
      </w:pPr>
      <w:r>
        <w:rPr>
          <w:b/>
          <w:szCs w:val="24"/>
        </w:rPr>
        <w:t>Gilbert da Silva Júnior, Mestre, Universidade Federal de Juiz de Fora</w:t>
      </w:r>
    </w:p>
    <w:p w14:paraId="74AF8F8F" w14:textId="77777777" w:rsidR="001130FD" w:rsidRPr="00BE2F88" w:rsidRDefault="001130FD" w:rsidP="001130FD">
      <w:pPr>
        <w:spacing w:after="120"/>
        <w:jc w:val="left"/>
        <w:rPr>
          <w:szCs w:val="24"/>
        </w:rPr>
      </w:pPr>
      <w:r w:rsidRPr="004E51B5">
        <w:rPr>
          <w:szCs w:val="24"/>
        </w:rPr>
        <w:t>gilber.junior@engenharia.ufjf.br</w:t>
      </w:r>
    </w:p>
    <w:p w14:paraId="7715CC33" w14:textId="77777777" w:rsidR="001130FD" w:rsidRPr="00BE2F88" w:rsidRDefault="001130FD" w:rsidP="001130FD">
      <w:pPr>
        <w:spacing w:after="120"/>
        <w:jc w:val="left"/>
        <w:rPr>
          <w:b/>
          <w:szCs w:val="24"/>
        </w:rPr>
      </w:pPr>
      <w:r w:rsidRPr="00F00304">
        <w:rPr>
          <w:b/>
          <w:szCs w:val="24"/>
        </w:rPr>
        <w:t>Thaís Mayra de Oliveira</w:t>
      </w:r>
      <w:r>
        <w:rPr>
          <w:b/>
          <w:szCs w:val="24"/>
        </w:rPr>
        <w:t>, Doutora, Universidade Federal de Juiz de Fora</w:t>
      </w:r>
    </w:p>
    <w:p w14:paraId="1A47C407" w14:textId="77777777" w:rsidR="001130FD" w:rsidRPr="004E51B5" w:rsidRDefault="001130FD" w:rsidP="001130FD">
      <w:pPr>
        <w:spacing w:after="120"/>
        <w:jc w:val="left"/>
        <w:rPr>
          <w:szCs w:val="24"/>
        </w:rPr>
      </w:pPr>
      <w:r w:rsidRPr="004E51B5">
        <w:rPr>
          <w:szCs w:val="24"/>
        </w:rPr>
        <w:t>thais.mayra@ufjf.edu.br</w:t>
      </w:r>
    </w:p>
    <w:p w14:paraId="7F301726" w14:textId="77777777" w:rsidR="00A77D24" w:rsidRPr="00BE2F88" w:rsidRDefault="00A77D24" w:rsidP="00E97ED4">
      <w:pPr>
        <w:spacing w:after="120"/>
        <w:jc w:val="left"/>
        <w:rPr>
          <w:sz w:val="20"/>
        </w:rPr>
      </w:pPr>
    </w:p>
    <w:p w14:paraId="7F61E562" w14:textId="345E6064" w:rsidR="001A619C" w:rsidRPr="00BE2F88" w:rsidRDefault="001A619C" w:rsidP="001A619C">
      <w:pPr>
        <w:spacing w:after="120"/>
        <w:rPr>
          <w:color w:val="A6A6A6"/>
          <w:szCs w:val="24"/>
        </w:rPr>
      </w:pPr>
      <w:r w:rsidRPr="00BE2F88">
        <w:rPr>
          <w:color w:val="A6A6A6"/>
          <w:szCs w:val="24"/>
        </w:rPr>
        <w:t>Número da sessão temática da submissão – [</w:t>
      </w:r>
      <w:r w:rsidR="00F135A0">
        <w:rPr>
          <w:color w:val="A6A6A6"/>
          <w:szCs w:val="24"/>
        </w:rPr>
        <w:t>1E</w:t>
      </w:r>
      <w:r w:rsidRPr="00BE2F88">
        <w:rPr>
          <w:color w:val="A6A6A6"/>
          <w:szCs w:val="24"/>
        </w:rPr>
        <w:t>]</w:t>
      </w:r>
    </w:p>
    <w:p w14:paraId="4213997B" w14:textId="77777777" w:rsidR="001A619C" w:rsidRPr="00BE2F88" w:rsidRDefault="001A619C" w:rsidP="001A619C">
      <w:pPr>
        <w:spacing w:after="120"/>
        <w:rPr>
          <w:b/>
          <w:szCs w:val="24"/>
        </w:rPr>
      </w:pPr>
    </w:p>
    <w:p w14:paraId="3A9F9E7A" w14:textId="69A9D26A" w:rsidR="00827839" w:rsidRPr="00BE2F88" w:rsidRDefault="00827839" w:rsidP="001A619C">
      <w:pPr>
        <w:spacing w:after="120"/>
        <w:rPr>
          <w:b/>
          <w:sz w:val="22"/>
          <w:szCs w:val="22"/>
        </w:rPr>
      </w:pPr>
      <w:r w:rsidRPr="00BE2F88">
        <w:rPr>
          <w:b/>
          <w:szCs w:val="24"/>
        </w:rPr>
        <w:t>Resumo</w:t>
      </w:r>
    </w:p>
    <w:p w14:paraId="6DB9C88B" w14:textId="0B4F78BB" w:rsidR="00010958" w:rsidRPr="00010958" w:rsidRDefault="00322F40" w:rsidP="00E97ED4">
      <w:pPr>
        <w:spacing w:after="120"/>
        <w:rPr>
          <w:sz w:val="22"/>
          <w:szCs w:val="22"/>
        </w:rPr>
      </w:pPr>
      <w:r w:rsidRPr="00322F40">
        <w:rPr>
          <w:sz w:val="22"/>
          <w:szCs w:val="22"/>
        </w:rPr>
        <w:t>Em elevadas temperaturas, o comportamento mecânico do concreto pode se tornar desfavorável, comprometendo a integridade das estruturas. Diante disso, torna-se imperativo investigar e desenvolver formulações de concreto que possam oferecer um desempenho superior em condições de exposição a temperaturas elevadas. Nesse contexto, o presente estudo explora a substituição de 25% da areia por vermiculita expandida no concreto convencional e de alto desempenho, com resistências de projeto avaliadas em 35, 50 e 70 MPa.</w:t>
      </w:r>
      <w:r>
        <w:rPr>
          <w:sz w:val="22"/>
          <w:szCs w:val="22"/>
        </w:rPr>
        <w:t xml:space="preserve"> </w:t>
      </w:r>
      <w:r w:rsidRPr="00322F40">
        <w:rPr>
          <w:sz w:val="22"/>
          <w:szCs w:val="22"/>
        </w:rPr>
        <w:t>Para isso, foram avaliadas as propriedades físicas e mecânicas dos concretos em temperatura ambiente, a 200°C, 400°C e 800°C. Dentre os resultados obtidos, destaca-se que a vermiculita reduz a trabalhabilidade da mistura</w:t>
      </w:r>
      <w:r w:rsidR="00010958">
        <w:rPr>
          <w:sz w:val="22"/>
          <w:szCs w:val="22"/>
        </w:rPr>
        <w:t xml:space="preserve"> de concreto</w:t>
      </w:r>
      <w:r w:rsidRPr="00322F40">
        <w:rPr>
          <w:sz w:val="22"/>
          <w:szCs w:val="22"/>
        </w:rPr>
        <w:t>. A partir de 400°C de exposição, todos os concretos apresentaram fissuras. Em termos gerais, concretos com resistência projetada de 50 MPa beneficiam-se da substituição do agregado miúdo pela vermiculita.</w:t>
      </w:r>
    </w:p>
    <w:p w14:paraId="0DA18B90" w14:textId="769984C0" w:rsidR="00827839" w:rsidRPr="00BE2F88" w:rsidRDefault="00827839" w:rsidP="009A3F66">
      <w:pPr>
        <w:spacing w:after="120"/>
        <w:jc w:val="left"/>
        <w:rPr>
          <w:sz w:val="22"/>
          <w:szCs w:val="22"/>
        </w:rPr>
      </w:pPr>
      <w:r w:rsidRPr="00BE2F88">
        <w:rPr>
          <w:b/>
          <w:szCs w:val="24"/>
        </w:rPr>
        <w:t>Palavras-chave</w:t>
      </w:r>
      <w:r w:rsidRPr="00BE2F88">
        <w:rPr>
          <w:b/>
          <w:sz w:val="22"/>
          <w:szCs w:val="22"/>
        </w:rPr>
        <w:t>:</w:t>
      </w:r>
      <w:r w:rsidR="00321E9E" w:rsidRPr="00BE2F88">
        <w:rPr>
          <w:b/>
          <w:sz w:val="22"/>
          <w:szCs w:val="22"/>
        </w:rPr>
        <w:t xml:space="preserve"> </w:t>
      </w:r>
      <w:r w:rsidR="00322F40">
        <w:rPr>
          <w:sz w:val="22"/>
          <w:szCs w:val="22"/>
        </w:rPr>
        <w:t>Concreto. Vermiculita. Comportamento Termomecânico. Resistência ao Fogo</w:t>
      </w:r>
    </w:p>
    <w:p w14:paraId="0973CBF6" w14:textId="04F3D296" w:rsidR="007C087F" w:rsidRPr="00BE2F88" w:rsidRDefault="007C087F" w:rsidP="00E97ED4">
      <w:pPr>
        <w:spacing w:after="120"/>
        <w:rPr>
          <w:color w:val="A6A6A6"/>
          <w:sz w:val="22"/>
          <w:szCs w:val="22"/>
        </w:rPr>
      </w:pPr>
    </w:p>
    <w:p w14:paraId="3A645C22" w14:textId="77777777" w:rsidR="00827839" w:rsidRPr="00BE2F88" w:rsidRDefault="00827839" w:rsidP="00E97ED4">
      <w:pPr>
        <w:spacing w:after="120"/>
        <w:rPr>
          <w:b/>
          <w:i/>
          <w:color w:val="A6A6A6"/>
          <w:sz w:val="22"/>
          <w:szCs w:val="22"/>
        </w:rPr>
      </w:pPr>
      <w:r w:rsidRPr="00BE2F88">
        <w:rPr>
          <w:b/>
          <w:i/>
          <w:szCs w:val="24"/>
        </w:rPr>
        <w:t>Abstrac</w:t>
      </w:r>
      <w:r w:rsidRPr="00BE2F88">
        <w:rPr>
          <w:b/>
          <w:i/>
          <w:sz w:val="22"/>
          <w:szCs w:val="22"/>
        </w:rPr>
        <w:t>t</w:t>
      </w:r>
    </w:p>
    <w:p w14:paraId="73936B91" w14:textId="77777777" w:rsidR="00010958" w:rsidRDefault="00322F40" w:rsidP="00010958">
      <w:pPr>
        <w:rPr>
          <w:i/>
          <w:sz w:val="20"/>
        </w:rPr>
      </w:pPr>
      <w:r w:rsidRPr="00322F40">
        <w:rPr>
          <w:i/>
          <w:sz w:val="22"/>
          <w:szCs w:val="22"/>
        </w:rPr>
        <w:t xml:space="preserve">At </w:t>
      </w:r>
      <w:proofErr w:type="spellStart"/>
      <w:r w:rsidRPr="00322F40">
        <w:rPr>
          <w:i/>
          <w:sz w:val="22"/>
          <w:szCs w:val="22"/>
        </w:rPr>
        <w:t>elevated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temperatures</w:t>
      </w:r>
      <w:proofErr w:type="spellEnd"/>
      <w:r w:rsidRPr="00322F40">
        <w:rPr>
          <w:i/>
          <w:sz w:val="22"/>
          <w:szCs w:val="22"/>
        </w:rPr>
        <w:t xml:space="preserve">, </w:t>
      </w:r>
      <w:proofErr w:type="spellStart"/>
      <w:r w:rsidRPr="00322F40">
        <w:rPr>
          <w:i/>
          <w:sz w:val="22"/>
          <w:szCs w:val="22"/>
        </w:rPr>
        <w:t>the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mechanical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behavior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of</w:t>
      </w:r>
      <w:proofErr w:type="spellEnd"/>
      <w:r w:rsidRPr="00322F40">
        <w:rPr>
          <w:i/>
          <w:sz w:val="22"/>
          <w:szCs w:val="22"/>
        </w:rPr>
        <w:t xml:space="preserve"> concrete </w:t>
      </w:r>
      <w:proofErr w:type="spellStart"/>
      <w:r w:rsidRPr="00322F40">
        <w:rPr>
          <w:i/>
          <w:sz w:val="22"/>
          <w:szCs w:val="22"/>
        </w:rPr>
        <w:t>can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become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unfavorable</w:t>
      </w:r>
      <w:proofErr w:type="spellEnd"/>
      <w:r w:rsidRPr="00322F40">
        <w:rPr>
          <w:i/>
          <w:sz w:val="22"/>
          <w:szCs w:val="22"/>
        </w:rPr>
        <w:t xml:space="preserve">, </w:t>
      </w:r>
      <w:proofErr w:type="spellStart"/>
      <w:r w:rsidRPr="00322F40">
        <w:rPr>
          <w:i/>
          <w:sz w:val="22"/>
          <w:szCs w:val="22"/>
        </w:rPr>
        <w:t>compromising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the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integrity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of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structures</w:t>
      </w:r>
      <w:proofErr w:type="spellEnd"/>
      <w:r w:rsidRPr="00322F40">
        <w:rPr>
          <w:i/>
          <w:sz w:val="22"/>
          <w:szCs w:val="22"/>
        </w:rPr>
        <w:t xml:space="preserve">. In light </w:t>
      </w:r>
      <w:proofErr w:type="spellStart"/>
      <w:r w:rsidRPr="00322F40">
        <w:rPr>
          <w:i/>
          <w:sz w:val="22"/>
          <w:szCs w:val="22"/>
        </w:rPr>
        <w:t>of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this</w:t>
      </w:r>
      <w:proofErr w:type="spellEnd"/>
      <w:r w:rsidRPr="00322F40">
        <w:rPr>
          <w:i/>
          <w:sz w:val="22"/>
          <w:szCs w:val="22"/>
        </w:rPr>
        <w:t xml:space="preserve">, it </w:t>
      </w:r>
      <w:proofErr w:type="spellStart"/>
      <w:r w:rsidRPr="00322F40">
        <w:rPr>
          <w:i/>
          <w:sz w:val="22"/>
          <w:szCs w:val="22"/>
        </w:rPr>
        <w:t>becomes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imperative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to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investigate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and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develop</w:t>
      </w:r>
      <w:proofErr w:type="spellEnd"/>
      <w:r w:rsidRPr="00322F40">
        <w:rPr>
          <w:i/>
          <w:sz w:val="22"/>
          <w:szCs w:val="22"/>
        </w:rPr>
        <w:t xml:space="preserve"> concrete </w:t>
      </w:r>
      <w:proofErr w:type="spellStart"/>
      <w:r w:rsidRPr="00322F40">
        <w:rPr>
          <w:i/>
          <w:sz w:val="22"/>
          <w:szCs w:val="22"/>
        </w:rPr>
        <w:t>formulations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that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can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deliver</w:t>
      </w:r>
      <w:proofErr w:type="spellEnd"/>
      <w:r w:rsidRPr="00322F40">
        <w:rPr>
          <w:i/>
          <w:sz w:val="22"/>
          <w:szCs w:val="22"/>
        </w:rPr>
        <w:t xml:space="preserve"> superior performance </w:t>
      </w:r>
      <w:proofErr w:type="spellStart"/>
      <w:r w:rsidRPr="00322F40">
        <w:rPr>
          <w:i/>
          <w:sz w:val="22"/>
          <w:szCs w:val="22"/>
        </w:rPr>
        <w:t>under</w:t>
      </w:r>
      <w:proofErr w:type="spellEnd"/>
      <w:r w:rsidRPr="00322F40">
        <w:rPr>
          <w:i/>
          <w:sz w:val="22"/>
          <w:szCs w:val="22"/>
        </w:rPr>
        <w:t xml:space="preserve"> high-</w:t>
      </w:r>
      <w:proofErr w:type="spellStart"/>
      <w:r w:rsidRPr="00322F40">
        <w:rPr>
          <w:i/>
          <w:sz w:val="22"/>
          <w:szCs w:val="22"/>
        </w:rPr>
        <w:t>temperature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exposure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conditions</w:t>
      </w:r>
      <w:proofErr w:type="spellEnd"/>
      <w:r w:rsidRPr="00322F40">
        <w:rPr>
          <w:i/>
          <w:sz w:val="22"/>
          <w:szCs w:val="22"/>
        </w:rPr>
        <w:t xml:space="preserve">. In </w:t>
      </w:r>
      <w:proofErr w:type="spellStart"/>
      <w:r w:rsidRPr="00322F40">
        <w:rPr>
          <w:i/>
          <w:sz w:val="22"/>
          <w:szCs w:val="22"/>
        </w:rPr>
        <w:t>this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context</w:t>
      </w:r>
      <w:proofErr w:type="spellEnd"/>
      <w:r w:rsidRPr="00322F40">
        <w:rPr>
          <w:i/>
          <w:sz w:val="22"/>
          <w:szCs w:val="22"/>
        </w:rPr>
        <w:t xml:space="preserve">, </w:t>
      </w:r>
      <w:proofErr w:type="spellStart"/>
      <w:r w:rsidRPr="00322F40">
        <w:rPr>
          <w:i/>
          <w:sz w:val="22"/>
          <w:szCs w:val="22"/>
        </w:rPr>
        <w:t>the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present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study</w:t>
      </w:r>
      <w:proofErr w:type="spellEnd"/>
      <w:r w:rsidRPr="00322F40">
        <w:rPr>
          <w:i/>
          <w:sz w:val="22"/>
          <w:szCs w:val="22"/>
        </w:rPr>
        <w:t xml:space="preserve"> explores </w:t>
      </w:r>
      <w:proofErr w:type="spellStart"/>
      <w:r w:rsidRPr="00322F40">
        <w:rPr>
          <w:i/>
          <w:sz w:val="22"/>
          <w:szCs w:val="22"/>
        </w:rPr>
        <w:t>the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substitution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of</w:t>
      </w:r>
      <w:proofErr w:type="spellEnd"/>
      <w:r w:rsidRPr="00322F40">
        <w:rPr>
          <w:i/>
          <w:sz w:val="22"/>
          <w:szCs w:val="22"/>
        </w:rPr>
        <w:t xml:space="preserve"> 25% </w:t>
      </w:r>
      <w:proofErr w:type="spellStart"/>
      <w:r w:rsidRPr="00322F40">
        <w:rPr>
          <w:i/>
          <w:sz w:val="22"/>
          <w:szCs w:val="22"/>
        </w:rPr>
        <w:t>of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sand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with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expanded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vermiculite</w:t>
      </w:r>
      <w:proofErr w:type="spellEnd"/>
      <w:r w:rsidRPr="00322F40">
        <w:rPr>
          <w:i/>
          <w:sz w:val="22"/>
          <w:szCs w:val="22"/>
        </w:rPr>
        <w:t xml:space="preserve"> in </w:t>
      </w:r>
      <w:proofErr w:type="spellStart"/>
      <w:r w:rsidRPr="00322F40">
        <w:rPr>
          <w:i/>
          <w:sz w:val="22"/>
          <w:szCs w:val="22"/>
        </w:rPr>
        <w:t>both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conventional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and</w:t>
      </w:r>
      <w:proofErr w:type="spellEnd"/>
      <w:r w:rsidRPr="00322F40">
        <w:rPr>
          <w:i/>
          <w:sz w:val="22"/>
          <w:szCs w:val="22"/>
        </w:rPr>
        <w:t xml:space="preserve"> high-performance concrete, </w:t>
      </w:r>
      <w:proofErr w:type="spellStart"/>
      <w:r w:rsidRPr="00322F40">
        <w:rPr>
          <w:i/>
          <w:sz w:val="22"/>
          <w:szCs w:val="22"/>
        </w:rPr>
        <w:t>with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project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strengths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evaluated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at</w:t>
      </w:r>
      <w:proofErr w:type="spellEnd"/>
      <w:r w:rsidRPr="00322F40">
        <w:rPr>
          <w:i/>
          <w:sz w:val="22"/>
          <w:szCs w:val="22"/>
        </w:rPr>
        <w:t xml:space="preserve"> 35, 50, </w:t>
      </w:r>
      <w:proofErr w:type="spellStart"/>
      <w:r w:rsidRPr="00322F40">
        <w:rPr>
          <w:i/>
          <w:sz w:val="22"/>
          <w:szCs w:val="22"/>
        </w:rPr>
        <w:t>and</w:t>
      </w:r>
      <w:proofErr w:type="spellEnd"/>
      <w:r w:rsidRPr="00322F40">
        <w:rPr>
          <w:i/>
          <w:sz w:val="22"/>
          <w:szCs w:val="22"/>
        </w:rPr>
        <w:t xml:space="preserve"> 70 MPa. </w:t>
      </w:r>
      <w:proofErr w:type="spellStart"/>
      <w:r w:rsidRPr="00322F40">
        <w:rPr>
          <w:i/>
          <w:sz w:val="22"/>
          <w:szCs w:val="22"/>
        </w:rPr>
        <w:t>To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achieve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this</w:t>
      </w:r>
      <w:proofErr w:type="spellEnd"/>
      <w:r w:rsidRPr="00322F40">
        <w:rPr>
          <w:i/>
          <w:sz w:val="22"/>
          <w:szCs w:val="22"/>
        </w:rPr>
        <w:t xml:space="preserve">, </w:t>
      </w:r>
      <w:proofErr w:type="spellStart"/>
      <w:r w:rsidRPr="00322F40">
        <w:rPr>
          <w:i/>
          <w:sz w:val="22"/>
          <w:szCs w:val="22"/>
        </w:rPr>
        <w:t>the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physical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and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mechanical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properties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of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the</w:t>
      </w:r>
      <w:proofErr w:type="spellEnd"/>
      <w:r w:rsidRPr="00322F40">
        <w:rPr>
          <w:i/>
          <w:sz w:val="22"/>
          <w:szCs w:val="22"/>
        </w:rPr>
        <w:t xml:space="preserve"> concretes </w:t>
      </w:r>
      <w:proofErr w:type="spellStart"/>
      <w:r w:rsidRPr="00322F40">
        <w:rPr>
          <w:i/>
          <w:sz w:val="22"/>
          <w:szCs w:val="22"/>
        </w:rPr>
        <w:t>were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assessed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at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room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temperature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and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at</w:t>
      </w:r>
      <w:proofErr w:type="spellEnd"/>
      <w:r w:rsidRPr="00322F40">
        <w:rPr>
          <w:i/>
          <w:sz w:val="22"/>
          <w:szCs w:val="22"/>
        </w:rPr>
        <w:t xml:space="preserve"> 200°C, 400°C, </w:t>
      </w:r>
      <w:proofErr w:type="spellStart"/>
      <w:r w:rsidRPr="00322F40">
        <w:rPr>
          <w:i/>
          <w:sz w:val="22"/>
          <w:szCs w:val="22"/>
        </w:rPr>
        <w:t>and</w:t>
      </w:r>
      <w:proofErr w:type="spellEnd"/>
      <w:r w:rsidRPr="00322F40">
        <w:rPr>
          <w:i/>
          <w:sz w:val="22"/>
          <w:szCs w:val="22"/>
        </w:rPr>
        <w:t xml:space="preserve"> 800°C. </w:t>
      </w:r>
      <w:proofErr w:type="spellStart"/>
      <w:r w:rsidR="00010958" w:rsidRPr="00010958">
        <w:rPr>
          <w:i/>
          <w:sz w:val="22"/>
          <w:szCs w:val="22"/>
        </w:rPr>
        <w:t>Among</w:t>
      </w:r>
      <w:proofErr w:type="spellEnd"/>
      <w:r w:rsidR="00010958" w:rsidRPr="00010958">
        <w:rPr>
          <w:i/>
          <w:sz w:val="22"/>
          <w:szCs w:val="22"/>
        </w:rPr>
        <w:t xml:space="preserve"> </w:t>
      </w:r>
      <w:proofErr w:type="spellStart"/>
      <w:r w:rsidR="00010958" w:rsidRPr="00010958">
        <w:rPr>
          <w:i/>
          <w:sz w:val="22"/>
          <w:szCs w:val="22"/>
        </w:rPr>
        <w:t>the</w:t>
      </w:r>
      <w:proofErr w:type="spellEnd"/>
      <w:r w:rsidR="00010958" w:rsidRPr="00010958">
        <w:rPr>
          <w:i/>
          <w:sz w:val="22"/>
          <w:szCs w:val="22"/>
        </w:rPr>
        <w:t xml:space="preserve"> </w:t>
      </w:r>
      <w:proofErr w:type="spellStart"/>
      <w:r w:rsidR="00010958" w:rsidRPr="00010958">
        <w:rPr>
          <w:i/>
          <w:sz w:val="22"/>
          <w:szCs w:val="22"/>
        </w:rPr>
        <w:t>results</w:t>
      </w:r>
      <w:proofErr w:type="spellEnd"/>
      <w:r w:rsidR="00010958" w:rsidRPr="00010958">
        <w:rPr>
          <w:i/>
          <w:sz w:val="22"/>
          <w:szCs w:val="22"/>
        </w:rPr>
        <w:t xml:space="preserve"> </w:t>
      </w:r>
      <w:proofErr w:type="spellStart"/>
      <w:r w:rsidR="00010958" w:rsidRPr="00010958">
        <w:rPr>
          <w:i/>
          <w:sz w:val="22"/>
          <w:szCs w:val="22"/>
        </w:rPr>
        <w:t>obtained</w:t>
      </w:r>
      <w:proofErr w:type="spellEnd"/>
      <w:r w:rsidR="00010958" w:rsidRPr="00010958">
        <w:rPr>
          <w:i/>
          <w:sz w:val="22"/>
          <w:szCs w:val="22"/>
        </w:rPr>
        <w:t xml:space="preserve">, it </w:t>
      </w:r>
      <w:proofErr w:type="spellStart"/>
      <w:r w:rsidR="00010958" w:rsidRPr="00010958">
        <w:rPr>
          <w:i/>
          <w:sz w:val="22"/>
          <w:szCs w:val="22"/>
        </w:rPr>
        <w:t>is</w:t>
      </w:r>
      <w:proofErr w:type="spellEnd"/>
      <w:r w:rsidR="00010958" w:rsidRPr="00010958">
        <w:rPr>
          <w:i/>
          <w:sz w:val="22"/>
          <w:szCs w:val="22"/>
        </w:rPr>
        <w:t xml:space="preserve"> </w:t>
      </w:r>
      <w:proofErr w:type="spellStart"/>
      <w:r w:rsidR="00010958" w:rsidRPr="00010958">
        <w:rPr>
          <w:i/>
          <w:sz w:val="22"/>
          <w:szCs w:val="22"/>
        </w:rPr>
        <w:t>noteworthy</w:t>
      </w:r>
      <w:proofErr w:type="spellEnd"/>
      <w:r w:rsidR="00010958" w:rsidRPr="00010958">
        <w:rPr>
          <w:i/>
          <w:sz w:val="22"/>
          <w:szCs w:val="22"/>
        </w:rPr>
        <w:t xml:space="preserve"> </w:t>
      </w:r>
      <w:proofErr w:type="spellStart"/>
      <w:r w:rsidR="00010958" w:rsidRPr="00010958">
        <w:rPr>
          <w:i/>
          <w:sz w:val="22"/>
          <w:szCs w:val="22"/>
        </w:rPr>
        <w:t>that</w:t>
      </w:r>
      <w:proofErr w:type="spellEnd"/>
      <w:r w:rsidR="00010958" w:rsidRPr="00010958">
        <w:rPr>
          <w:i/>
          <w:sz w:val="22"/>
          <w:szCs w:val="22"/>
        </w:rPr>
        <w:t xml:space="preserve"> </w:t>
      </w:r>
      <w:proofErr w:type="spellStart"/>
      <w:r w:rsidR="00010958" w:rsidRPr="00010958">
        <w:rPr>
          <w:i/>
          <w:sz w:val="22"/>
          <w:szCs w:val="22"/>
        </w:rPr>
        <w:t>vermiculite</w:t>
      </w:r>
      <w:proofErr w:type="spellEnd"/>
      <w:r w:rsidR="00010958" w:rsidRPr="00010958">
        <w:rPr>
          <w:i/>
          <w:sz w:val="22"/>
          <w:szCs w:val="22"/>
        </w:rPr>
        <w:t xml:space="preserve"> </w:t>
      </w:r>
      <w:proofErr w:type="spellStart"/>
      <w:r w:rsidR="00010958" w:rsidRPr="00010958">
        <w:rPr>
          <w:i/>
          <w:sz w:val="22"/>
          <w:szCs w:val="22"/>
        </w:rPr>
        <w:t>reduces</w:t>
      </w:r>
      <w:proofErr w:type="spellEnd"/>
      <w:r w:rsidR="00010958" w:rsidRPr="00010958">
        <w:rPr>
          <w:i/>
          <w:sz w:val="22"/>
          <w:szCs w:val="22"/>
        </w:rPr>
        <w:t xml:space="preserve"> </w:t>
      </w:r>
      <w:proofErr w:type="spellStart"/>
      <w:r w:rsidR="00010958" w:rsidRPr="00010958">
        <w:rPr>
          <w:i/>
          <w:sz w:val="22"/>
          <w:szCs w:val="22"/>
        </w:rPr>
        <w:t>the</w:t>
      </w:r>
      <w:proofErr w:type="spellEnd"/>
      <w:r w:rsidR="00010958" w:rsidRPr="00010958">
        <w:rPr>
          <w:i/>
          <w:sz w:val="22"/>
          <w:szCs w:val="22"/>
        </w:rPr>
        <w:t xml:space="preserve"> </w:t>
      </w:r>
      <w:proofErr w:type="spellStart"/>
      <w:r w:rsidR="00010958" w:rsidRPr="00010958">
        <w:rPr>
          <w:i/>
          <w:sz w:val="22"/>
          <w:szCs w:val="22"/>
        </w:rPr>
        <w:t>workability</w:t>
      </w:r>
      <w:proofErr w:type="spellEnd"/>
      <w:r w:rsidR="00010958" w:rsidRPr="00010958">
        <w:rPr>
          <w:i/>
          <w:sz w:val="22"/>
          <w:szCs w:val="22"/>
        </w:rPr>
        <w:t xml:space="preserve"> </w:t>
      </w:r>
      <w:proofErr w:type="spellStart"/>
      <w:r w:rsidR="00010958" w:rsidRPr="00010958">
        <w:rPr>
          <w:i/>
          <w:sz w:val="22"/>
          <w:szCs w:val="22"/>
        </w:rPr>
        <w:t>of</w:t>
      </w:r>
      <w:proofErr w:type="spellEnd"/>
      <w:r w:rsidR="00010958" w:rsidRPr="00010958">
        <w:rPr>
          <w:i/>
          <w:sz w:val="22"/>
          <w:szCs w:val="22"/>
        </w:rPr>
        <w:t xml:space="preserve"> </w:t>
      </w:r>
      <w:proofErr w:type="spellStart"/>
      <w:r w:rsidR="00010958" w:rsidRPr="00010958">
        <w:rPr>
          <w:i/>
          <w:sz w:val="22"/>
          <w:szCs w:val="22"/>
        </w:rPr>
        <w:t>the</w:t>
      </w:r>
      <w:proofErr w:type="spellEnd"/>
      <w:r w:rsidR="00010958" w:rsidRPr="00010958">
        <w:rPr>
          <w:i/>
          <w:sz w:val="22"/>
          <w:szCs w:val="22"/>
        </w:rPr>
        <w:t xml:space="preserve"> concrete mix.</w:t>
      </w:r>
      <w:r w:rsidR="00010958" w:rsidRPr="00010958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From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an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exposure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temperature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of</w:t>
      </w:r>
      <w:proofErr w:type="spellEnd"/>
      <w:r w:rsidRPr="00322F40">
        <w:rPr>
          <w:i/>
          <w:sz w:val="22"/>
          <w:szCs w:val="22"/>
        </w:rPr>
        <w:t xml:space="preserve"> 400°C </w:t>
      </w:r>
      <w:proofErr w:type="spellStart"/>
      <w:r w:rsidRPr="00322F40">
        <w:rPr>
          <w:i/>
          <w:sz w:val="22"/>
          <w:szCs w:val="22"/>
        </w:rPr>
        <w:t>onward</w:t>
      </w:r>
      <w:proofErr w:type="spellEnd"/>
      <w:r w:rsidRPr="00322F40">
        <w:rPr>
          <w:i/>
          <w:sz w:val="22"/>
          <w:szCs w:val="22"/>
        </w:rPr>
        <w:t xml:space="preserve">, </w:t>
      </w:r>
      <w:proofErr w:type="spellStart"/>
      <w:r w:rsidRPr="00322F40">
        <w:rPr>
          <w:i/>
          <w:sz w:val="22"/>
          <w:szCs w:val="22"/>
        </w:rPr>
        <w:t>all</w:t>
      </w:r>
      <w:proofErr w:type="spellEnd"/>
      <w:r w:rsidRPr="00322F40">
        <w:rPr>
          <w:i/>
          <w:sz w:val="22"/>
          <w:szCs w:val="22"/>
        </w:rPr>
        <w:t xml:space="preserve"> concretes </w:t>
      </w:r>
      <w:proofErr w:type="spellStart"/>
      <w:r w:rsidRPr="00322F40">
        <w:rPr>
          <w:i/>
          <w:sz w:val="22"/>
          <w:szCs w:val="22"/>
        </w:rPr>
        <w:t>exhibited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cracking</w:t>
      </w:r>
      <w:proofErr w:type="spellEnd"/>
      <w:r w:rsidRPr="00322F40">
        <w:rPr>
          <w:i/>
          <w:sz w:val="22"/>
          <w:szCs w:val="22"/>
        </w:rPr>
        <w:t xml:space="preserve">. In general, concretes </w:t>
      </w:r>
      <w:proofErr w:type="spellStart"/>
      <w:r w:rsidRPr="00322F40">
        <w:rPr>
          <w:i/>
          <w:sz w:val="22"/>
          <w:szCs w:val="22"/>
        </w:rPr>
        <w:t>with</w:t>
      </w:r>
      <w:proofErr w:type="spellEnd"/>
      <w:r w:rsidRPr="00322F40">
        <w:rPr>
          <w:i/>
          <w:sz w:val="22"/>
          <w:szCs w:val="22"/>
        </w:rPr>
        <w:t xml:space="preserve"> a </w:t>
      </w:r>
      <w:proofErr w:type="spellStart"/>
      <w:r w:rsidRPr="00322F40">
        <w:rPr>
          <w:i/>
          <w:sz w:val="22"/>
          <w:szCs w:val="22"/>
        </w:rPr>
        <w:t>project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strength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of</w:t>
      </w:r>
      <w:proofErr w:type="spellEnd"/>
      <w:r w:rsidRPr="00322F40">
        <w:rPr>
          <w:i/>
          <w:sz w:val="22"/>
          <w:szCs w:val="22"/>
        </w:rPr>
        <w:t xml:space="preserve"> 50 MPa </w:t>
      </w:r>
      <w:proofErr w:type="spellStart"/>
      <w:r w:rsidRPr="00322F40">
        <w:rPr>
          <w:i/>
          <w:sz w:val="22"/>
          <w:szCs w:val="22"/>
        </w:rPr>
        <w:t>benefit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from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the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substitution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of</w:t>
      </w:r>
      <w:proofErr w:type="spellEnd"/>
      <w:r w:rsidRPr="00322F40">
        <w:rPr>
          <w:i/>
          <w:sz w:val="22"/>
          <w:szCs w:val="22"/>
        </w:rPr>
        <w:t xml:space="preserve"> fine </w:t>
      </w:r>
      <w:proofErr w:type="spellStart"/>
      <w:r w:rsidRPr="00322F40">
        <w:rPr>
          <w:i/>
          <w:sz w:val="22"/>
          <w:szCs w:val="22"/>
        </w:rPr>
        <w:t>aggregate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with</w:t>
      </w:r>
      <w:proofErr w:type="spellEnd"/>
      <w:r w:rsidRPr="00322F40">
        <w:rPr>
          <w:i/>
          <w:sz w:val="22"/>
          <w:szCs w:val="22"/>
        </w:rPr>
        <w:t xml:space="preserve"> </w:t>
      </w:r>
      <w:proofErr w:type="spellStart"/>
      <w:r w:rsidRPr="00322F40">
        <w:rPr>
          <w:i/>
          <w:sz w:val="22"/>
          <w:szCs w:val="22"/>
        </w:rPr>
        <w:t>vermiculite.</w:t>
      </w:r>
      <w:proofErr w:type="spellEnd"/>
    </w:p>
    <w:p w14:paraId="646EEC12" w14:textId="77E05114" w:rsidR="00827839" w:rsidRPr="00010958" w:rsidRDefault="00141364" w:rsidP="00010958">
      <w:pPr>
        <w:rPr>
          <w:i/>
          <w:sz w:val="20"/>
        </w:rPr>
      </w:pPr>
      <w:r w:rsidRPr="00BE2F88">
        <w:rPr>
          <w:b/>
          <w:i/>
          <w:szCs w:val="24"/>
        </w:rPr>
        <w:t>K</w:t>
      </w:r>
      <w:r w:rsidR="000F5978" w:rsidRPr="00BE2F88">
        <w:rPr>
          <w:b/>
          <w:i/>
          <w:szCs w:val="24"/>
        </w:rPr>
        <w:t>ey</w:t>
      </w:r>
      <w:r w:rsidR="00827839" w:rsidRPr="00BE2F88">
        <w:rPr>
          <w:b/>
          <w:i/>
          <w:szCs w:val="24"/>
        </w:rPr>
        <w:t>words:</w:t>
      </w:r>
      <w:r w:rsidR="00BF0F76" w:rsidRPr="00322F40">
        <w:rPr>
          <w:bCs/>
          <w:i/>
          <w:szCs w:val="24"/>
        </w:rPr>
        <w:t xml:space="preserve"> </w:t>
      </w:r>
      <w:r w:rsidR="00322F40" w:rsidRPr="00322F40">
        <w:rPr>
          <w:bCs/>
          <w:i/>
          <w:szCs w:val="24"/>
        </w:rPr>
        <w:t xml:space="preserve">Concrete. </w:t>
      </w:r>
      <w:proofErr w:type="spellStart"/>
      <w:r w:rsidR="00322F40" w:rsidRPr="00322F40">
        <w:rPr>
          <w:bCs/>
          <w:i/>
          <w:szCs w:val="24"/>
        </w:rPr>
        <w:t>Vermiculite</w:t>
      </w:r>
      <w:proofErr w:type="spellEnd"/>
      <w:r w:rsidR="00322F40" w:rsidRPr="00322F40">
        <w:rPr>
          <w:bCs/>
          <w:i/>
          <w:szCs w:val="24"/>
        </w:rPr>
        <w:t xml:space="preserve">. </w:t>
      </w:r>
      <w:proofErr w:type="spellStart"/>
      <w:r w:rsidR="00322F40" w:rsidRPr="00322F40">
        <w:rPr>
          <w:bCs/>
          <w:i/>
          <w:szCs w:val="24"/>
        </w:rPr>
        <w:t>Thermomechanical</w:t>
      </w:r>
      <w:proofErr w:type="spellEnd"/>
      <w:r w:rsidR="00322F40" w:rsidRPr="00322F40">
        <w:rPr>
          <w:bCs/>
          <w:i/>
          <w:szCs w:val="24"/>
        </w:rPr>
        <w:t xml:space="preserve"> </w:t>
      </w:r>
      <w:proofErr w:type="spellStart"/>
      <w:r w:rsidR="00322F40" w:rsidRPr="00322F40">
        <w:rPr>
          <w:bCs/>
          <w:i/>
          <w:szCs w:val="24"/>
        </w:rPr>
        <w:t>Behavior</w:t>
      </w:r>
      <w:proofErr w:type="spellEnd"/>
      <w:r w:rsidR="00322F40" w:rsidRPr="00322F40">
        <w:rPr>
          <w:bCs/>
          <w:i/>
          <w:szCs w:val="24"/>
        </w:rPr>
        <w:t xml:space="preserve">. Fire </w:t>
      </w:r>
      <w:proofErr w:type="spellStart"/>
      <w:r w:rsidR="00322F40" w:rsidRPr="00322F40">
        <w:rPr>
          <w:bCs/>
          <w:i/>
          <w:szCs w:val="24"/>
        </w:rPr>
        <w:t>Resistance</w:t>
      </w:r>
      <w:proofErr w:type="spellEnd"/>
    </w:p>
    <w:p w14:paraId="32BE4245" w14:textId="77777777" w:rsidR="00C60EB5" w:rsidRPr="00BE2F88" w:rsidRDefault="00C60EB5" w:rsidP="00E65D3B">
      <w:pPr>
        <w:spacing w:after="120"/>
        <w:jc w:val="left"/>
        <w:rPr>
          <w:b/>
          <w:i/>
          <w:szCs w:val="24"/>
        </w:rPr>
      </w:pPr>
    </w:p>
    <w:p w14:paraId="152F5CA2" w14:textId="77777777" w:rsidR="004245F7" w:rsidRPr="00BE2F88" w:rsidRDefault="006D00BB" w:rsidP="00E97ED4">
      <w:pPr>
        <w:pStyle w:val="PargrafodaLista"/>
        <w:numPr>
          <w:ilvl w:val="0"/>
          <w:numId w:val="5"/>
        </w:numPr>
        <w:spacing w:after="120"/>
        <w:rPr>
          <w:b/>
          <w:szCs w:val="24"/>
        </w:rPr>
      </w:pPr>
      <w:r w:rsidRPr="00BE2F88">
        <w:rPr>
          <w:b/>
          <w:szCs w:val="24"/>
        </w:rPr>
        <w:lastRenderedPageBreak/>
        <w:t>Introdução</w:t>
      </w:r>
    </w:p>
    <w:p w14:paraId="55016DAB" w14:textId="77777777" w:rsidR="004E7D4E" w:rsidRPr="00BE2F88" w:rsidRDefault="004E7D4E" w:rsidP="00E97ED4">
      <w:pPr>
        <w:spacing w:after="120"/>
        <w:rPr>
          <w:color w:val="A6A6A6"/>
          <w:szCs w:val="24"/>
        </w:rPr>
      </w:pPr>
    </w:p>
    <w:p w14:paraId="6961BE87" w14:textId="5F6A7C5D" w:rsidR="00BE2F88" w:rsidRPr="00BE2F88" w:rsidRDefault="00BE2F88" w:rsidP="00BE2F88">
      <w:pPr>
        <w:spacing w:after="120"/>
        <w:ind w:firstLine="360"/>
        <w:rPr>
          <w:szCs w:val="24"/>
        </w:rPr>
      </w:pPr>
      <w:r w:rsidRPr="00BE2F88">
        <w:rPr>
          <w:szCs w:val="24"/>
        </w:rPr>
        <w:t xml:space="preserve">A construção civil é responsável por diversos danos ambientais em decorrência da larga extração agregados naturais para produção de concreto. No Brasil, a exploração de jazidas para essa finalidade corresponde a aproximadamente 700 milhões de toneladas/ano </w:t>
      </w:r>
      <w:sdt>
        <w:sdtPr>
          <w:rPr>
            <w:szCs w:val="24"/>
          </w:rPr>
          <w:id w:val="-621689926"/>
          <w:citation/>
        </w:sdtPr>
        <w:sdtContent>
          <w:r w:rsidRPr="00BE2F88">
            <w:rPr>
              <w:szCs w:val="24"/>
            </w:rPr>
            <w:fldChar w:fldCharType="begin"/>
          </w:r>
          <w:r w:rsidRPr="00BE2F88">
            <w:rPr>
              <w:szCs w:val="24"/>
            </w:rPr>
            <w:instrText xml:space="preserve"> CITATION ANE13 \l 1046 </w:instrText>
          </w:r>
          <w:r w:rsidRPr="00BE2F88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>(ANEPAC, 2013)</w:t>
          </w:r>
          <w:r w:rsidRPr="00BE2F88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 xml:space="preserve">. Diversos estudos existem com o objetivo tornar este material mais sustentável, desde a substituição do cimento Portland por ligantes alternativos, como </w:t>
      </w:r>
      <w:proofErr w:type="spellStart"/>
      <w:r w:rsidRPr="00BE2F88">
        <w:rPr>
          <w:szCs w:val="24"/>
        </w:rPr>
        <w:t>geopoliméricos</w:t>
      </w:r>
      <w:proofErr w:type="spellEnd"/>
      <w:r w:rsidRPr="00BE2F88">
        <w:rPr>
          <w:szCs w:val="24"/>
        </w:rPr>
        <w:t xml:space="preserve"> </w:t>
      </w:r>
      <w:sdt>
        <w:sdtPr>
          <w:rPr>
            <w:szCs w:val="24"/>
          </w:rPr>
          <w:id w:val="-1622064957"/>
          <w:citation/>
        </w:sdtPr>
        <w:sdtContent>
          <w:r w:rsidRPr="00BE2F88">
            <w:rPr>
              <w:szCs w:val="24"/>
            </w:rPr>
            <w:fldChar w:fldCharType="begin"/>
          </w:r>
          <w:r w:rsidRPr="00BE2F88">
            <w:rPr>
              <w:szCs w:val="24"/>
            </w:rPr>
            <w:instrText xml:space="preserve">CITATION Ald \l 1046 </w:instrText>
          </w:r>
          <w:r w:rsidRPr="00BE2F88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 xml:space="preserve">(Carvalho </w:t>
          </w:r>
          <w:r w:rsidR="009C3012" w:rsidRPr="009C3012">
            <w:rPr>
              <w:i/>
              <w:iCs/>
              <w:noProof/>
              <w:szCs w:val="24"/>
            </w:rPr>
            <w:t>et al.</w:t>
          </w:r>
          <w:r w:rsidR="009C3012" w:rsidRPr="009C3012">
            <w:rPr>
              <w:noProof/>
              <w:szCs w:val="24"/>
            </w:rPr>
            <w:t>, 2023a)</w:t>
          </w:r>
          <w:r w:rsidRPr="00BE2F88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>, até a substituição dos agregados naturais por materiais residuais, como pó de mármore</w:t>
      </w:r>
      <w:sdt>
        <w:sdtPr>
          <w:rPr>
            <w:szCs w:val="24"/>
          </w:rPr>
          <w:id w:val="523293262"/>
          <w:citation/>
        </w:sdtPr>
        <w:sdtContent>
          <w:r w:rsidRPr="00BE2F88">
            <w:rPr>
              <w:szCs w:val="24"/>
            </w:rPr>
            <w:fldChar w:fldCharType="begin"/>
          </w:r>
          <w:r w:rsidR="00061706">
            <w:rPr>
              <w:szCs w:val="24"/>
            </w:rPr>
            <w:instrText xml:space="preserve">CITATION Inf23 \l 1046 </w:instrText>
          </w:r>
          <w:r w:rsidRPr="00BE2F88">
            <w:rPr>
              <w:szCs w:val="24"/>
            </w:rPr>
            <w:fldChar w:fldCharType="separate"/>
          </w:r>
          <w:r w:rsidR="009C3012">
            <w:rPr>
              <w:noProof/>
              <w:szCs w:val="24"/>
            </w:rPr>
            <w:t xml:space="preserve"> </w:t>
          </w:r>
          <w:r w:rsidR="009C3012" w:rsidRPr="009C3012">
            <w:rPr>
              <w:noProof/>
              <w:szCs w:val="24"/>
            </w:rPr>
            <w:t xml:space="preserve">(Carvalho </w:t>
          </w:r>
          <w:r w:rsidR="009C3012" w:rsidRPr="009C3012">
            <w:rPr>
              <w:i/>
              <w:iCs/>
              <w:noProof/>
              <w:szCs w:val="24"/>
            </w:rPr>
            <w:t>et al.</w:t>
          </w:r>
          <w:r w:rsidR="009C3012" w:rsidRPr="009C3012">
            <w:rPr>
              <w:noProof/>
              <w:szCs w:val="24"/>
            </w:rPr>
            <w:t>, 2023b)</w:t>
          </w:r>
          <w:r w:rsidRPr="00BE2F88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>, vidro e escória</w:t>
      </w:r>
      <w:sdt>
        <w:sdtPr>
          <w:rPr>
            <w:szCs w:val="24"/>
          </w:rPr>
          <w:id w:val="-1794521039"/>
          <w:citation/>
        </w:sdtPr>
        <w:sdtContent>
          <w:r w:rsidRPr="00BE2F88">
            <w:rPr>
              <w:szCs w:val="24"/>
            </w:rPr>
            <w:fldChar w:fldCharType="begin"/>
          </w:r>
          <w:r w:rsidR="00061706">
            <w:rPr>
              <w:szCs w:val="24"/>
            </w:rPr>
            <w:instrText xml:space="preserve">CITATION Lan22 \m ELH23 \l 1046 </w:instrText>
          </w:r>
          <w:r w:rsidRPr="00BE2F88">
            <w:rPr>
              <w:szCs w:val="24"/>
            </w:rPr>
            <w:fldChar w:fldCharType="separate"/>
          </w:r>
          <w:r w:rsidR="009C3012">
            <w:rPr>
              <w:noProof/>
              <w:szCs w:val="24"/>
            </w:rPr>
            <w:t xml:space="preserve"> </w:t>
          </w:r>
          <w:r w:rsidR="009C3012" w:rsidRPr="009C3012">
            <w:rPr>
              <w:noProof/>
              <w:szCs w:val="24"/>
            </w:rPr>
            <w:t xml:space="preserve">(Lin e Wu, 2022; El-Hassan </w:t>
          </w:r>
          <w:r w:rsidR="009C3012" w:rsidRPr="009C3012">
            <w:rPr>
              <w:i/>
              <w:iCs/>
              <w:noProof/>
              <w:szCs w:val="24"/>
            </w:rPr>
            <w:t>et al.</w:t>
          </w:r>
          <w:r w:rsidR="009C3012" w:rsidRPr="009C3012">
            <w:rPr>
              <w:noProof/>
              <w:szCs w:val="24"/>
            </w:rPr>
            <w:t>, 2023)</w:t>
          </w:r>
          <w:r w:rsidRPr="00BE2F88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 xml:space="preserve">. Posto que o concreto é o segundo material mais utilizado no mundo </w:t>
      </w:r>
      <w:sdt>
        <w:sdtPr>
          <w:rPr>
            <w:szCs w:val="24"/>
          </w:rPr>
          <w:id w:val="-1918245595"/>
          <w:citation/>
        </w:sdtPr>
        <w:sdtContent>
          <w:r w:rsidRPr="00BE2F88">
            <w:rPr>
              <w:szCs w:val="24"/>
            </w:rPr>
            <w:fldChar w:fldCharType="begin"/>
          </w:r>
          <w:r w:rsidR="00061706">
            <w:rPr>
              <w:szCs w:val="24"/>
            </w:rPr>
            <w:instrText xml:space="preserve">CITATION Inf23 \l 1046 </w:instrText>
          </w:r>
          <w:r w:rsidRPr="00BE2F88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 xml:space="preserve">(Carvalho </w:t>
          </w:r>
          <w:r w:rsidR="009C3012" w:rsidRPr="009C3012">
            <w:rPr>
              <w:i/>
              <w:iCs/>
              <w:noProof/>
              <w:szCs w:val="24"/>
            </w:rPr>
            <w:t>et al.</w:t>
          </w:r>
          <w:r w:rsidR="009C3012" w:rsidRPr="009C3012">
            <w:rPr>
              <w:noProof/>
              <w:szCs w:val="24"/>
            </w:rPr>
            <w:t>, 2023b)</w:t>
          </w:r>
          <w:r w:rsidRPr="00BE2F88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 xml:space="preserve">, é imperativo que sejam desenvolvidos mais estudos com finalidade de torna-lo mais sustentável e durável. </w:t>
      </w:r>
    </w:p>
    <w:p w14:paraId="65D738C7" w14:textId="3A6D45F3" w:rsidR="00BE2F88" w:rsidRPr="00BE2F88" w:rsidRDefault="00BE2F88" w:rsidP="00BE2F88">
      <w:pPr>
        <w:spacing w:after="120"/>
        <w:ind w:firstLine="360"/>
        <w:rPr>
          <w:szCs w:val="24"/>
        </w:rPr>
      </w:pPr>
      <w:r w:rsidRPr="00BE2F88">
        <w:rPr>
          <w:szCs w:val="24"/>
        </w:rPr>
        <w:t>O concreto quando exposto a elevadas temperaturas sofre processos químicos que resultam na desintegração de compostos hidratados</w:t>
      </w:r>
      <w:sdt>
        <w:sdtPr>
          <w:rPr>
            <w:szCs w:val="24"/>
          </w:rPr>
          <w:id w:val="-1362423060"/>
          <w:citation/>
        </w:sdtPr>
        <w:sdtContent>
          <w:r w:rsidR="00061706">
            <w:rPr>
              <w:szCs w:val="24"/>
            </w:rPr>
            <w:fldChar w:fldCharType="begin"/>
          </w:r>
          <w:r w:rsidR="00061706">
            <w:rPr>
              <w:szCs w:val="24"/>
            </w:rPr>
            <w:instrText xml:space="preserve"> CITATION Edl24 \l 1046 </w:instrText>
          </w:r>
          <w:r w:rsidR="00061706">
            <w:rPr>
              <w:szCs w:val="24"/>
            </w:rPr>
            <w:fldChar w:fldCharType="separate"/>
          </w:r>
          <w:r w:rsidR="009C3012">
            <w:rPr>
              <w:noProof/>
              <w:szCs w:val="24"/>
            </w:rPr>
            <w:t xml:space="preserve"> </w:t>
          </w:r>
          <w:r w:rsidR="009C3012" w:rsidRPr="009C3012">
            <w:rPr>
              <w:noProof/>
              <w:szCs w:val="24"/>
            </w:rPr>
            <w:t xml:space="preserve">(Motta </w:t>
          </w:r>
          <w:r w:rsidR="009C3012" w:rsidRPr="009C3012">
            <w:rPr>
              <w:i/>
              <w:iCs/>
              <w:noProof/>
              <w:szCs w:val="24"/>
            </w:rPr>
            <w:t>et al.</w:t>
          </w:r>
          <w:r w:rsidR="009C3012" w:rsidRPr="009C3012">
            <w:rPr>
              <w:noProof/>
              <w:szCs w:val="24"/>
            </w:rPr>
            <w:t>, 2024)</w:t>
          </w:r>
          <w:r w:rsidR="00061706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 xml:space="preserve">. Com isso, ocorre a ruptura das ligações na microestrutura entre a pasta de cimento e os agregados, gerando poros e microfissuras que são os principais responsáveis pela perda de resistência do material </w:t>
      </w:r>
      <w:sdt>
        <w:sdtPr>
          <w:rPr>
            <w:szCs w:val="24"/>
          </w:rPr>
          <w:id w:val="-773317046"/>
          <w:citation/>
        </w:sdtPr>
        <w:sdtContent>
          <w:r w:rsidRPr="00BE2F88">
            <w:rPr>
              <w:szCs w:val="24"/>
            </w:rPr>
            <w:fldChar w:fldCharType="begin"/>
          </w:r>
          <w:r w:rsidRPr="00BE2F88">
            <w:rPr>
              <w:szCs w:val="24"/>
            </w:rPr>
            <w:instrText xml:space="preserve"> CITATION Dwa10 \l 1046  \m Erg13</w:instrText>
          </w:r>
          <w:r w:rsidRPr="00BE2F88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 xml:space="preserve">(Dwaikat e Kodur, 2010; Ergün </w:t>
          </w:r>
          <w:r w:rsidR="009C3012" w:rsidRPr="009C3012">
            <w:rPr>
              <w:i/>
              <w:iCs/>
              <w:noProof/>
              <w:szCs w:val="24"/>
            </w:rPr>
            <w:t>et al.</w:t>
          </w:r>
          <w:r w:rsidR="009C3012" w:rsidRPr="009C3012">
            <w:rPr>
              <w:noProof/>
              <w:szCs w:val="24"/>
            </w:rPr>
            <w:t>, 2013)</w:t>
          </w:r>
          <w:r w:rsidRPr="00BE2F88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>. Nesse contexto, é fundamental o estudo e desenvolvimento de concretos que sejam mais resistentes a elevados temperaturas posto que situações adversas como incêndios são factíveis de ocorrer nas edificações.</w:t>
      </w:r>
    </w:p>
    <w:p w14:paraId="0CAA0E2D" w14:textId="754AC0F2" w:rsidR="00BE2F88" w:rsidRPr="00BE2F88" w:rsidRDefault="00BE2F88" w:rsidP="00BE2F88">
      <w:pPr>
        <w:spacing w:after="120"/>
        <w:ind w:firstLine="360"/>
        <w:rPr>
          <w:szCs w:val="24"/>
        </w:rPr>
      </w:pPr>
      <w:r w:rsidRPr="00BE2F88">
        <w:rPr>
          <w:szCs w:val="24"/>
        </w:rPr>
        <w:t>Foram registrados no ano de 2022, 572 ocorrências de incêndios em edificações. Só na primeira quinzena de 2023, no estado de Sergipe foram 45 ocorrências</w:t>
      </w:r>
      <w:sdt>
        <w:sdtPr>
          <w:rPr>
            <w:szCs w:val="24"/>
          </w:rPr>
          <w:id w:val="919596457"/>
          <w:citation/>
        </w:sdtPr>
        <w:sdtContent>
          <w:r w:rsidRPr="00BE2F88">
            <w:rPr>
              <w:szCs w:val="24"/>
            </w:rPr>
            <w:fldChar w:fldCharType="begin"/>
          </w:r>
          <w:r w:rsidRPr="00BE2F88">
            <w:rPr>
              <w:szCs w:val="24"/>
            </w:rPr>
            <w:instrText xml:space="preserve"> CITATION G1233 \l 1046 </w:instrText>
          </w:r>
          <w:r w:rsidRPr="00BE2F88">
            <w:rPr>
              <w:szCs w:val="24"/>
            </w:rPr>
            <w:fldChar w:fldCharType="separate"/>
          </w:r>
          <w:r w:rsidR="009C3012">
            <w:rPr>
              <w:noProof/>
              <w:szCs w:val="24"/>
            </w:rPr>
            <w:t xml:space="preserve"> </w:t>
          </w:r>
          <w:r w:rsidR="009C3012" w:rsidRPr="009C3012">
            <w:rPr>
              <w:noProof/>
              <w:szCs w:val="24"/>
            </w:rPr>
            <w:t>(G1, 2023)</w:t>
          </w:r>
          <w:r w:rsidRPr="00BE2F88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>. Em 2024, um incêndio de grandes proporções atingiu um prédio em construção em Recife-PE, a perícia acredita que a causa se deu por um curto-circuito</w:t>
      </w:r>
      <w:sdt>
        <w:sdtPr>
          <w:rPr>
            <w:szCs w:val="24"/>
          </w:rPr>
          <w:id w:val="-1157602261"/>
          <w:citation/>
        </w:sdtPr>
        <w:sdtContent>
          <w:r w:rsidRPr="00BE2F88">
            <w:rPr>
              <w:szCs w:val="24"/>
            </w:rPr>
            <w:fldChar w:fldCharType="begin"/>
          </w:r>
          <w:r w:rsidRPr="00BE2F88">
            <w:rPr>
              <w:szCs w:val="24"/>
            </w:rPr>
            <w:instrText xml:space="preserve"> CITATION G1241 \l 1046 </w:instrText>
          </w:r>
          <w:r w:rsidRPr="00BE2F88">
            <w:rPr>
              <w:szCs w:val="24"/>
            </w:rPr>
            <w:fldChar w:fldCharType="separate"/>
          </w:r>
          <w:r w:rsidR="009C3012">
            <w:rPr>
              <w:noProof/>
              <w:szCs w:val="24"/>
            </w:rPr>
            <w:t xml:space="preserve"> </w:t>
          </w:r>
          <w:r w:rsidR="009C3012" w:rsidRPr="009C3012">
            <w:rPr>
              <w:noProof/>
              <w:szCs w:val="24"/>
            </w:rPr>
            <w:t>(G1, 2024)</w:t>
          </w:r>
          <w:r w:rsidRPr="00BE2F88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 xml:space="preserve">. Também neste ano, um raio atingiu um imóvel em Porto </w:t>
      </w:r>
      <w:proofErr w:type="spellStart"/>
      <w:r w:rsidRPr="00BE2F88">
        <w:rPr>
          <w:szCs w:val="24"/>
        </w:rPr>
        <w:t>Alegre-RS</w:t>
      </w:r>
      <w:proofErr w:type="spellEnd"/>
      <w:r w:rsidRPr="00BE2F88">
        <w:rPr>
          <w:szCs w:val="24"/>
        </w:rPr>
        <w:t xml:space="preserve"> iniciando um incêndio que deteriorou toda a estrutura</w:t>
      </w:r>
      <w:sdt>
        <w:sdtPr>
          <w:rPr>
            <w:szCs w:val="24"/>
          </w:rPr>
          <w:id w:val="-490022449"/>
          <w:citation/>
        </w:sdtPr>
        <w:sdtContent>
          <w:r w:rsidRPr="00BE2F88">
            <w:rPr>
              <w:szCs w:val="24"/>
            </w:rPr>
            <w:fldChar w:fldCharType="begin"/>
          </w:r>
          <w:r w:rsidRPr="00BE2F88">
            <w:rPr>
              <w:szCs w:val="24"/>
            </w:rPr>
            <w:instrText xml:space="preserve"> CITATION G124 \l 1046 </w:instrText>
          </w:r>
          <w:r w:rsidRPr="00BE2F88">
            <w:rPr>
              <w:szCs w:val="24"/>
            </w:rPr>
            <w:fldChar w:fldCharType="separate"/>
          </w:r>
          <w:r w:rsidR="009C3012">
            <w:rPr>
              <w:noProof/>
              <w:szCs w:val="24"/>
            </w:rPr>
            <w:t xml:space="preserve"> </w:t>
          </w:r>
          <w:r w:rsidR="009C3012" w:rsidRPr="009C3012">
            <w:rPr>
              <w:noProof/>
              <w:szCs w:val="24"/>
            </w:rPr>
            <w:t>(G1, 2024)</w:t>
          </w:r>
          <w:r w:rsidRPr="00BE2F88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 xml:space="preserve">. Eventos deste porte causam danos materiais ao patrimônio privado, público e, em casos mais agravantes, também à vida e à comunidade. Na cidade de Juiz de </w:t>
      </w:r>
      <w:proofErr w:type="spellStart"/>
      <w:r w:rsidRPr="00BE2F88">
        <w:rPr>
          <w:szCs w:val="24"/>
        </w:rPr>
        <w:t>Fora-MG</w:t>
      </w:r>
      <w:proofErr w:type="spellEnd"/>
      <w:r w:rsidRPr="00BE2F88">
        <w:rPr>
          <w:szCs w:val="24"/>
        </w:rPr>
        <w:t xml:space="preserve">, em 2023, uma explosão oriunda de gás de cozinha derrubou duas edificações e iniciou um incêndio que atingiu outras quatro casas e resultou em um </w:t>
      </w:r>
      <w:proofErr w:type="spellStart"/>
      <w:r w:rsidRPr="00BE2F88">
        <w:rPr>
          <w:szCs w:val="24"/>
        </w:rPr>
        <w:t>óbtio</w:t>
      </w:r>
      <w:proofErr w:type="spellEnd"/>
      <w:sdt>
        <w:sdtPr>
          <w:rPr>
            <w:szCs w:val="24"/>
          </w:rPr>
          <w:id w:val="563299886"/>
          <w:citation/>
        </w:sdtPr>
        <w:sdtContent>
          <w:r w:rsidRPr="00BE2F88">
            <w:rPr>
              <w:szCs w:val="24"/>
            </w:rPr>
            <w:fldChar w:fldCharType="begin"/>
          </w:r>
          <w:r w:rsidRPr="00BE2F88">
            <w:rPr>
              <w:szCs w:val="24"/>
            </w:rPr>
            <w:instrText xml:space="preserve"> CITATION G1242 \l 1046 </w:instrText>
          </w:r>
          <w:r w:rsidRPr="00BE2F88">
            <w:rPr>
              <w:szCs w:val="24"/>
            </w:rPr>
            <w:fldChar w:fldCharType="separate"/>
          </w:r>
          <w:r w:rsidR="009C3012">
            <w:rPr>
              <w:noProof/>
              <w:szCs w:val="24"/>
            </w:rPr>
            <w:t xml:space="preserve"> </w:t>
          </w:r>
          <w:r w:rsidR="009C3012" w:rsidRPr="009C3012">
            <w:rPr>
              <w:noProof/>
              <w:szCs w:val="24"/>
            </w:rPr>
            <w:t>(G1, 2024)</w:t>
          </w:r>
          <w:r w:rsidRPr="00BE2F88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 xml:space="preserve">. </w:t>
      </w:r>
    </w:p>
    <w:p w14:paraId="72EE8CB1" w14:textId="387275AC" w:rsidR="00BE2F88" w:rsidRPr="00BE2F88" w:rsidRDefault="00BE2F88" w:rsidP="00BE2F88">
      <w:pPr>
        <w:spacing w:after="120"/>
        <w:ind w:firstLine="360"/>
        <w:rPr>
          <w:szCs w:val="24"/>
        </w:rPr>
      </w:pPr>
      <w:r w:rsidRPr="00BE2F88">
        <w:rPr>
          <w:szCs w:val="24"/>
        </w:rPr>
        <w:t>Devido à sua estrutura porosa e à baixa condutividade térmica, o concreto leve é uma opção tecnológica que pode proporcionar respostas mais efetivas para as estruturas suscetíveis à exposição em elevadas temperaturas. Nesse contexto, usar vermiculita expandida como um agregado leve para compor este material pode ser uma alternativa viável, pois a vermiculita possui características como baixa condutividade térmica (0,04-0,14 W/</w:t>
      </w:r>
      <w:proofErr w:type="spellStart"/>
      <w:r w:rsidRPr="00BE2F88">
        <w:rPr>
          <w:szCs w:val="24"/>
        </w:rPr>
        <w:t>m.K</w:t>
      </w:r>
      <w:proofErr w:type="spellEnd"/>
      <w:r w:rsidRPr="00BE2F88">
        <w:rPr>
          <w:szCs w:val="24"/>
        </w:rPr>
        <w:t xml:space="preserve">), baixa densidade (80-120 kg/m³), além de ser quimicamente inerte e não tóxica </w:t>
      </w:r>
      <w:sdt>
        <w:sdtPr>
          <w:rPr>
            <w:szCs w:val="24"/>
          </w:rPr>
          <w:id w:val="-570272105"/>
          <w:citation/>
        </w:sdtPr>
        <w:sdtContent>
          <w:r w:rsidRPr="00BE2F88">
            <w:rPr>
              <w:szCs w:val="24"/>
            </w:rPr>
            <w:fldChar w:fldCharType="begin"/>
          </w:r>
          <w:r w:rsidRPr="00BE2F88">
            <w:rPr>
              <w:szCs w:val="24"/>
            </w:rPr>
            <w:instrText xml:space="preserve"> CITATION Ras16 \l 1046 </w:instrText>
          </w:r>
          <w:r w:rsidRPr="00BE2F88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>(Rashad, 2016)</w:t>
          </w:r>
          <w:r w:rsidRPr="00BE2F88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 xml:space="preserve">. Liu et al. </w:t>
      </w:r>
      <w:sdt>
        <w:sdtPr>
          <w:rPr>
            <w:szCs w:val="24"/>
          </w:rPr>
          <w:id w:val="13039562"/>
          <w:citation/>
        </w:sdtPr>
        <w:sdtContent>
          <w:r w:rsidRPr="00BE2F88">
            <w:rPr>
              <w:szCs w:val="24"/>
            </w:rPr>
            <w:fldChar w:fldCharType="begin"/>
          </w:r>
          <w:r w:rsidRPr="00BE2F88">
            <w:rPr>
              <w:szCs w:val="24"/>
            </w:rPr>
            <w:instrText xml:space="preserve">CITATION Liu221 \n  \t  \l 1046 </w:instrText>
          </w:r>
          <w:r w:rsidRPr="00BE2F88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>(2022)</w:t>
          </w:r>
          <w:r w:rsidRPr="00BE2F88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 xml:space="preserve"> estudaram a substituição de areia por vermiculita expandida nas proporções de 10%, 15% e 20% para produção de concretos leves, que foram avaliados a 300°, 600°C e 900°C. Os autores observaram que a substituição de 15% e 20% de vermiculita proporcionou uma resistência residual superior aos concretos de referência quando expostos a 600°C e 900°C </w:t>
      </w:r>
      <w:sdt>
        <w:sdtPr>
          <w:rPr>
            <w:szCs w:val="24"/>
          </w:rPr>
          <w:id w:val="418761033"/>
          <w:citation/>
        </w:sdtPr>
        <w:sdtContent>
          <w:r w:rsidRPr="00BE2F88">
            <w:rPr>
              <w:szCs w:val="24"/>
            </w:rPr>
            <w:fldChar w:fldCharType="begin"/>
          </w:r>
          <w:r w:rsidRPr="00BE2F88">
            <w:rPr>
              <w:szCs w:val="24"/>
            </w:rPr>
            <w:instrText xml:space="preserve"> CITATION Liu221 \l 1046 </w:instrText>
          </w:r>
          <w:r w:rsidRPr="00BE2F88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 xml:space="preserve">(Liu </w:t>
          </w:r>
          <w:r w:rsidR="009C3012" w:rsidRPr="009C3012">
            <w:rPr>
              <w:i/>
              <w:iCs/>
              <w:noProof/>
              <w:szCs w:val="24"/>
            </w:rPr>
            <w:t>et al.</w:t>
          </w:r>
          <w:r w:rsidR="009C3012" w:rsidRPr="009C3012">
            <w:rPr>
              <w:noProof/>
              <w:szCs w:val="24"/>
            </w:rPr>
            <w:t>, 2022)</w:t>
          </w:r>
          <w:r w:rsidRPr="00BE2F88">
            <w:rPr>
              <w:szCs w:val="24"/>
            </w:rPr>
            <w:fldChar w:fldCharType="end"/>
          </w:r>
        </w:sdtContent>
      </w:sdt>
      <w:r w:rsidRPr="00BE2F88">
        <w:rPr>
          <w:szCs w:val="24"/>
        </w:rPr>
        <w:t>.</w:t>
      </w:r>
    </w:p>
    <w:p w14:paraId="49ADAE70" w14:textId="6A1DA259" w:rsidR="00805184" w:rsidRPr="00BE2F88" w:rsidRDefault="00BE2F88" w:rsidP="00511B2B">
      <w:pPr>
        <w:spacing w:after="120"/>
        <w:ind w:firstLine="360"/>
        <w:rPr>
          <w:szCs w:val="24"/>
        </w:rPr>
      </w:pPr>
      <w:r w:rsidRPr="00BE2F88">
        <w:rPr>
          <w:szCs w:val="24"/>
        </w:rPr>
        <w:t>Este estudo busca avançar no desenvolvimento de concretos mais resistentes ao fogo, propondo a substituição de 25% da areia natural por vermiculita expandida em três classes diferentes de concreto: 35 MPa, 50 MPa e 70 MPa. Para isso, foram analisadas as propriedades mecânicas de resistência à compressão, tração e módulo de elasticidade em temperatura ambiente e a 200°C, 400°C e 800°C. Dessa forma, o estudo se destaca ao avaliar três classes distintas de concreto em três temperaturas não previamente estudadas e com uma taxa de substituição até então inédita</w:t>
      </w:r>
      <w:r w:rsidR="00061706">
        <w:rPr>
          <w:szCs w:val="24"/>
        </w:rPr>
        <w:t>.</w:t>
      </w:r>
    </w:p>
    <w:p w14:paraId="2709DB60" w14:textId="3A9D6B9A" w:rsidR="00805184" w:rsidRPr="00BE2F88" w:rsidRDefault="00805184" w:rsidP="00805184">
      <w:pPr>
        <w:spacing w:after="120"/>
        <w:rPr>
          <w:color w:val="A6A6A6"/>
          <w:szCs w:val="24"/>
        </w:rPr>
      </w:pPr>
    </w:p>
    <w:p w14:paraId="4F97F1B7" w14:textId="6D03A8B7" w:rsidR="00805184" w:rsidRPr="00BE2F88" w:rsidRDefault="00BE2F88" w:rsidP="00805184">
      <w:pPr>
        <w:pStyle w:val="PargrafodaLista"/>
        <w:numPr>
          <w:ilvl w:val="0"/>
          <w:numId w:val="5"/>
        </w:numPr>
        <w:spacing w:after="120"/>
        <w:rPr>
          <w:color w:val="A6A6A6"/>
          <w:szCs w:val="24"/>
        </w:rPr>
      </w:pPr>
      <w:r>
        <w:rPr>
          <w:b/>
          <w:szCs w:val="24"/>
        </w:rPr>
        <w:lastRenderedPageBreak/>
        <w:t>Materiais e Métodos</w:t>
      </w:r>
    </w:p>
    <w:p w14:paraId="37F08753" w14:textId="0FA5C295" w:rsidR="00BE2F88" w:rsidRPr="00061706" w:rsidRDefault="00BE2F88" w:rsidP="00BE2F88">
      <w:pPr>
        <w:pStyle w:val="Subttulo"/>
        <w:numPr>
          <w:ilvl w:val="1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Materiais</w:t>
      </w:r>
    </w:p>
    <w:p w14:paraId="446942A8" w14:textId="77777777" w:rsidR="007769C7" w:rsidRPr="007769C7" w:rsidRDefault="007769C7" w:rsidP="007769C7">
      <w:pPr>
        <w:spacing w:after="120"/>
        <w:ind w:firstLine="360"/>
        <w:rPr>
          <w:szCs w:val="24"/>
        </w:rPr>
      </w:pPr>
      <w:r w:rsidRPr="007769C7">
        <w:rPr>
          <w:szCs w:val="24"/>
        </w:rPr>
        <w:t xml:space="preserve">Foram adotados como agregado miúdo a areia natural do Rio Preto, em Minas Gerais, areia artificial da Pedra Sul Mineração e a vermiculita expandida, tipo Padrão </w:t>
      </w:r>
      <w:proofErr w:type="spellStart"/>
      <w:r w:rsidRPr="007769C7">
        <w:rPr>
          <w:szCs w:val="24"/>
        </w:rPr>
        <w:t>Izo-Flok</w:t>
      </w:r>
      <w:proofErr w:type="spellEnd"/>
      <w:r w:rsidRPr="007769C7">
        <w:rPr>
          <w:szCs w:val="24"/>
        </w:rPr>
        <w:t xml:space="preserve">, da Vermiculita do Brasil.  Como agregado graúdo, foram adotados a brita 0 e brita 1 comercializada pela Pedra Sul Mineração.  O cimento utilizado foi tipo Portland CPV ARI Plus, da </w:t>
      </w:r>
      <w:proofErr w:type="spellStart"/>
      <w:r w:rsidRPr="007769C7">
        <w:rPr>
          <w:szCs w:val="24"/>
        </w:rPr>
        <w:t>Holcim</w:t>
      </w:r>
      <w:proofErr w:type="spellEnd"/>
      <w:r w:rsidRPr="007769C7">
        <w:rPr>
          <w:szCs w:val="24"/>
        </w:rPr>
        <w:t xml:space="preserve"> do Brasil S.A. Para que os traços ganhassem maior trabalhabilidade foram adotados os aditivos de pega normal plastificante SikaMentRM-300 e o super plastificante </w:t>
      </w:r>
      <w:proofErr w:type="spellStart"/>
      <w:r w:rsidRPr="007769C7">
        <w:rPr>
          <w:szCs w:val="24"/>
        </w:rPr>
        <w:t>Sika</w:t>
      </w:r>
      <w:proofErr w:type="spellEnd"/>
      <w:r w:rsidRPr="007769C7">
        <w:rPr>
          <w:szCs w:val="24"/>
        </w:rPr>
        <w:t xml:space="preserve"> </w:t>
      </w:r>
      <w:proofErr w:type="spellStart"/>
      <w:r w:rsidRPr="007769C7">
        <w:rPr>
          <w:szCs w:val="24"/>
        </w:rPr>
        <w:t>Viscocrete</w:t>
      </w:r>
      <w:proofErr w:type="spellEnd"/>
      <w:r w:rsidRPr="007769C7">
        <w:rPr>
          <w:szCs w:val="24"/>
        </w:rPr>
        <w:t xml:space="preserve"> 3535 CB. Nos concretos de alto desempenho foi utilizado sílica ativa comercializada pela </w:t>
      </w:r>
      <w:proofErr w:type="spellStart"/>
      <w:r w:rsidRPr="007769C7">
        <w:rPr>
          <w:szCs w:val="24"/>
        </w:rPr>
        <w:t>Tecnosil</w:t>
      </w:r>
      <w:proofErr w:type="spellEnd"/>
      <w:r w:rsidRPr="007769C7">
        <w:rPr>
          <w:szCs w:val="24"/>
        </w:rPr>
        <w:t>. Em todos os concretos foi utilizado água potável proveniente da rede de abastecimento local.</w:t>
      </w:r>
    </w:p>
    <w:p w14:paraId="152EFA81" w14:textId="77777777" w:rsidR="007769C7" w:rsidRPr="007769C7" w:rsidRDefault="007769C7" w:rsidP="007769C7">
      <w:pPr>
        <w:spacing w:after="120"/>
        <w:ind w:firstLine="360"/>
        <w:rPr>
          <w:szCs w:val="24"/>
        </w:rPr>
      </w:pPr>
      <w:r w:rsidRPr="007769C7">
        <w:rPr>
          <w:szCs w:val="24"/>
        </w:rPr>
        <w:t xml:space="preserve">Todos os materiais utilizados na produção do concreto, foram caracterizados de acordo com as Normas Brasileiras ou por dados disponibilizados pelos fornecedores. Assim, a </w:t>
      </w:r>
      <w:r w:rsidRPr="007769C7">
        <w:rPr>
          <w:szCs w:val="24"/>
        </w:rPr>
        <w:fldChar w:fldCharType="begin"/>
      </w:r>
      <w:r w:rsidRPr="007769C7">
        <w:rPr>
          <w:szCs w:val="24"/>
        </w:rPr>
        <w:instrText xml:space="preserve"> REF _Ref162792319 \h  \* MERGEFORMAT </w:instrText>
      </w:r>
      <w:r w:rsidRPr="007769C7">
        <w:rPr>
          <w:szCs w:val="24"/>
        </w:rPr>
      </w:r>
      <w:r w:rsidRPr="007769C7">
        <w:rPr>
          <w:szCs w:val="24"/>
        </w:rPr>
        <w:fldChar w:fldCharType="separate"/>
      </w:r>
      <w:r w:rsidRPr="007769C7">
        <w:rPr>
          <w:szCs w:val="24"/>
        </w:rPr>
        <w:t>Tabela 1</w:t>
      </w:r>
      <w:r w:rsidRPr="007769C7">
        <w:rPr>
          <w:szCs w:val="24"/>
        </w:rPr>
        <w:fldChar w:fldCharType="end"/>
      </w:r>
      <w:r w:rsidRPr="007769C7">
        <w:rPr>
          <w:szCs w:val="24"/>
        </w:rPr>
        <w:t xml:space="preserve"> apresenta a caracterização dos agregados naturais e a </w:t>
      </w:r>
      <w:r w:rsidRPr="007769C7">
        <w:rPr>
          <w:szCs w:val="24"/>
        </w:rPr>
        <w:fldChar w:fldCharType="begin"/>
      </w:r>
      <w:r w:rsidRPr="007769C7">
        <w:rPr>
          <w:szCs w:val="24"/>
        </w:rPr>
        <w:instrText xml:space="preserve"> REF _Ref162792459 \h  \* MERGEFORMAT </w:instrText>
      </w:r>
      <w:r w:rsidRPr="007769C7">
        <w:rPr>
          <w:szCs w:val="24"/>
        </w:rPr>
      </w:r>
      <w:r w:rsidRPr="007769C7">
        <w:rPr>
          <w:szCs w:val="24"/>
        </w:rPr>
        <w:fldChar w:fldCharType="separate"/>
      </w:r>
      <w:r w:rsidRPr="007769C7">
        <w:rPr>
          <w:szCs w:val="24"/>
        </w:rPr>
        <w:t>Tabela 2</w:t>
      </w:r>
      <w:r w:rsidRPr="007769C7">
        <w:rPr>
          <w:szCs w:val="24"/>
        </w:rPr>
        <w:fldChar w:fldCharType="end"/>
      </w:r>
      <w:r w:rsidRPr="007769C7">
        <w:rPr>
          <w:szCs w:val="24"/>
        </w:rPr>
        <w:t xml:space="preserve"> a caracterização do cimento Portland.</w:t>
      </w:r>
    </w:p>
    <w:p w14:paraId="464CE7AD" w14:textId="6DA2CDE5" w:rsidR="007769C7" w:rsidRPr="007769C7" w:rsidRDefault="007769C7" w:rsidP="007769C7">
      <w:pPr>
        <w:spacing w:before="240" w:after="240"/>
        <w:jc w:val="center"/>
        <w:rPr>
          <w:color w:val="000000"/>
          <w:sz w:val="20"/>
        </w:rPr>
      </w:pPr>
      <w:bookmarkStart w:id="1" w:name="_Ref162792319"/>
      <w:r w:rsidRPr="007769C7">
        <w:rPr>
          <w:color w:val="000000"/>
          <w:sz w:val="20"/>
        </w:rPr>
        <w:t xml:space="preserve">Tabela </w:t>
      </w:r>
      <w:r w:rsidRPr="007769C7">
        <w:rPr>
          <w:color w:val="000000"/>
          <w:sz w:val="20"/>
        </w:rPr>
        <w:fldChar w:fldCharType="begin"/>
      </w:r>
      <w:r w:rsidRPr="007769C7">
        <w:rPr>
          <w:color w:val="000000"/>
          <w:sz w:val="20"/>
        </w:rPr>
        <w:instrText xml:space="preserve"> SEQ Tabela \* ARABIC </w:instrText>
      </w:r>
      <w:r w:rsidRPr="007769C7">
        <w:rPr>
          <w:color w:val="000000"/>
          <w:sz w:val="20"/>
        </w:rPr>
        <w:fldChar w:fldCharType="separate"/>
      </w:r>
      <w:r w:rsidRPr="007769C7">
        <w:rPr>
          <w:color w:val="000000"/>
          <w:sz w:val="20"/>
        </w:rPr>
        <w:t>1</w:t>
      </w:r>
      <w:r w:rsidRPr="007769C7">
        <w:rPr>
          <w:color w:val="000000"/>
          <w:sz w:val="20"/>
        </w:rPr>
        <w:fldChar w:fldCharType="end"/>
      </w:r>
      <w:bookmarkEnd w:id="1"/>
      <w:r w:rsidRPr="007769C7">
        <w:rPr>
          <w:color w:val="000000"/>
          <w:sz w:val="20"/>
        </w:rPr>
        <w:t>: Caracterização dos agregados naturais.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0"/>
        <w:gridCol w:w="1562"/>
        <w:gridCol w:w="1359"/>
        <w:gridCol w:w="1506"/>
        <w:gridCol w:w="1506"/>
      </w:tblGrid>
      <w:tr w:rsidR="007769C7" w:rsidRPr="009D150B" w14:paraId="525BA63C" w14:textId="77777777" w:rsidTr="007769C7">
        <w:trPr>
          <w:jc w:val="center"/>
        </w:trPr>
        <w:tc>
          <w:tcPr>
            <w:tcW w:w="1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60B643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Propriedades Físicas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3CD6B9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Areia Natural</w:t>
            </w:r>
          </w:p>
        </w:tc>
        <w:tc>
          <w:tcPr>
            <w:tcW w:w="1359" w:type="dxa"/>
            <w:tcBorders>
              <w:top w:val="single" w:sz="12" w:space="0" w:color="auto"/>
              <w:bottom w:val="single" w:sz="4" w:space="0" w:color="auto"/>
            </w:tcBorders>
          </w:tcPr>
          <w:p w14:paraId="15063B65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Areia Artificial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215068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Brita 0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1680E5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Brita 1</w:t>
            </w:r>
          </w:p>
        </w:tc>
      </w:tr>
      <w:tr w:rsidR="007769C7" w:rsidRPr="009D150B" w14:paraId="27B53225" w14:textId="77777777" w:rsidTr="00CC1DD4">
        <w:trPr>
          <w:jc w:val="center"/>
        </w:trPr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14:paraId="21052BDB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Módulo de Finura (mm)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5E704527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2,64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14:paraId="1419C5C8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2,26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3BC5509D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6,04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1BB27167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6,89</w:t>
            </w:r>
          </w:p>
        </w:tc>
      </w:tr>
      <w:tr w:rsidR="007769C7" w:rsidRPr="009D150B" w14:paraId="11229A73" w14:textId="77777777" w:rsidTr="00CC1DD4">
        <w:trPr>
          <w:jc w:val="center"/>
        </w:trPr>
        <w:tc>
          <w:tcPr>
            <w:tcW w:w="1720" w:type="dxa"/>
            <w:vAlign w:val="center"/>
          </w:tcPr>
          <w:p w14:paraId="6D5171FB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Dimensão Máxima Característica (g/cm³)</w:t>
            </w:r>
          </w:p>
        </w:tc>
        <w:tc>
          <w:tcPr>
            <w:tcW w:w="1562" w:type="dxa"/>
            <w:vAlign w:val="center"/>
          </w:tcPr>
          <w:p w14:paraId="688EA164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4,80</w:t>
            </w:r>
          </w:p>
        </w:tc>
        <w:tc>
          <w:tcPr>
            <w:tcW w:w="1359" w:type="dxa"/>
            <w:vAlign w:val="center"/>
          </w:tcPr>
          <w:p w14:paraId="42D2793B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4,80</w:t>
            </w:r>
          </w:p>
        </w:tc>
        <w:tc>
          <w:tcPr>
            <w:tcW w:w="1506" w:type="dxa"/>
            <w:vAlign w:val="center"/>
          </w:tcPr>
          <w:p w14:paraId="1F81A899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9,50</w:t>
            </w:r>
          </w:p>
        </w:tc>
        <w:tc>
          <w:tcPr>
            <w:tcW w:w="1506" w:type="dxa"/>
            <w:vAlign w:val="center"/>
          </w:tcPr>
          <w:p w14:paraId="4C2DB918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19,00</w:t>
            </w:r>
          </w:p>
        </w:tc>
      </w:tr>
      <w:tr w:rsidR="007769C7" w:rsidRPr="009D150B" w14:paraId="650DDA96" w14:textId="77777777" w:rsidTr="00CC1DD4">
        <w:trPr>
          <w:jc w:val="center"/>
        </w:trPr>
        <w:tc>
          <w:tcPr>
            <w:tcW w:w="1720" w:type="dxa"/>
            <w:vAlign w:val="center"/>
          </w:tcPr>
          <w:p w14:paraId="778BE140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Massa Específica Real (g/cm³)</w:t>
            </w:r>
          </w:p>
        </w:tc>
        <w:tc>
          <w:tcPr>
            <w:tcW w:w="1562" w:type="dxa"/>
            <w:vAlign w:val="center"/>
          </w:tcPr>
          <w:p w14:paraId="4C4D4C49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2,597</w:t>
            </w:r>
          </w:p>
        </w:tc>
        <w:tc>
          <w:tcPr>
            <w:tcW w:w="1359" w:type="dxa"/>
            <w:vAlign w:val="center"/>
          </w:tcPr>
          <w:p w14:paraId="4C74660F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2,725</w:t>
            </w:r>
          </w:p>
        </w:tc>
        <w:tc>
          <w:tcPr>
            <w:tcW w:w="1506" w:type="dxa"/>
            <w:vAlign w:val="center"/>
          </w:tcPr>
          <w:p w14:paraId="287C299D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2,789</w:t>
            </w:r>
          </w:p>
        </w:tc>
        <w:tc>
          <w:tcPr>
            <w:tcW w:w="1506" w:type="dxa"/>
            <w:vAlign w:val="center"/>
          </w:tcPr>
          <w:p w14:paraId="3E552F8C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2,797</w:t>
            </w:r>
          </w:p>
        </w:tc>
      </w:tr>
      <w:tr w:rsidR="007769C7" w:rsidRPr="009D150B" w14:paraId="25862797" w14:textId="77777777" w:rsidTr="00CC1DD4">
        <w:trPr>
          <w:jc w:val="center"/>
        </w:trPr>
        <w:tc>
          <w:tcPr>
            <w:tcW w:w="1720" w:type="dxa"/>
            <w:vAlign w:val="center"/>
          </w:tcPr>
          <w:p w14:paraId="5F878654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Massa Unitária (g/cm³)</w:t>
            </w:r>
          </w:p>
        </w:tc>
        <w:tc>
          <w:tcPr>
            <w:tcW w:w="1562" w:type="dxa"/>
            <w:vAlign w:val="center"/>
          </w:tcPr>
          <w:p w14:paraId="6D393C8C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1,526</w:t>
            </w:r>
          </w:p>
        </w:tc>
        <w:tc>
          <w:tcPr>
            <w:tcW w:w="1359" w:type="dxa"/>
            <w:vAlign w:val="center"/>
          </w:tcPr>
          <w:p w14:paraId="47D4C69D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1,777</w:t>
            </w:r>
          </w:p>
        </w:tc>
        <w:tc>
          <w:tcPr>
            <w:tcW w:w="1506" w:type="dxa"/>
            <w:vAlign w:val="center"/>
          </w:tcPr>
          <w:p w14:paraId="48D44356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1,428</w:t>
            </w:r>
          </w:p>
        </w:tc>
        <w:tc>
          <w:tcPr>
            <w:tcW w:w="1506" w:type="dxa"/>
            <w:vAlign w:val="center"/>
          </w:tcPr>
          <w:p w14:paraId="12280CF7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1,522</w:t>
            </w:r>
          </w:p>
        </w:tc>
      </w:tr>
      <w:tr w:rsidR="007769C7" w:rsidRPr="009D150B" w14:paraId="421B226F" w14:textId="77777777" w:rsidTr="00CC1DD4">
        <w:trPr>
          <w:jc w:val="center"/>
        </w:trPr>
        <w:tc>
          <w:tcPr>
            <w:tcW w:w="1720" w:type="dxa"/>
            <w:vAlign w:val="center"/>
          </w:tcPr>
          <w:p w14:paraId="26A986C0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Teor de Material Pulverulento (%)</w:t>
            </w:r>
          </w:p>
        </w:tc>
        <w:tc>
          <w:tcPr>
            <w:tcW w:w="1562" w:type="dxa"/>
            <w:vAlign w:val="center"/>
          </w:tcPr>
          <w:p w14:paraId="50A344BF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1,92</w:t>
            </w:r>
          </w:p>
        </w:tc>
        <w:tc>
          <w:tcPr>
            <w:tcW w:w="1359" w:type="dxa"/>
            <w:vAlign w:val="center"/>
          </w:tcPr>
          <w:p w14:paraId="22913ACA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20,02</w:t>
            </w:r>
          </w:p>
        </w:tc>
        <w:tc>
          <w:tcPr>
            <w:tcW w:w="1506" w:type="dxa"/>
            <w:vAlign w:val="center"/>
          </w:tcPr>
          <w:p w14:paraId="38892456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0,25</w:t>
            </w:r>
          </w:p>
        </w:tc>
        <w:tc>
          <w:tcPr>
            <w:tcW w:w="1506" w:type="dxa"/>
            <w:vAlign w:val="center"/>
          </w:tcPr>
          <w:p w14:paraId="0043BFA1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0,30</w:t>
            </w:r>
          </w:p>
        </w:tc>
      </w:tr>
      <w:tr w:rsidR="007769C7" w:rsidRPr="009D150B" w14:paraId="5BE2F2E4" w14:textId="77777777" w:rsidTr="007769C7">
        <w:trPr>
          <w:jc w:val="center"/>
        </w:trPr>
        <w:tc>
          <w:tcPr>
            <w:tcW w:w="1720" w:type="dxa"/>
            <w:tcBorders>
              <w:bottom w:val="single" w:sz="12" w:space="0" w:color="auto"/>
            </w:tcBorders>
            <w:vAlign w:val="center"/>
          </w:tcPr>
          <w:p w14:paraId="2604D6D7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Absorção (%)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14:paraId="22B2C827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Não se aplica</w:t>
            </w:r>
          </w:p>
        </w:tc>
        <w:tc>
          <w:tcPr>
            <w:tcW w:w="1359" w:type="dxa"/>
            <w:tcBorders>
              <w:bottom w:val="single" w:sz="12" w:space="0" w:color="auto"/>
            </w:tcBorders>
            <w:vAlign w:val="center"/>
          </w:tcPr>
          <w:p w14:paraId="3FB55609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Não se aplica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vAlign w:val="center"/>
          </w:tcPr>
          <w:p w14:paraId="2AB27741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0,6</w:t>
            </w:r>
          </w:p>
        </w:tc>
        <w:tc>
          <w:tcPr>
            <w:tcW w:w="1506" w:type="dxa"/>
            <w:tcBorders>
              <w:bottom w:val="single" w:sz="12" w:space="0" w:color="auto"/>
            </w:tcBorders>
            <w:vAlign w:val="center"/>
          </w:tcPr>
          <w:p w14:paraId="1B95C63E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0,5</w:t>
            </w:r>
          </w:p>
        </w:tc>
      </w:tr>
    </w:tbl>
    <w:p w14:paraId="00807C67" w14:textId="652682A7" w:rsidR="007769C7" w:rsidRPr="00061706" w:rsidRDefault="007769C7" w:rsidP="00061706">
      <w:pPr>
        <w:spacing w:after="240"/>
        <w:ind w:firstLine="708"/>
        <w:rPr>
          <w:sz w:val="20"/>
        </w:rPr>
      </w:pPr>
      <w:r w:rsidRPr="007769C7">
        <w:rPr>
          <w:sz w:val="20"/>
        </w:rPr>
        <w:t>Fonte: Autores (202</w:t>
      </w:r>
      <w:r>
        <w:rPr>
          <w:sz w:val="20"/>
        </w:rPr>
        <w:t>5</w:t>
      </w:r>
      <w:r w:rsidRPr="007769C7">
        <w:rPr>
          <w:sz w:val="20"/>
        </w:rPr>
        <w:t>)</w:t>
      </w:r>
    </w:p>
    <w:p w14:paraId="5C312274" w14:textId="77777777" w:rsidR="007769C7" w:rsidRPr="007769C7" w:rsidRDefault="007769C7" w:rsidP="007769C7">
      <w:pPr>
        <w:spacing w:before="240" w:after="240"/>
        <w:jc w:val="center"/>
        <w:rPr>
          <w:color w:val="000000"/>
          <w:sz w:val="20"/>
        </w:rPr>
      </w:pPr>
      <w:bookmarkStart w:id="2" w:name="_Ref162792459"/>
      <w:r w:rsidRPr="007769C7">
        <w:rPr>
          <w:color w:val="000000"/>
          <w:sz w:val="20"/>
        </w:rPr>
        <w:t xml:space="preserve">Tabela </w:t>
      </w:r>
      <w:r w:rsidRPr="007769C7">
        <w:rPr>
          <w:color w:val="000000"/>
          <w:sz w:val="20"/>
        </w:rPr>
        <w:fldChar w:fldCharType="begin"/>
      </w:r>
      <w:r w:rsidRPr="007769C7">
        <w:rPr>
          <w:color w:val="000000"/>
          <w:sz w:val="20"/>
        </w:rPr>
        <w:instrText xml:space="preserve"> SEQ Tabela \* ARABIC </w:instrText>
      </w:r>
      <w:r w:rsidRPr="007769C7">
        <w:rPr>
          <w:color w:val="000000"/>
          <w:sz w:val="20"/>
        </w:rPr>
        <w:fldChar w:fldCharType="separate"/>
      </w:r>
      <w:r w:rsidRPr="007769C7">
        <w:rPr>
          <w:color w:val="000000"/>
          <w:sz w:val="20"/>
        </w:rPr>
        <w:t>2</w:t>
      </w:r>
      <w:r w:rsidRPr="007769C7">
        <w:rPr>
          <w:color w:val="000000"/>
          <w:sz w:val="20"/>
        </w:rPr>
        <w:fldChar w:fldCharType="end"/>
      </w:r>
      <w:bookmarkEnd w:id="2"/>
      <w:r w:rsidRPr="007769C7">
        <w:rPr>
          <w:color w:val="000000"/>
          <w:sz w:val="20"/>
        </w:rPr>
        <w:t xml:space="preserve">: Caracterização do cimento Portland ARI Plus da </w:t>
      </w:r>
      <w:proofErr w:type="spellStart"/>
      <w:r w:rsidRPr="007769C7">
        <w:rPr>
          <w:color w:val="000000"/>
          <w:sz w:val="20"/>
        </w:rPr>
        <w:t>Holcim</w:t>
      </w:r>
      <w:proofErr w:type="spellEnd"/>
      <w:r w:rsidRPr="007769C7">
        <w:rPr>
          <w:color w:val="000000"/>
          <w:sz w:val="20"/>
        </w:rPr>
        <w:t xml:space="preserve"> do Brasil S.A.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737"/>
        <w:gridCol w:w="1243"/>
        <w:gridCol w:w="1822"/>
        <w:gridCol w:w="2027"/>
        <w:gridCol w:w="1243"/>
      </w:tblGrid>
      <w:tr w:rsidR="007769C7" w:rsidRPr="00F54080" w14:paraId="50C0D8A0" w14:textId="77777777" w:rsidTr="007769C7">
        <w:trPr>
          <w:trHeight w:val="327"/>
          <w:tblHeader/>
        </w:trPr>
        <w:tc>
          <w:tcPr>
            <w:tcW w:w="319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AE55" w14:textId="77777777" w:rsidR="007769C7" w:rsidRPr="007769C7" w:rsidRDefault="007769C7" w:rsidP="00CC1DD4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7769C7">
              <w:rPr>
                <w:b/>
                <w:bCs/>
                <w:iCs/>
                <w:color w:val="000000"/>
                <w:sz w:val="20"/>
              </w:rPr>
              <w:t>Análises Físicas</w:t>
            </w:r>
          </w:p>
        </w:tc>
        <w:tc>
          <w:tcPr>
            <w:tcW w:w="18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3D149" w14:textId="77777777" w:rsidR="007769C7" w:rsidRPr="007769C7" w:rsidRDefault="007769C7" w:rsidP="00CC1DD4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7769C7">
              <w:rPr>
                <w:b/>
                <w:bCs/>
                <w:iCs/>
                <w:color w:val="000000"/>
                <w:sz w:val="20"/>
              </w:rPr>
              <w:t>Análises Químicas</w:t>
            </w:r>
          </w:p>
        </w:tc>
      </w:tr>
      <w:tr w:rsidR="007769C7" w:rsidRPr="00F54080" w14:paraId="76CF37B6" w14:textId="77777777" w:rsidTr="00CC1DD4">
        <w:trPr>
          <w:tblHeader/>
        </w:trPr>
        <w:tc>
          <w:tcPr>
            <w:tcW w:w="1509" w:type="pct"/>
            <w:tcBorders>
              <w:top w:val="single" w:sz="4" w:space="0" w:color="auto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11435CC0" w14:textId="77777777" w:rsidR="007769C7" w:rsidRPr="007769C7" w:rsidRDefault="007769C7" w:rsidP="00CC1DD4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7769C7">
              <w:rPr>
                <w:b/>
                <w:bCs/>
                <w:iCs/>
                <w:color w:val="000000"/>
                <w:sz w:val="20"/>
              </w:rPr>
              <w:t xml:space="preserve">Análise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49F76F" w14:textId="77777777" w:rsidR="007769C7" w:rsidRPr="007769C7" w:rsidRDefault="007769C7" w:rsidP="00CC1DD4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7769C7">
              <w:rPr>
                <w:b/>
                <w:bCs/>
                <w:iCs/>
                <w:color w:val="000000"/>
                <w:sz w:val="20"/>
              </w:rPr>
              <w:t>Resultado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3452" w14:textId="77777777" w:rsidR="007769C7" w:rsidRPr="007769C7" w:rsidRDefault="007769C7" w:rsidP="00CC1DD4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7769C7">
              <w:rPr>
                <w:b/>
                <w:bCs/>
                <w:iCs/>
                <w:color w:val="000000"/>
                <w:sz w:val="20"/>
              </w:rPr>
              <w:t>Norma Referência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1DCD8" w14:textId="77777777" w:rsidR="007769C7" w:rsidRPr="007769C7" w:rsidRDefault="007769C7" w:rsidP="00CC1DD4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7769C7">
              <w:rPr>
                <w:b/>
                <w:bCs/>
                <w:iCs/>
                <w:color w:val="000000"/>
                <w:sz w:val="20"/>
              </w:rPr>
              <w:t>Análise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22701" w14:textId="77777777" w:rsidR="007769C7" w:rsidRPr="007769C7" w:rsidRDefault="007769C7" w:rsidP="00CC1DD4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7769C7">
              <w:rPr>
                <w:b/>
                <w:bCs/>
                <w:iCs/>
                <w:color w:val="000000"/>
                <w:sz w:val="20"/>
              </w:rPr>
              <w:t>Resultado</w:t>
            </w:r>
          </w:p>
        </w:tc>
      </w:tr>
      <w:tr w:rsidR="007769C7" w:rsidRPr="00F54080" w14:paraId="4C56B17D" w14:textId="77777777" w:rsidTr="00CC1DD4">
        <w:trPr>
          <w:trHeight w:val="315"/>
        </w:trPr>
        <w:tc>
          <w:tcPr>
            <w:tcW w:w="1509" w:type="pct"/>
            <w:tcBorders>
              <w:top w:val="single" w:sz="4" w:space="0" w:color="auto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69945F8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 xml:space="preserve">Finura </w:t>
            </w:r>
            <w:r w:rsidRPr="007769C7">
              <w:rPr>
                <w:iCs/>
                <w:color w:val="000000"/>
                <w:sz w:val="20"/>
              </w:rPr>
              <w:br/>
              <w:t>(superfície específica)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1DF085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5155 cm²/g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0E559" w14:textId="3B8847F2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NBR 16372</w:t>
            </w:r>
            <w:sdt>
              <w:sdtPr>
                <w:rPr>
                  <w:iCs/>
                  <w:color w:val="000000"/>
                  <w:sz w:val="20"/>
                </w:rPr>
                <w:id w:val="1577018747"/>
                <w:citation/>
              </w:sdtPr>
              <w:sdtContent>
                <w:r w:rsidRPr="007769C7">
                  <w:rPr>
                    <w:iCs/>
                    <w:color w:val="000000"/>
                    <w:sz w:val="20"/>
                  </w:rPr>
                  <w:fldChar w:fldCharType="begin"/>
                </w:r>
                <w:r w:rsidRPr="007769C7">
                  <w:rPr>
                    <w:iCs/>
                    <w:color w:val="000000"/>
                    <w:sz w:val="20"/>
                  </w:rPr>
                  <w:instrText xml:space="preserve"> CITATION ABN153 \l 1046 </w:instrTex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separate"/>
                </w:r>
                <w:r w:rsidR="009C3012">
                  <w:rPr>
                    <w:iCs/>
                    <w:noProof/>
                    <w:color w:val="000000"/>
                    <w:sz w:val="20"/>
                  </w:rPr>
                  <w:t xml:space="preserve"> </w:t>
                </w:r>
                <w:r w:rsidR="009C3012" w:rsidRPr="009C3012">
                  <w:rPr>
                    <w:noProof/>
                    <w:color w:val="000000"/>
                    <w:sz w:val="20"/>
                  </w:rPr>
                  <w:t>(ABNT, 2015)</w: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B68AB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Resíduo insolúvel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3B19B9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0,73%</w:t>
            </w:r>
          </w:p>
        </w:tc>
      </w:tr>
      <w:tr w:rsidR="007769C7" w:rsidRPr="00F54080" w14:paraId="3E9EC6B4" w14:textId="77777777" w:rsidTr="00CC1DD4">
        <w:trPr>
          <w:trHeight w:val="394"/>
        </w:trPr>
        <w:tc>
          <w:tcPr>
            <w:tcW w:w="1509" w:type="pct"/>
            <w:vMerge w:val="restar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34E3D5BD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 xml:space="preserve">Finura </w:t>
            </w:r>
          </w:p>
          <w:p w14:paraId="238B7885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(Resíduo na peneira #400)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B5D62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1,2%</w:t>
            </w:r>
          </w:p>
        </w:tc>
        <w:tc>
          <w:tcPr>
            <w:tcW w:w="100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A54FD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-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B4654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Perda ao fogo (1000ºC)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5C4E0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2,45%</w:t>
            </w:r>
          </w:p>
        </w:tc>
      </w:tr>
      <w:tr w:rsidR="007769C7" w:rsidRPr="00F54080" w14:paraId="1BA645FF" w14:textId="77777777" w:rsidTr="00CC1DD4">
        <w:trPr>
          <w:trHeight w:val="393"/>
        </w:trPr>
        <w:tc>
          <w:tcPr>
            <w:tcW w:w="1509" w:type="pct"/>
            <w:vMerge/>
            <w:tcBorders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6C39AEA5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685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BEDE62D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1004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A43E76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D2748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Perda ao fogo (500ºC)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8DD14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0,87%</w:t>
            </w:r>
          </w:p>
        </w:tc>
      </w:tr>
      <w:tr w:rsidR="007769C7" w:rsidRPr="00F54080" w14:paraId="752298DD" w14:textId="77777777" w:rsidTr="00CC1DD4">
        <w:trPr>
          <w:trHeight w:val="544"/>
        </w:trPr>
        <w:tc>
          <w:tcPr>
            <w:tcW w:w="1509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54D819AF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Tempo de Início de Pega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E2472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158 minutos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8E309" w14:textId="262AC85D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 xml:space="preserve">NBR NM 65 </w:t>
            </w:r>
            <w:sdt>
              <w:sdtPr>
                <w:rPr>
                  <w:iCs/>
                  <w:color w:val="000000"/>
                  <w:sz w:val="20"/>
                </w:rPr>
                <w:id w:val="744765149"/>
                <w:citation/>
              </w:sdtPr>
              <w:sdtContent>
                <w:r w:rsidRPr="007769C7">
                  <w:rPr>
                    <w:iCs/>
                    <w:color w:val="000000"/>
                    <w:sz w:val="20"/>
                  </w:rPr>
                  <w:fldChar w:fldCharType="begin"/>
                </w:r>
                <w:r w:rsidRPr="007769C7">
                  <w:rPr>
                    <w:iCs/>
                    <w:color w:val="000000"/>
                    <w:sz w:val="20"/>
                  </w:rPr>
                  <w:instrText xml:space="preserve"> CITATION ABN02 \l 1046 </w:instrTex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separate"/>
                </w:r>
                <w:r w:rsidR="009C3012" w:rsidRPr="009C3012">
                  <w:rPr>
                    <w:noProof/>
                    <w:color w:val="000000"/>
                    <w:sz w:val="20"/>
                  </w:rPr>
                  <w:t>(ABNT, 2002)</w: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A9DE5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Óxido de alumínio (Al</w:t>
            </w:r>
            <w:r w:rsidRPr="001130FD">
              <w:rPr>
                <w:iCs/>
                <w:color w:val="000000"/>
                <w:sz w:val="20"/>
                <w:vertAlign w:val="subscript"/>
              </w:rPr>
              <w:t>2</w:t>
            </w:r>
            <w:r w:rsidRPr="007769C7">
              <w:rPr>
                <w:iCs/>
                <w:color w:val="000000"/>
                <w:sz w:val="20"/>
              </w:rPr>
              <w:t>O</w:t>
            </w:r>
            <w:r w:rsidRPr="001130FD">
              <w:rPr>
                <w:iCs/>
                <w:color w:val="000000"/>
                <w:sz w:val="20"/>
                <w:vertAlign w:val="subscript"/>
              </w:rPr>
              <w:t>3</w:t>
            </w:r>
            <w:r w:rsidRPr="007769C7">
              <w:rPr>
                <w:iCs/>
                <w:color w:val="000000"/>
                <w:sz w:val="20"/>
              </w:rPr>
              <w:t>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8466E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4,95%</w:t>
            </w:r>
          </w:p>
        </w:tc>
      </w:tr>
      <w:tr w:rsidR="007769C7" w:rsidRPr="00F54080" w14:paraId="79FE7647" w14:textId="77777777" w:rsidTr="00CC1DD4">
        <w:tc>
          <w:tcPr>
            <w:tcW w:w="1509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4B4F4B3F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Expansibilidade a quente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69E8E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0 mm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D924A" w14:textId="1379CB68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 xml:space="preserve">NBR 11582 </w:t>
            </w:r>
            <w:sdt>
              <w:sdtPr>
                <w:rPr>
                  <w:iCs/>
                  <w:color w:val="000000"/>
                  <w:sz w:val="20"/>
                </w:rPr>
                <w:id w:val="1984809934"/>
                <w:citation/>
              </w:sdtPr>
              <w:sdtContent>
                <w:r w:rsidRPr="007769C7">
                  <w:rPr>
                    <w:iCs/>
                    <w:color w:val="000000"/>
                    <w:sz w:val="20"/>
                  </w:rPr>
                  <w:fldChar w:fldCharType="begin"/>
                </w:r>
                <w:r w:rsidRPr="007769C7">
                  <w:rPr>
                    <w:iCs/>
                    <w:color w:val="000000"/>
                    <w:sz w:val="20"/>
                  </w:rPr>
                  <w:instrText xml:space="preserve"> CITATION ABN16 \l 1046 </w:instrTex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separate"/>
                </w:r>
                <w:r w:rsidR="009C3012" w:rsidRPr="009C3012">
                  <w:rPr>
                    <w:noProof/>
                    <w:color w:val="000000"/>
                    <w:sz w:val="20"/>
                  </w:rPr>
                  <w:t>(ABNT, 2016)</w: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1FF84" w14:textId="6597BC15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Óxido de ferro (F</w:t>
            </w:r>
            <w:r w:rsidR="001130FD">
              <w:rPr>
                <w:iCs/>
                <w:color w:val="000000"/>
                <w:sz w:val="20"/>
              </w:rPr>
              <w:t>e</w:t>
            </w:r>
            <w:r w:rsidR="001130FD" w:rsidRPr="001130FD">
              <w:rPr>
                <w:iCs/>
                <w:color w:val="000000"/>
                <w:sz w:val="20"/>
                <w:vertAlign w:val="subscript"/>
              </w:rPr>
              <w:t>2</w:t>
            </w:r>
            <w:r w:rsidR="001130FD" w:rsidRPr="007769C7">
              <w:rPr>
                <w:iCs/>
                <w:color w:val="000000"/>
                <w:sz w:val="20"/>
              </w:rPr>
              <w:t>O</w:t>
            </w:r>
            <w:r w:rsidR="001130FD" w:rsidRPr="001130FD">
              <w:rPr>
                <w:iCs/>
                <w:color w:val="000000"/>
                <w:sz w:val="20"/>
                <w:vertAlign w:val="subscript"/>
              </w:rPr>
              <w:t>3</w:t>
            </w:r>
            <w:r w:rsidRPr="007769C7">
              <w:rPr>
                <w:iCs/>
                <w:color w:val="000000"/>
                <w:sz w:val="20"/>
              </w:rPr>
              <w:t>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45499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2,86%</w:t>
            </w:r>
          </w:p>
        </w:tc>
      </w:tr>
      <w:tr w:rsidR="007769C7" w:rsidRPr="00F54080" w14:paraId="51941457" w14:textId="77777777" w:rsidTr="00CC1DD4">
        <w:tc>
          <w:tcPr>
            <w:tcW w:w="1509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320C7602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 xml:space="preserve">Resistência à compressão </w:t>
            </w:r>
          </w:p>
          <w:p w14:paraId="2317FA14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(1 Dia)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9273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28,9 MPa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C4708" w14:textId="55EB0D6E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 xml:space="preserve">NBR 7215 </w:t>
            </w:r>
            <w:sdt>
              <w:sdtPr>
                <w:rPr>
                  <w:iCs/>
                  <w:color w:val="000000"/>
                  <w:sz w:val="20"/>
                </w:rPr>
                <w:id w:val="322253270"/>
                <w:citation/>
              </w:sdtPr>
              <w:sdtContent>
                <w:r w:rsidRPr="007769C7">
                  <w:rPr>
                    <w:iCs/>
                    <w:color w:val="000000"/>
                    <w:sz w:val="20"/>
                  </w:rPr>
                  <w:fldChar w:fldCharType="begin"/>
                </w:r>
                <w:r w:rsidRPr="007769C7">
                  <w:rPr>
                    <w:iCs/>
                    <w:color w:val="000000"/>
                    <w:sz w:val="20"/>
                  </w:rPr>
                  <w:instrText xml:space="preserve"> CITATION ABN \l 1046 </w:instrTex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separate"/>
                </w:r>
                <w:r w:rsidR="009C3012" w:rsidRPr="009C3012">
                  <w:rPr>
                    <w:noProof/>
                    <w:color w:val="000000"/>
                    <w:sz w:val="20"/>
                  </w:rPr>
                  <w:t>(ABNT, 2019)</w: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DBE0C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Óxido de cálcio (</w:t>
            </w:r>
            <w:proofErr w:type="spellStart"/>
            <w:r w:rsidRPr="007769C7">
              <w:rPr>
                <w:iCs/>
                <w:color w:val="000000"/>
                <w:sz w:val="20"/>
              </w:rPr>
              <w:t>CaO</w:t>
            </w:r>
            <w:proofErr w:type="spellEnd"/>
            <w:r w:rsidRPr="007769C7">
              <w:rPr>
                <w:iCs/>
                <w:color w:val="000000"/>
                <w:sz w:val="20"/>
              </w:rPr>
              <w:t>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986B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63,37%</w:t>
            </w:r>
          </w:p>
        </w:tc>
      </w:tr>
      <w:tr w:rsidR="007769C7" w:rsidRPr="00F54080" w14:paraId="54201DDF" w14:textId="77777777" w:rsidTr="00CC1DD4">
        <w:trPr>
          <w:trHeight w:val="283"/>
        </w:trPr>
        <w:tc>
          <w:tcPr>
            <w:tcW w:w="1509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38DD34C8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Resistência à compressão</w:t>
            </w:r>
          </w:p>
          <w:p w14:paraId="193EBB12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(3 Dias)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B4FEC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38,8 MPa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5D4EB" w14:textId="578E9CE6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 xml:space="preserve">NBR 7215 </w:t>
            </w:r>
            <w:sdt>
              <w:sdtPr>
                <w:rPr>
                  <w:iCs/>
                  <w:color w:val="000000"/>
                  <w:sz w:val="20"/>
                </w:rPr>
                <w:id w:val="81269449"/>
                <w:citation/>
              </w:sdtPr>
              <w:sdtContent>
                <w:r w:rsidRPr="007769C7">
                  <w:rPr>
                    <w:iCs/>
                    <w:color w:val="000000"/>
                    <w:sz w:val="20"/>
                  </w:rPr>
                  <w:fldChar w:fldCharType="begin"/>
                </w:r>
                <w:r w:rsidRPr="007769C7">
                  <w:rPr>
                    <w:iCs/>
                    <w:color w:val="000000"/>
                    <w:sz w:val="20"/>
                  </w:rPr>
                  <w:instrText xml:space="preserve"> CITATION ABN \l 1046 </w:instrTex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separate"/>
                </w:r>
                <w:r w:rsidR="009C3012" w:rsidRPr="009C3012">
                  <w:rPr>
                    <w:noProof/>
                    <w:color w:val="000000"/>
                    <w:sz w:val="20"/>
                  </w:rPr>
                  <w:t>(ABNT, 2019)</w: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62072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Óxido de magnésio</w:t>
            </w:r>
            <w:r w:rsidRPr="007769C7">
              <w:rPr>
                <w:iCs/>
                <w:color w:val="000000"/>
                <w:sz w:val="20"/>
              </w:rPr>
              <w:br/>
              <w:t>(</w:t>
            </w:r>
            <w:proofErr w:type="spellStart"/>
            <w:r w:rsidRPr="007769C7">
              <w:rPr>
                <w:iCs/>
                <w:color w:val="000000"/>
                <w:sz w:val="20"/>
              </w:rPr>
              <w:t>MgO</w:t>
            </w:r>
            <w:proofErr w:type="spellEnd"/>
            <w:r w:rsidRPr="007769C7">
              <w:rPr>
                <w:iCs/>
                <w:color w:val="000000"/>
                <w:sz w:val="20"/>
              </w:rPr>
              <w:t>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7B6E5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3,43%</w:t>
            </w:r>
          </w:p>
        </w:tc>
      </w:tr>
      <w:tr w:rsidR="007769C7" w:rsidRPr="00F54080" w14:paraId="267B66BA" w14:textId="77777777" w:rsidTr="00CC1DD4">
        <w:trPr>
          <w:trHeight w:val="113"/>
        </w:trPr>
        <w:tc>
          <w:tcPr>
            <w:tcW w:w="15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6D411" w14:textId="77777777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Resistência à compressão</w:t>
            </w:r>
          </w:p>
          <w:p w14:paraId="3FA28B22" w14:textId="77777777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lastRenderedPageBreak/>
              <w:t>(7 Dias)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07409" w14:textId="77777777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lastRenderedPageBreak/>
              <w:t>44,6 MPa</w:t>
            </w:r>
          </w:p>
        </w:tc>
        <w:tc>
          <w:tcPr>
            <w:tcW w:w="100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718F" w14:textId="6C39BDD3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 xml:space="preserve">NBR 7215 </w:t>
            </w:r>
            <w:sdt>
              <w:sdtPr>
                <w:rPr>
                  <w:iCs/>
                  <w:color w:val="000000"/>
                  <w:sz w:val="20"/>
                </w:rPr>
                <w:id w:val="-1397433754"/>
                <w:citation/>
              </w:sdtPr>
              <w:sdtContent>
                <w:r w:rsidRPr="007769C7">
                  <w:rPr>
                    <w:iCs/>
                    <w:color w:val="000000"/>
                    <w:sz w:val="20"/>
                  </w:rPr>
                  <w:fldChar w:fldCharType="begin"/>
                </w:r>
                <w:r w:rsidRPr="007769C7">
                  <w:rPr>
                    <w:iCs/>
                    <w:color w:val="000000"/>
                    <w:sz w:val="20"/>
                  </w:rPr>
                  <w:instrText xml:space="preserve"> CITATION ABN \l 1046 </w:instrTex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separate"/>
                </w:r>
                <w:r w:rsidR="009C3012" w:rsidRPr="009C3012">
                  <w:rPr>
                    <w:noProof/>
                    <w:color w:val="000000"/>
                    <w:sz w:val="20"/>
                  </w:rPr>
                  <w:t>(ABNT, 2019)</w: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15132" w14:textId="4CBF7F94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Óxido sulfúrico (S</w:t>
            </w:r>
            <w:r w:rsidR="001130FD" w:rsidRPr="007769C7">
              <w:rPr>
                <w:iCs/>
                <w:color w:val="000000"/>
                <w:sz w:val="20"/>
              </w:rPr>
              <w:t>O</w:t>
            </w:r>
            <w:r w:rsidR="001130FD" w:rsidRPr="001130FD">
              <w:rPr>
                <w:iCs/>
                <w:color w:val="000000"/>
                <w:sz w:val="20"/>
                <w:vertAlign w:val="subscript"/>
              </w:rPr>
              <w:t>3</w:t>
            </w:r>
            <w:r w:rsidRPr="007769C7">
              <w:rPr>
                <w:iCs/>
                <w:color w:val="000000"/>
                <w:sz w:val="20"/>
              </w:rPr>
              <w:t>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4A144" w14:textId="77777777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1,5%</w:t>
            </w:r>
          </w:p>
        </w:tc>
      </w:tr>
      <w:tr w:rsidR="007769C7" w:rsidRPr="00F54080" w14:paraId="424744F3" w14:textId="77777777" w:rsidTr="007769C7">
        <w:trPr>
          <w:trHeight w:val="296"/>
        </w:trPr>
        <w:tc>
          <w:tcPr>
            <w:tcW w:w="15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0A9D0" w14:textId="77777777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68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F6BE6" w14:textId="77777777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100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4081" w14:textId="77777777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668B6" w14:textId="77777777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Óxido de potássio (K</w:t>
            </w:r>
            <w:r w:rsidRPr="001130FD">
              <w:rPr>
                <w:iCs/>
                <w:color w:val="000000"/>
                <w:sz w:val="20"/>
                <w:vertAlign w:val="subscript"/>
              </w:rPr>
              <w:t>2</w:t>
            </w:r>
            <w:r w:rsidRPr="007769C7">
              <w:rPr>
                <w:iCs/>
                <w:color w:val="000000"/>
                <w:sz w:val="20"/>
              </w:rPr>
              <w:t>O)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BCB69" w14:textId="77777777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0,89%</w:t>
            </w:r>
          </w:p>
        </w:tc>
      </w:tr>
      <w:tr w:rsidR="007769C7" w:rsidRPr="00F54080" w14:paraId="2D6D53AC" w14:textId="77777777" w:rsidTr="00CC1DD4">
        <w:trPr>
          <w:trHeight w:val="20"/>
        </w:trPr>
        <w:tc>
          <w:tcPr>
            <w:tcW w:w="150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32CF4E5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Resistência à compressão (28 Dias)</w:t>
            </w:r>
          </w:p>
        </w:tc>
        <w:tc>
          <w:tcPr>
            <w:tcW w:w="685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BBCE22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51,4 MPa</w:t>
            </w:r>
          </w:p>
        </w:tc>
        <w:tc>
          <w:tcPr>
            <w:tcW w:w="1004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5DFB921" w14:textId="2F96E3E0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 xml:space="preserve">NBR 7215 </w:t>
            </w:r>
            <w:sdt>
              <w:sdtPr>
                <w:rPr>
                  <w:iCs/>
                  <w:color w:val="000000"/>
                  <w:sz w:val="20"/>
                </w:rPr>
                <w:id w:val="61841382"/>
                <w:citation/>
              </w:sdtPr>
              <w:sdtContent>
                <w:r w:rsidRPr="007769C7">
                  <w:rPr>
                    <w:iCs/>
                    <w:color w:val="000000"/>
                    <w:sz w:val="20"/>
                  </w:rPr>
                  <w:fldChar w:fldCharType="begin"/>
                </w:r>
                <w:r w:rsidRPr="007769C7">
                  <w:rPr>
                    <w:iCs/>
                    <w:color w:val="000000"/>
                    <w:sz w:val="20"/>
                  </w:rPr>
                  <w:instrText xml:space="preserve"> CITATION ABN \l 1046 </w:instrTex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separate"/>
                </w:r>
                <w:r w:rsidR="009C3012" w:rsidRPr="009C3012">
                  <w:rPr>
                    <w:noProof/>
                    <w:color w:val="000000"/>
                    <w:sz w:val="20"/>
                  </w:rPr>
                  <w:t>(ABNT, 2019)</w:t>
                </w:r>
                <w:r w:rsidRPr="007769C7">
                  <w:rPr>
                    <w:iCs/>
                    <w:color w:val="000000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E0B78" w14:textId="4D8256E0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Dióxido de silício (SiO</w:t>
            </w:r>
            <w:r w:rsidR="001130FD" w:rsidRPr="001130FD">
              <w:rPr>
                <w:iCs/>
                <w:color w:val="000000"/>
                <w:sz w:val="20"/>
                <w:vertAlign w:val="subscript"/>
              </w:rPr>
              <w:t>2</w:t>
            </w:r>
            <w:r w:rsidRPr="007769C7">
              <w:rPr>
                <w:iCs/>
                <w:color w:val="000000"/>
                <w:sz w:val="20"/>
              </w:rPr>
              <w:t>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C466" w14:textId="77777777" w:rsidR="007769C7" w:rsidRPr="007769C7" w:rsidRDefault="007769C7" w:rsidP="00CC1DD4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21,07%</w:t>
            </w:r>
          </w:p>
        </w:tc>
      </w:tr>
      <w:tr w:rsidR="007769C7" w:rsidRPr="00F54080" w14:paraId="6A0CA622" w14:textId="77777777" w:rsidTr="007769C7">
        <w:trPr>
          <w:trHeight w:val="296"/>
        </w:trPr>
        <w:tc>
          <w:tcPr>
            <w:tcW w:w="1509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2FC66C" w14:textId="77777777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68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DC0E61" w14:textId="77777777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1004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205D5A" w14:textId="77777777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AA35CA" w14:textId="203F76C8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Dióxido de carbono</w:t>
            </w:r>
            <w:r w:rsidRPr="007769C7">
              <w:rPr>
                <w:iCs/>
                <w:color w:val="000000"/>
                <w:sz w:val="20"/>
              </w:rPr>
              <w:br/>
              <w:t>(CO</w:t>
            </w:r>
            <w:r w:rsidR="001130FD" w:rsidRPr="001130FD">
              <w:rPr>
                <w:iCs/>
                <w:color w:val="000000"/>
                <w:sz w:val="20"/>
                <w:vertAlign w:val="subscript"/>
              </w:rPr>
              <w:t>2</w:t>
            </w:r>
            <w:r w:rsidRPr="007769C7">
              <w:rPr>
                <w:iCs/>
                <w:color w:val="000000"/>
                <w:sz w:val="20"/>
              </w:rPr>
              <w:t>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DE6D1C" w14:textId="77777777" w:rsidR="007769C7" w:rsidRPr="007769C7" w:rsidRDefault="007769C7" w:rsidP="007769C7">
            <w:pPr>
              <w:jc w:val="center"/>
              <w:rPr>
                <w:iCs/>
                <w:color w:val="000000"/>
                <w:sz w:val="20"/>
              </w:rPr>
            </w:pPr>
            <w:r w:rsidRPr="007769C7">
              <w:rPr>
                <w:iCs/>
                <w:color w:val="000000"/>
                <w:sz w:val="20"/>
              </w:rPr>
              <w:t>0%</w:t>
            </w:r>
          </w:p>
        </w:tc>
      </w:tr>
    </w:tbl>
    <w:p w14:paraId="024E53D3" w14:textId="77777777" w:rsidR="007769C7" w:rsidRPr="007769C7" w:rsidRDefault="007769C7" w:rsidP="007769C7">
      <w:pPr>
        <w:spacing w:after="240"/>
        <w:ind w:firstLine="360"/>
        <w:rPr>
          <w:sz w:val="20"/>
        </w:rPr>
      </w:pPr>
      <w:bookmarkStart w:id="3" w:name="_Hlk165909171"/>
      <w:r w:rsidRPr="007769C7">
        <w:rPr>
          <w:sz w:val="20"/>
        </w:rPr>
        <w:t>Fonte:</w:t>
      </w:r>
      <w:bookmarkEnd w:id="3"/>
      <w:r w:rsidRPr="007769C7">
        <w:rPr>
          <w:sz w:val="20"/>
        </w:rPr>
        <w:t xml:space="preserve"> </w:t>
      </w:r>
      <w:proofErr w:type="spellStart"/>
      <w:r w:rsidRPr="007769C7">
        <w:rPr>
          <w:sz w:val="20"/>
        </w:rPr>
        <w:t>Holcim</w:t>
      </w:r>
      <w:proofErr w:type="spellEnd"/>
      <w:r w:rsidRPr="007769C7">
        <w:rPr>
          <w:sz w:val="20"/>
        </w:rPr>
        <w:t xml:space="preserve"> do Brasil S.A (2023).</w:t>
      </w:r>
    </w:p>
    <w:p w14:paraId="4E9A083F" w14:textId="77777777" w:rsidR="007769C7" w:rsidRPr="00F54080" w:rsidRDefault="007769C7" w:rsidP="007769C7">
      <w:pPr>
        <w:pBdr>
          <w:top w:val="nil"/>
          <w:left w:val="nil"/>
          <w:bottom w:val="nil"/>
          <w:right w:val="nil"/>
          <w:between w:val="nil"/>
        </w:pBdr>
        <w:ind w:left="-1418" w:firstLine="1418"/>
        <w:rPr>
          <w:color w:val="000000"/>
          <w:sz w:val="18"/>
          <w:szCs w:val="18"/>
        </w:rPr>
      </w:pPr>
    </w:p>
    <w:p w14:paraId="11F28798" w14:textId="39BBE35C" w:rsidR="007769C7" w:rsidRDefault="007769C7" w:rsidP="007769C7">
      <w:pPr>
        <w:spacing w:after="120"/>
        <w:ind w:firstLine="360"/>
        <w:rPr>
          <w:szCs w:val="24"/>
        </w:rPr>
      </w:pPr>
      <w:r w:rsidRPr="007769C7">
        <w:rPr>
          <w:szCs w:val="24"/>
        </w:rPr>
        <w:t xml:space="preserve">A Vermiculita do Brasil informa que a vermiculita padrão </w:t>
      </w:r>
      <w:proofErr w:type="spellStart"/>
      <w:r w:rsidRPr="007769C7">
        <w:rPr>
          <w:szCs w:val="24"/>
        </w:rPr>
        <w:t>Izo-Flok</w:t>
      </w:r>
      <w:proofErr w:type="spellEnd"/>
      <w:r w:rsidRPr="007769C7">
        <w:rPr>
          <w:szCs w:val="24"/>
        </w:rPr>
        <w:t xml:space="preserve"> possui estado sólido granulado, com pH neutro e ponto de 1350°C, sua densidade é de 80 a 130 kg/m³, é um material não combustível e de composição química contendo silicato hidratado de alumínio, magnésio, ferro, cálcio e potássio. Por sua vez, </w:t>
      </w:r>
      <w:proofErr w:type="spellStart"/>
      <w:r w:rsidRPr="007769C7">
        <w:rPr>
          <w:szCs w:val="24"/>
        </w:rPr>
        <w:t>Tecnosil</w:t>
      </w:r>
      <w:proofErr w:type="spellEnd"/>
      <w:r w:rsidRPr="007769C7">
        <w:rPr>
          <w:szCs w:val="24"/>
        </w:rPr>
        <w:t xml:space="preserve"> informa que a sílica ativa possui formato esférico e massa específica de 2220 Kg/m³, com teor de SiO</w:t>
      </w:r>
      <w:r w:rsidR="00061706" w:rsidRPr="00061706">
        <w:rPr>
          <w:szCs w:val="24"/>
          <w:vertAlign w:val="subscript"/>
        </w:rPr>
        <w:t>2</w:t>
      </w:r>
      <w:r w:rsidRPr="007769C7">
        <w:rPr>
          <w:szCs w:val="24"/>
        </w:rPr>
        <w:t xml:space="preserve"> superior a 90% e superfície específica de 19.000 m²/Kg. </w:t>
      </w:r>
    </w:p>
    <w:p w14:paraId="5722A996" w14:textId="77777777" w:rsidR="007769C7" w:rsidRPr="007769C7" w:rsidRDefault="007769C7" w:rsidP="007769C7">
      <w:pPr>
        <w:spacing w:after="120"/>
        <w:ind w:firstLine="360"/>
        <w:rPr>
          <w:szCs w:val="24"/>
        </w:rPr>
      </w:pPr>
      <w:r w:rsidRPr="007769C7">
        <w:rPr>
          <w:szCs w:val="24"/>
        </w:rPr>
        <w:t xml:space="preserve">Foram confeccionadas 3 dosagens de concretos distintos, com classe de resistência de projeto em temperatura ambiente (TA) sendo 35 (C35), 50 (C50) e 70 MPa (C70). O concreto de referência possui a sigla CR seguido do valor de resistência de projeto em MPa. De forma análoga, os concretos com vermiculitas são identificados como CV, onde 25% da areia é substituída por vermiculita em relação ao concreto de referência. As </w:t>
      </w:r>
      <w:r w:rsidRPr="007769C7">
        <w:rPr>
          <w:szCs w:val="24"/>
        </w:rPr>
        <w:fldChar w:fldCharType="begin"/>
      </w:r>
      <w:r w:rsidRPr="007769C7">
        <w:rPr>
          <w:szCs w:val="24"/>
        </w:rPr>
        <w:instrText xml:space="preserve"> REF _Ref165909994 \h  \* MERGEFORMAT </w:instrText>
      </w:r>
      <w:r w:rsidRPr="007769C7">
        <w:rPr>
          <w:szCs w:val="24"/>
        </w:rPr>
      </w:r>
      <w:r w:rsidRPr="007769C7">
        <w:rPr>
          <w:szCs w:val="24"/>
        </w:rPr>
        <w:fldChar w:fldCharType="separate"/>
      </w:r>
      <w:r w:rsidRPr="007769C7">
        <w:rPr>
          <w:szCs w:val="24"/>
        </w:rPr>
        <w:t>Tabelas 3</w:t>
      </w:r>
      <w:r w:rsidRPr="007769C7">
        <w:rPr>
          <w:szCs w:val="24"/>
        </w:rPr>
        <w:fldChar w:fldCharType="end"/>
      </w:r>
      <w:r w:rsidRPr="007769C7">
        <w:rPr>
          <w:szCs w:val="24"/>
        </w:rPr>
        <w:fldChar w:fldCharType="begin"/>
      </w:r>
      <w:r w:rsidRPr="007769C7">
        <w:rPr>
          <w:szCs w:val="24"/>
        </w:rPr>
        <w:instrText xml:space="preserve"> REF _Ref162793351 \h  \* MERGEFORMAT </w:instrText>
      </w:r>
      <w:r w:rsidRPr="007769C7">
        <w:rPr>
          <w:szCs w:val="24"/>
        </w:rPr>
      </w:r>
      <w:r w:rsidRPr="007769C7">
        <w:rPr>
          <w:szCs w:val="24"/>
        </w:rPr>
        <w:fldChar w:fldCharType="separate"/>
      </w:r>
      <w:r w:rsidRPr="007769C7">
        <w:rPr>
          <w:szCs w:val="24"/>
        </w:rPr>
        <w:t xml:space="preserve"> e 4</w:t>
      </w:r>
      <w:r w:rsidRPr="007769C7">
        <w:rPr>
          <w:szCs w:val="24"/>
        </w:rPr>
        <w:fldChar w:fldCharType="end"/>
      </w:r>
      <w:r w:rsidRPr="007769C7">
        <w:rPr>
          <w:szCs w:val="24"/>
        </w:rPr>
        <w:t xml:space="preserve"> apresentam os traços adotados, em massa.</w:t>
      </w:r>
    </w:p>
    <w:p w14:paraId="67D0C013" w14:textId="77777777" w:rsidR="007769C7" w:rsidRPr="007769C7" w:rsidRDefault="007769C7" w:rsidP="007769C7">
      <w:pPr>
        <w:spacing w:before="240" w:after="240"/>
        <w:jc w:val="center"/>
        <w:rPr>
          <w:color w:val="000000"/>
          <w:sz w:val="20"/>
        </w:rPr>
      </w:pPr>
      <w:bookmarkStart w:id="4" w:name="_Ref165909994"/>
      <w:r w:rsidRPr="007769C7">
        <w:rPr>
          <w:color w:val="000000"/>
          <w:sz w:val="20"/>
        </w:rPr>
        <w:t xml:space="preserve">Tabela </w:t>
      </w:r>
      <w:r w:rsidRPr="007769C7">
        <w:rPr>
          <w:color w:val="000000"/>
          <w:sz w:val="20"/>
        </w:rPr>
        <w:fldChar w:fldCharType="begin"/>
      </w:r>
      <w:r w:rsidRPr="007769C7">
        <w:rPr>
          <w:color w:val="000000"/>
          <w:sz w:val="20"/>
        </w:rPr>
        <w:instrText xml:space="preserve"> SEQ Tabela \* ARABIC </w:instrText>
      </w:r>
      <w:r w:rsidRPr="007769C7">
        <w:rPr>
          <w:color w:val="000000"/>
          <w:sz w:val="20"/>
        </w:rPr>
        <w:fldChar w:fldCharType="separate"/>
      </w:r>
      <w:r w:rsidRPr="007769C7">
        <w:rPr>
          <w:color w:val="000000"/>
          <w:sz w:val="20"/>
        </w:rPr>
        <w:t>3</w:t>
      </w:r>
      <w:r w:rsidRPr="007769C7">
        <w:rPr>
          <w:color w:val="000000"/>
          <w:sz w:val="20"/>
        </w:rPr>
        <w:fldChar w:fldCharType="end"/>
      </w:r>
      <w:bookmarkEnd w:id="4"/>
      <w:r w:rsidRPr="007769C7">
        <w:rPr>
          <w:color w:val="000000"/>
          <w:sz w:val="20"/>
        </w:rPr>
        <w:t>: Traço de classes 35 e 50 MPa</w:t>
      </w:r>
    </w:p>
    <w:tbl>
      <w:tblPr>
        <w:tblW w:w="509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058"/>
        <w:gridCol w:w="1058"/>
        <w:gridCol w:w="992"/>
        <w:gridCol w:w="1278"/>
        <w:gridCol w:w="68"/>
        <w:gridCol w:w="690"/>
        <w:gridCol w:w="754"/>
        <w:gridCol w:w="1059"/>
        <w:gridCol w:w="1529"/>
      </w:tblGrid>
      <w:tr w:rsidR="007769C7" w:rsidRPr="007769C7" w14:paraId="26B32820" w14:textId="77777777" w:rsidTr="007769C7">
        <w:trPr>
          <w:trHeight w:val="315"/>
        </w:trPr>
        <w:tc>
          <w:tcPr>
            <w:tcW w:w="409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77E9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Traço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0BC6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Cimento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7482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Areia Artificial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874C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Areia Natural</w:t>
            </w:r>
          </w:p>
        </w:tc>
        <w:tc>
          <w:tcPr>
            <w:tcW w:w="72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7A47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Vermiculita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BF73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Brita 0</w:t>
            </w:r>
          </w:p>
        </w:tc>
        <w:tc>
          <w:tcPr>
            <w:tcW w:w="40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6774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Brita 1</w:t>
            </w:r>
          </w:p>
        </w:tc>
        <w:tc>
          <w:tcPr>
            <w:tcW w:w="5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D4B0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Fator Água / Cimento</w:t>
            </w:r>
          </w:p>
        </w:tc>
        <w:tc>
          <w:tcPr>
            <w:tcW w:w="827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02E0B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Aditivo plastificante/super (%)</w:t>
            </w:r>
          </w:p>
        </w:tc>
      </w:tr>
      <w:tr w:rsidR="007769C7" w:rsidRPr="007769C7" w14:paraId="4A3281E4" w14:textId="77777777" w:rsidTr="00CC1DD4">
        <w:trPr>
          <w:trHeight w:val="58"/>
        </w:trPr>
        <w:tc>
          <w:tcPr>
            <w:tcW w:w="409" w:type="pc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42171C15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CR35</w:t>
            </w:r>
          </w:p>
        </w:tc>
        <w:tc>
          <w:tcPr>
            <w:tcW w:w="57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1DE9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23AD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0,644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67E2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1,933</w:t>
            </w:r>
          </w:p>
        </w:tc>
        <w:tc>
          <w:tcPr>
            <w:tcW w:w="6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203D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0,000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CDE2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0,914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052E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2,133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AAC0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0,52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656F4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0,50 / 0,15</w:t>
            </w:r>
          </w:p>
        </w:tc>
      </w:tr>
      <w:tr w:rsidR="007769C7" w:rsidRPr="007769C7" w14:paraId="7B132F1F" w14:textId="77777777" w:rsidTr="00CC1DD4">
        <w:trPr>
          <w:trHeight w:val="68"/>
        </w:trPr>
        <w:tc>
          <w:tcPr>
            <w:tcW w:w="409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EADEAF6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CV35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411B9EC2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5BA64594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0,644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4C81516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1,450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5ADDAA0F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0,083</w:t>
            </w:r>
          </w:p>
        </w:tc>
        <w:tc>
          <w:tcPr>
            <w:tcW w:w="410" w:type="pct"/>
            <w:gridSpan w:val="2"/>
            <w:shd w:val="clear" w:color="auto" w:fill="auto"/>
            <w:noWrap/>
            <w:vAlign w:val="center"/>
            <w:hideMark/>
          </w:tcPr>
          <w:p w14:paraId="04D1DCB7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0,914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020D151A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2,133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AEF37E6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0,52</w:t>
            </w:r>
          </w:p>
        </w:tc>
        <w:tc>
          <w:tcPr>
            <w:tcW w:w="827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564047E6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0,50 / 0,15</w:t>
            </w:r>
          </w:p>
        </w:tc>
      </w:tr>
      <w:tr w:rsidR="007769C7" w:rsidRPr="007769C7" w14:paraId="5CB45655" w14:textId="77777777" w:rsidTr="00CC1DD4">
        <w:trPr>
          <w:trHeight w:val="68"/>
        </w:trPr>
        <w:tc>
          <w:tcPr>
            <w:tcW w:w="409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A03C009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CR50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6CEAD1D7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07810445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0,436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7B8D728D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1,307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7C7080DB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0,000</w:t>
            </w:r>
          </w:p>
        </w:tc>
        <w:tc>
          <w:tcPr>
            <w:tcW w:w="410" w:type="pct"/>
            <w:gridSpan w:val="2"/>
            <w:shd w:val="clear" w:color="auto" w:fill="auto"/>
            <w:noWrap/>
            <w:vAlign w:val="center"/>
            <w:hideMark/>
          </w:tcPr>
          <w:p w14:paraId="030C58A9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0,701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0BB1EBB1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1,635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3ABA3CB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0,38</w:t>
            </w:r>
          </w:p>
        </w:tc>
        <w:tc>
          <w:tcPr>
            <w:tcW w:w="827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2AB77FF3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0,50 / 0,25</w:t>
            </w:r>
          </w:p>
        </w:tc>
      </w:tr>
      <w:tr w:rsidR="007769C7" w:rsidRPr="007769C7" w14:paraId="7F652EC3" w14:textId="77777777" w:rsidTr="007769C7">
        <w:trPr>
          <w:trHeight w:val="68"/>
        </w:trPr>
        <w:tc>
          <w:tcPr>
            <w:tcW w:w="409" w:type="pct"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0D88B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CV50</w:t>
            </w:r>
          </w:p>
        </w:tc>
        <w:tc>
          <w:tcPr>
            <w:tcW w:w="5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001EB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</w:t>
            </w:r>
          </w:p>
        </w:tc>
        <w:tc>
          <w:tcPr>
            <w:tcW w:w="5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3681C5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0,436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D1D89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0,980</w:t>
            </w:r>
          </w:p>
        </w:tc>
        <w:tc>
          <w:tcPr>
            <w:tcW w:w="69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02E8BD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0,056</w:t>
            </w:r>
          </w:p>
        </w:tc>
        <w:tc>
          <w:tcPr>
            <w:tcW w:w="410" w:type="pct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A75794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0,701</w:t>
            </w:r>
          </w:p>
        </w:tc>
        <w:tc>
          <w:tcPr>
            <w:tcW w:w="4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D79617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1,635</w:t>
            </w:r>
          </w:p>
        </w:tc>
        <w:tc>
          <w:tcPr>
            <w:tcW w:w="57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5DB95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0,38</w:t>
            </w:r>
          </w:p>
        </w:tc>
        <w:tc>
          <w:tcPr>
            <w:tcW w:w="827" w:type="pct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1E593D6" w14:textId="77777777" w:rsidR="007769C7" w:rsidRPr="007769C7" w:rsidRDefault="007769C7" w:rsidP="00CC1DD4">
            <w:pPr>
              <w:keepNext/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0,50 / 0,25</w:t>
            </w:r>
          </w:p>
        </w:tc>
      </w:tr>
    </w:tbl>
    <w:p w14:paraId="67BFED9E" w14:textId="1107D483" w:rsidR="007769C7" w:rsidRPr="007769C7" w:rsidRDefault="007769C7" w:rsidP="007769C7">
      <w:pPr>
        <w:spacing w:after="240"/>
        <w:ind w:firstLine="360"/>
        <w:rPr>
          <w:sz w:val="20"/>
        </w:rPr>
      </w:pPr>
      <w:r w:rsidRPr="007769C7">
        <w:rPr>
          <w:sz w:val="20"/>
        </w:rPr>
        <w:t>Fonte: Autores (202</w:t>
      </w:r>
      <w:r>
        <w:rPr>
          <w:sz w:val="20"/>
        </w:rPr>
        <w:t>5</w:t>
      </w:r>
      <w:r w:rsidRPr="007769C7">
        <w:rPr>
          <w:sz w:val="20"/>
        </w:rPr>
        <w:t>)</w:t>
      </w:r>
    </w:p>
    <w:p w14:paraId="490BAD20" w14:textId="77777777" w:rsidR="007769C7" w:rsidRPr="007769C7" w:rsidRDefault="007769C7" w:rsidP="007769C7">
      <w:pPr>
        <w:spacing w:before="240" w:after="240"/>
        <w:jc w:val="center"/>
        <w:rPr>
          <w:color w:val="000000"/>
          <w:sz w:val="20"/>
        </w:rPr>
      </w:pPr>
      <w:bookmarkStart w:id="5" w:name="_Ref162793351"/>
      <w:r w:rsidRPr="007769C7">
        <w:rPr>
          <w:color w:val="000000"/>
          <w:sz w:val="20"/>
        </w:rPr>
        <w:t xml:space="preserve">Tabela </w:t>
      </w:r>
      <w:r w:rsidRPr="007769C7">
        <w:rPr>
          <w:color w:val="000000"/>
          <w:sz w:val="20"/>
        </w:rPr>
        <w:fldChar w:fldCharType="begin"/>
      </w:r>
      <w:r w:rsidRPr="007769C7">
        <w:rPr>
          <w:color w:val="000000"/>
          <w:sz w:val="20"/>
        </w:rPr>
        <w:instrText xml:space="preserve"> SEQ Tabela \* ARABIC </w:instrText>
      </w:r>
      <w:r w:rsidRPr="007769C7">
        <w:rPr>
          <w:color w:val="000000"/>
          <w:sz w:val="20"/>
        </w:rPr>
        <w:fldChar w:fldCharType="separate"/>
      </w:r>
      <w:r w:rsidRPr="007769C7">
        <w:rPr>
          <w:color w:val="000000"/>
          <w:sz w:val="20"/>
        </w:rPr>
        <w:t>4</w:t>
      </w:r>
      <w:r w:rsidRPr="007769C7">
        <w:rPr>
          <w:color w:val="000000"/>
          <w:sz w:val="20"/>
        </w:rPr>
        <w:fldChar w:fldCharType="end"/>
      </w:r>
      <w:bookmarkEnd w:id="5"/>
      <w:r w:rsidRPr="007769C7">
        <w:rPr>
          <w:color w:val="000000"/>
          <w:sz w:val="20"/>
        </w:rPr>
        <w:t>: Traço de classe 70 MPa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058"/>
        <w:gridCol w:w="1058"/>
        <w:gridCol w:w="1361"/>
        <w:gridCol w:w="755"/>
        <w:gridCol w:w="1363"/>
        <w:gridCol w:w="1361"/>
        <w:gridCol w:w="1359"/>
      </w:tblGrid>
      <w:tr w:rsidR="007769C7" w:rsidRPr="007769C7" w14:paraId="039D039B" w14:textId="77777777" w:rsidTr="007769C7">
        <w:trPr>
          <w:trHeight w:val="315"/>
          <w:jc w:val="center"/>
        </w:trPr>
        <w:tc>
          <w:tcPr>
            <w:tcW w:w="417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7F96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Traço</w:t>
            </w:r>
          </w:p>
        </w:tc>
        <w:tc>
          <w:tcPr>
            <w:tcW w:w="58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8AF7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Cimento</w:t>
            </w:r>
          </w:p>
        </w:tc>
        <w:tc>
          <w:tcPr>
            <w:tcW w:w="58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E7AA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Areia Natural</w:t>
            </w:r>
          </w:p>
        </w:tc>
        <w:tc>
          <w:tcPr>
            <w:tcW w:w="75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5EF7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Vermiculita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0D77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Brita 0</w:t>
            </w:r>
          </w:p>
        </w:tc>
        <w:tc>
          <w:tcPr>
            <w:tcW w:w="75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38A4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Fator Água / Cimento</w:t>
            </w:r>
          </w:p>
        </w:tc>
        <w:tc>
          <w:tcPr>
            <w:tcW w:w="75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BE13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Aditivo plastificante/super (%)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9B838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Sílica Ativa (%)</w:t>
            </w:r>
          </w:p>
        </w:tc>
      </w:tr>
      <w:tr w:rsidR="007769C7" w:rsidRPr="007769C7" w14:paraId="6B82A705" w14:textId="77777777" w:rsidTr="00CC1DD4">
        <w:trPr>
          <w:trHeight w:val="315"/>
          <w:jc w:val="center"/>
        </w:trPr>
        <w:tc>
          <w:tcPr>
            <w:tcW w:w="417" w:type="pc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399FFAD2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CR70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15E4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B03B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1,175</w:t>
            </w:r>
          </w:p>
        </w:tc>
        <w:tc>
          <w:tcPr>
            <w:tcW w:w="7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B08F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0,000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31CB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1,819</w:t>
            </w:r>
          </w:p>
        </w:tc>
        <w:tc>
          <w:tcPr>
            <w:tcW w:w="7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1C66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0,40</w:t>
            </w:r>
          </w:p>
        </w:tc>
        <w:tc>
          <w:tcPr>
            <w:tcW w:w="7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655F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0,50/0,25</w:t>
            </w:r>
          </w:p>
        </w:tc>
        <w:tc>
          <w:tcPr>
            <w:tcW w:w="749" w:type="pc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7D212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12</w:t>
            </w:r>
          </w:p>
        </w:tc>
      </w:tr>
      <w:tr w:rsidR="007769C7" w:rsidRPr="007769C7" w14:paraId="1480AD3E" w14:textId="77777777" w:rsidTr="007769C7">
        <w:trPr>
          <w:trHeight w:val="315"/>
          <w:jc w:val="center"/>
        </w:trPr>
        <w:tc>
          <w:tcPr>
            <w:tcW w:w="417" w:type="pct"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E6AA6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CV70</w:t>
            </w:r>
          </w:p>
        </w:tc>
        <w:tc>
          <w:tcPr>
            <w:tcW w:w="58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5E1148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</w:t>
            </w:r>
          </w:p>
        </w:tc>
        <w:tc>
          <w:tcPr>
            <w:tcW w:w="58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9F317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0,881</w:t>
            </w:r>
          </w:p>
        </w:tc>
        <w:tc>
          <w:tcPr>
            <w:tcW w:w="7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F7D9E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0,050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02DC16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1,819</w:t>
            </w:r>
          </w:p>
        </w:tc>
        <w:tc>
          <w:tcPr>
            <w:tcW w:w="75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1E89F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0,40</w:t>
            </w:r>
          </w:p>
        </w:tc>
        <w:tc>
          <w:tcPr>
            <w:tcW w:w="7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05F12F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0,50/0,25</w:t>
            </w:r>
          </w:p>
        </w:tc>
        <w:tc>
          <w:tcPr>
            <w:tcW w:w="749" w:type="pct"/>
            <w:tcBorders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24E40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12</w:t>
            </w:r>
          </w:p>
        </w:tc>
      </w:tr>
    </w:tbl>
    <w:p w14:paraId="5054EE27" w14:textId="6A1C0DEA" w:rsidR="00BE2F88" w:rsidRDefault="007769C7" w:rsidP="007769C7">
      <w:pPr>
        <w:spacing w:after="240"/>
        <w:ind w:firstLine="360"/>
        <w:rPr>
          <w:sz w:val="20"/>
        </w:rPr>
      </w:pPr>
      <w:r w:rsidRPr="007769C7">
        <w:rPr>
          <w:sz w:val="20"/>
        </w:rPr>
        <w:t>Fonte: Autores (202</w:t>
      </w:r>
      <w:r>
        <w:rPr>
          <w:sz w:val="20"/>
        </w:rPr>
        <w:t>5</w:t>
      </w:r>
      <w:r w:rsidRPr="007769C7">
        <w:rPr>
          <w:sz w:val="20"/>
        </w:rPr>
        <w:t>)</w:t>
      </w:r>
    </w:p>
    <w:p w14:paraId="561DC8E3" w14:textId="116F272C" w:rsidR="007769C7" w:rsidRDefault="007769C7">
      <w:pPr>
        <w:jc w:val="left"/>
        <w:rPr>
          <w:sz w:val="20"/>
        </w:rPr>
      </w:pPr>
    </w:p>
    <w:p w14:paraId="12A0F616" w14:textId="782A223D" w:rsidR="007769C7" w:rsidRPr="00061706" w:rsidRDefault="00BE2F88" w:rsidP="00061706">
      <w:pPr>
        <w:pStyle w:val="Subttulo"/>
        <w:numPr>
          <w:ilvl w:val="1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ab/>
        <w:t>Métodos</w:t>
      </w:r>
    </w:p>
    <w:p w14:paraId="2F5CD4AE" w14:textId="40234A4D" w:rsidR="007769C7" w:rsidRPr="007769C7" w:rsidRDefault="007769C7" w:rsidP="00061706">
      <w:pPr>
        <w:spacing w:after="120"/>
        <w:ind w:firstLine="360"/>
        <w:rPr>
          <w:szCs w:val="24"/>
        </w:rPr>
      </w:pPr>
      <w:r w:rsidRPr="007769C7">
        <w:rPr>
          <w:szCs w:val="24"/>
        </w:rPr>
        <w:t xml:space="preserve">O plano de amostragem adotado prevê a confecção de 52 corpos de prova (CP) para cada tipo de concreto, totalizando 312 </w:t>
      </w:r>
      <w:proofErr w:type="spellStart"/>
      <w:r w:rsidRPr="007769C7">
        <w:rPr>
          <w:szCs w:val="24"/>
        </w:rPr>
        <w:t>CPs</w:t>
      </w:r>
      <w:proofErr w:type="spellEnd"/>
      <w:r w:rsidRPr="007769C7">
        <w:rPr>
          <w:szCs w:val="24"/>
        </w:rPr>
        <w:t xml:space="preserve">. O </w:t>
      </w:r>
      <w:r w:rsidR="00010958">
        <w:rPr>
          <w:szCs w:val="24"/>
        </w:rPr>
        <w:t>p</w:t>
      </w:r>
      <w:r w:rsidRPr="007769C7">
        <w:rPr>
          <w:szCs w:val="24"/>
        </w:rPr>
        <w:t xml:space="preserve">lano de amostragem em relação aos ensaios mecânicos realizados e a temperatura de análise é apresentado na </w:t>
      </w:r>
      <w:r w:rsidRPr="007769C7">
        <w:rPr>
          <w:szCs w:val="24"/>
        </w:rPr>
        <w:fldChar w:fldCharType="begin"/>
      </w:r>
      <w:r w:rsidRPr="007769C7">
        <w:rPr>
          <w:szCs w:val="24"/>
        </w:rPr>
        <w:instrText xml:space="preserve"> REF _Ref162795157  \* MERGEFORMAT </w:instrText>
      </w:r>
      <w:r w:rsidRPr="007769C7">
        <w:rPr>
          <w:szCs w:val="24"/>
        </w:rPr>
        <w:fldChar w:fldCharType="separate"/>
      </w:r>
      <w:r w:rsidRPr="007769C7">
        <w:rPr>
          <w:szCs w:val="24"/>
        </w:rPr>
        <w:t>Tabela 5</w:t>
      </w:r>
      <w:r w:rsidRPr="007769C7">
        <w:rPr>
          <w:szCs w:val="24"/>
        </w:rPr>
        <w:fldChar w:fldCharType="end"/>
      </w:r>
      <w:r w:rsidR="00010958">
        <w:rPr>
          <w:szCs w:val="24"/>
        </w:rPr>
        <w:t xml:space="preserve"> junto com suas respectivas normas de referência</w:t>
      </w:r>
      <w:r w:rsidRPr="007769C7">
        <w:rPr>
          <w:szCs w:val="24"/>
        </w:rPr>
        <w:t xml:space="preserve">. </w:t>
      </w:r>
    </w:p>
    <w:p w14:paraId="79C79494" w14:textId="77777777" w:rsidR="007769C7" w:rsidRPr="007769C7" w:rsidRDefault="007769C7" w:rsidP="007769C7">
      <w:pPr>
        <w:spacing w:before="240" w:after="240"/>
        <w:jc w:val="center"/>
        <w:rPr>
          <w:color w:val="000000"/>
          <w:sz w:val="20"/>
        </w:rPr>
      </w:pPr>
      <w:r w:rsidRPr="007769C7">
        <w:rPr>
          <w:color w:val="000000"/>
          <w:sz w:val="20"/>
        </w:rPr>
        <w:t xml:space="preserve">Tabela </w:t>
      </w:r>
      <w:r w:rsidRPr="007769C7">
        <w:rPr>
          <w:color w:val="000000"/>
          <w:sz w:val="20"/>
        </w:rPr>
        <w:fldChar w:fldCharType="begin"/>
      </w:r>
      <w:r w:rsidRPr="007769C7">
        <w:rPr>
          <w:color w:val="000000"/>
          <w:sz w:val="20"/>
        </w:rPr>
        <w:instrText xml:space="preserve"> SEQ Tabela \* ARABIC </w:instrText>
      </w:r>
      <w:r w:rsidRPr="007769C7">
        <w:rPr>
          <w:color w:val="000000"/>
          <w:sz w:val="20"/>
        </w:rPr>
        <w:fldChar w:fldCharType="separate"/>
      </w:r>
      <w:r w:rsidRPr="007769C7">
        <w:rPr>
          <w:color w:val="000000"/>
          <w:sz w:val="20"/>
        </w:rPr>
        <w:t>5</w:t>
      </w:r>
      <w:r w:rsidRPr="007769C7">
        <w:rPr>
          <w:color w:val="000000"/>
          <w:sz w:val="20"/>
        </w:rPr>
        <w:fldChar w:fldCharType="end"/>
      </w:r>
      <w:r w:rsidRPr="007769C7">
        <w:rPr>
          <w:color w:val="000000"/>
          <w:sz w:val="20"/>
        </w:rPr>
        <w:t>: Plano de amostragem dos ensaios mecânicos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7"/>
        <w:gridCol w:w="1361"/>
        <w:gridCol w:w="1424"/>
        <w:gridCol w:w="1598"/>
        <w:gridCol w:w="1232"/>
      </w:tblGrid>
      <w:tr w:rsidR="007769C7" w:rsidRPr="007769C7" w14:paraId="2DA5E6F9" w14:textId="77777777" w:rsidTr="007769C7">
        <w:trPr>
          <w:trHeight w:val="300"/>
          <w:jc w:val="center"/>
        </w:trPr>
        <w:tc>
          <w:tcPr>
            <w:tcW w:w="1577" w:type="pct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E813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lastRenderedPageBreak/>
              <w:t>Ensaios</w:t>
            </w:r>
          </w:p>
        </w:tc>
        <w:tc>
          <w:tcPr>
            <w:tcW w:w="3423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319EA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Temperaturas (ºC)</w:t>
            </w:r>
          </w:p>
        </w:tc>
      </w:tr>
      <w:tr w:rsidR="007769C7" w:rsidRPr="007769C7" w14:paraId="39BD2128" w14:textId="77777777" w:rsidTr="00CC1DD4">
        <w:trPr>
          <w:trHeight w:val="300"/>
          <w:jc w:val="center"/>
        </w:trPr>
        <w:tc>
          <w:tcPr>
            <w:tcW w:w="157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AA470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4F8D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TA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BF85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200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2F5A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400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C67F7" w14:textId="77777777" w:rsidR="007769C7" w:rsidRPr="007769C7" w:rsidRDefault="007769C7" w:rsidP="00CC1DD4">
            <w:pPr>
              <w:jc w:val="center"/>
              <w:rPr>
                <w:b/>
                <w:bCs/>
                <w:sz w:val="20"/>
              </w:rPr>
            </w:pPr>
            <w:r w:rsidRPr="007769C7">
              <w:rPr>
                <w:b/>
                <w:bCs/>
                <w:sz w:val="20"/>
              </w:rPr>
              <w:t>800</w:t>
            </w:r>
          </w:p>
        </w:tc>
      </w:tr>
      <w:tr w:rsidR="007769C7" w:rsidRPr="007769C7" w14:paraId="417CED42" w14:textId="77777777" w:rsidTr="00CC1DD4">
        <w:trPr>
          <w:trHeight w:val="300"/>
          <w:jc w:val="center"/>
        </w:trPr>
        <w:tc>
          <w:tcPr>
            <w:tcW w:w="1577" w:type="pc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27ADDEBD" w14:textId="4A1D2808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 xml:space="preserve">Resistência à Compressão </w:t>
            </w:r>
            <w:sdt>
              <w:sdtPr>
                <w:rPr>
                  <w:sz w:val="20"/>
                </w:rPr>
                <w:id w:val="249008601"/>
                <w:citation/>
              </w:sdtPr>
              <w:sdtContent>
                <w:r w:rsidRPr="007769C7">
                  <w:rPr>
                    <w:sz w:val="20"/>
                  </w:rPr>
                  <w:fldChar w:fldCharType="begin"/>
                </w:r>
                <w:r w:rsidRPr="007769C7">
                  <w:rPr>
                    <w:sz w:val="20"/>
                  </w:rPr>
                  <w:instrText xml:space="preserve"> CITATION ABN18 \l 1046 </w:instrText>
                </w:r>
                <w:r w:rsidRPr="007769C7">
                  <w:rPr>
                    <w:sz w:val="20"/>
                  </w:rPr>
                  <w:fldChar w:fldCharType="separate"/>
                </w:r>
                <w:r w:rsidR="009C3012" w:rsidRPr="009C3012">
                  <w:rPr>
                    <w:noProof/>
                    <w:sz w:val="20"/>
                  </w:rPr>
                  <w:t>(ABNT, 2018)</w:t>
                </w:r>
                <w:r w:rsidRPr="007769C7">
                  <w:rPr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83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BF04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EBCC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C7CD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4</w:t>
            </w:r>
          </w:p>
        </w:tc>
        <w:tc>
          <w:tcPr>
            <w:tcW w:w="762" w:type="pc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1E361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4</w:t>
            </w:r>
          </w:p>
        </w:tc>
      </w:tr>
      <w:tr w:rsidR="007769C7" w:rsidRPr="007769C7" w14:paraId="22579F0E" w14:textId="77777777" w:rsidTr="00CC1DD4">
        <w:trPr>
          <w:trHeight w:val="300"/>
          <w:jc w:val="center"/>
        </w:trPr>
        <w:tc>
          <w:tcPr>
            <w:tcW w:w="1577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0A6E1E7" w14:textId="365C25C6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 xml:space="preserve">Resistência à Tração </w:t>
            </w:r>
            <w:sdt>
              <w:sdtPr>
                <w:rPr>
                  <w:sz w:val="20"/>
                </w:rPr>
                <w:id w:val="636920023"/>
                <w:citation/>
              </w:sdtPr>
              <w:sdtContent>
                <w:r w:rsidRPr="007769C7">
                  <w:rPr>
                    <w:sz w:val="20"/>
                  </w:rPr>
                  <w:fldChar w:fldCharType="begin"/>
                </w:r>
                <w:r w:rsidRPr="007769C7">
                  <w:rPr>
                    <w:sz w:val="20"/>
                  </w:rPr>
                  <w:instrText xml:space="preserve"> CITATION ABN11 \l 1046 </w:instrText>
                </w:r>
                <w:r w:rsidRPr="007769C7">
                  <w:rPr>
                    <w:sz w:val="20"/>
                  </w:rPr>
                  <w:fldChar w:fldCharType="separate"/>
                </w:r>
                <w:r w:rsidR="009C3012" w:rsidRPr="009C3012">
                  <w:rPr>
                    <w:noProof/>
                    <w:sz w:val="20"/>
                  </w:rPr>
                  <w:t>(ABNT, 2011)</w:t>
                </w:r>
                <w:r w:rsidRPr="007769C7">
                  <w:rPr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4D354E75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6</w:t>
            </w:r>
          </w:p>
        </w:tc>
        <w:tc>
          <w:tcPr>
            <w:tcW w:w="867" w:type="pct"/>
            <w:shd w:val="clear" w:color="auto" w:fill="auto"/>
            <w:noWrap/>
            <w:vAlign w:val="center"/>
            <w:hideMark/>
          </w:tcPr>
          <w:p w14:paraId="110FBBF1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4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23A9D36F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4</w:t>
            </w:r>
          </w:p>
        </w:tc>
        <w:tc>
          <w:tcPr>
            <w:tcW w:w="762" w:type="pc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5211CB8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2</w:t>
            </w:r>
          </w:p>
        </w:tc>
      </w:tr>
      <w:tr w:rsidR="007769C7" w:rsidRPr="007769C7" w14:paraId="4584585B" w14:textId="77777777" w:rsidTr="007769C7">
        <w:trPr>
          <w:trHeight w:val="300"/>
          <w:jc w:val="center"/>
        </w:trPr>
        <w:tc>
          <w:tcPr>
            <w:tcW w:w="1577" w:type="pct"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D9842" w14:textId="12AB8E2A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 xml:space="preserve">Módulo de elasticidade </w:t>
            </w:r>
            <w:sdt>
              <w:sdtPr>
                <w:rPr>
                  <w:sz w:val="20"/>
                </w:rPr>
                <w:id w:val="1556042488"/>
                <w:citation/>
              </w:sdtPr>
              <w:sdtContent>
                <w:r w:rsidRPr="007769C7">
                  <w:rPr>
                    <w:sz w:val="20"/>
                  </w:rPr>
                  <w:fldChar w:fldCharType="begin"/>
                </w:r>
                <w:r w:rsidRPr="007769C7">
                  <w:rPr>
                    <w:sz w:val="20"/>
                  </w:rPr>
                  <w:instrText xml:space="preserve">CITATION ABN17 \l 1046 </w:instrText>
                </w:r>
                <w:r w:rsidRPr="007769C7">
                  <w:rPr>
                    <w:sz w:val="20"/>
                  </w:rPr>
                  <w:fldChar w:fldCharType="separate"/>
                </w:r>
                <w:r w:rsidR="009C3012" w:rsidRPr="009C3012">
                  <w:rPr>
                    <w:noProof/>
                    <w:sz w:val="20"/>
                  </w:rPr>
                  <w:t>(ABNT, 2021)</w:t>
                </w:r>
                <w:r w:rsidRPr="007769C7">
                  <w:rPr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83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46C9FB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5</w:t>
            </w:r>
          </w:p>
        </w:tc>
        <w:tc>
          <w:tcPr>
            <w:tcW w:w="86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F9042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5</w:t>
            </w:r>
          </w:p>
        </w:tc>
        <w:tc>
          <w:tcPr>
            <w:tcW w:w="96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0DE101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5</w:t>
            </w:r>
          </w:p>
        </w:tc>
        <w:tc>
          <w:tcPr>
            <w:tcW w:w="762" w:type="pct"/>
            <w:tcBorders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DE9EF" w14:textId="77777777" w:rsidR="007769C7" w:rsidRPr="007769C7" w:rsidRDefault="007769C7" w:rsidP="00CC1DD4">
            <w:pPr>
              <w:jc w:val="center"/>
              <w:rPr>
                <w:sz w:val="20"/>
              </w:rPr>
            </w:pPr>
            <w:r w:rsidRPr="007769C7">
              <w:rPr>
                <w:sz w:val="20"/>
              </w:rPr>
              <w:t>5</w:t>
            </w:r>
          </w:p>
        </w:tc>
      </w:tr>
    </w:tbl>
    <w:p w14:paraId="013E6F6F" w14:textId="121237D9" w:rsidR="007769C7" w:rsidRPr="007769C7" w:rsidRDefault="007769C7" w:rsidP="007769C7">
      <w:pPr>
        <w:spacing w:after="240"/>
        <w:ind w:firstLine="360"/>
        <w:rPr>
          <w:sz w:val="20"/>
        </w:rPr>
      </w:pPr>
      <w:r w:rsidRPr="007769C7">
        <w:rPr>
          <w:sz w:val="20"/>
        </w:rPr>
        <w:t>Fonte: Autores (202</w:t>
      </w:r>
      <w:r>
        <w:rPr>
          <w:sz w:val="20"/>
        </w:rPr>
        <w:t>5</w:t>
      </w:r>
      <w:r w:rsidRPr="007769C7">
        <w:rPr>
          <w:sz w:val="20"/>
        </w:rPr>
        <w:t>)</w:t>
      </w:r>
    </w:p>
    <w:p w14:paraId="7F474B08" w14:textId="2B6BE267" w:rsidR="007769C7" w:rsidRPr="007769C7" w:rsidRDefault="007769C7" w:rsidP="007769C7">
      <w:pPr>
        <w:spacing w:after="120"/>
        <w:ind w:firstLine="360"/>
        <w:rPr>
          <w:szCs w:val="24"/>
        </w:rPr>
      </w:pPr>
      <w:r w:rsidRPr="007769C7">
        <w:rPr>
          <w:szCs w:val="24"/>
        </w:rPr>
        <w:t xml:space="preserve">Para a mistura dos materiais foi utilizado uma betoneira estacionária. Após a pesagem e identificação dos materiais, foi realizado o umedecimento do interior da betoneira, bem como a saturação dos agregados graúdos. Assim, o processo de adição dos insumos ocorreu na ordem: parte da água do traço com o aditivo diluído, agregado graúdo, cimento Portland, agregados miúdos, vermiculita (se prevista), micro sílica (se prevista) e então, o restante da água. A moldagem dos corpos de prova foi realizada conforme a ABNT 5738 </w:t>
      </w:r>
      <w:sdt>
        <w:sdtPr>
          <w:rPr>
            <w:szCs w:val="24"/>
          </w:rPr>
          <w:id w:val="-563406973"/>
          <w:citation/>
        </w:sdtPr>
        <w:sdtContent>
          <w:r w:rsidRPr="007769C7">
            <w:rPr>
              <w:szCs w:val="24"/>
            </w:rPr>
            <w:fldChar w:fldCharType="begin"/>
          </w:r>
          <w:r w:rsidRPr="007769C7">
            <w:rPr>
              <w:szCs w:val="24"/>
            </w:rPr>
            <w:instrText xml:space="preserve"> CITATION ABN151 \l 1046 </w:instrText>
          </w:r>
          <w:r w:rsidRPr="007769C7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>(ABNT, 2015)</w:t>
          </w:r>
          <w:r w:rsidRPr="007769C7">
            <w:rPr>
              <w:szCs w:val="24"/>
            </w:rPr>
            <w:fldChar w:fldCharType="end"/>
          </w:r>
        </w:sdtContent>
      </w:sdt>
      <w:r w:rsidRPr="007769C7">
        <w:rPr>
          <w:szCs w:val="24"/>
        </w:rPr>
        <w:t xml:space="preserve"> e o processo de cura ocorreu durante 28 dias em câmara úmida</w:t>
      </w:r>
      <w:r>
        <w:rPr>
          <w:szCs w:val="24"/>
        </w:rPr>
        <w:t>.</w:t>
      </w:r>
    </w:p>
    <w:p w14:paraId="1504C531" w14:textId="75704423" w:rsidR="009B2EF9" w:rsidRDefault="007769C7" w:rsidP="007769C7">
      <w:pPr>
        <w:spacing w:after="120"/>
        <w:ind w:firstLine="360"/>
      </w:pPr>
      <w:r w:rsidRPr="007769C7">
        <w:rPr>
          <w:szCs w:val="24"/>
        </w:rPr>
        <w:t xml:space="preserve">Após os 28 dias, os </w:t>
      </w:r>
      <w:proofErr w:type="spellStart"/>
      <w:r w:rsidRPr="007769C7">
        <w:rPr>
          <w:szCs w:val="24"/>
        </w:rPr>
        <w:t>CPs</w:t>
      </w:r>
      <w:proofErr w:type="spellEnd"/>
      <w:r w:rsidRPr="007769C7">
        <w:rPr>
          <w:szCs w:val="24"/>
        </w:rPr>
        <w:t xml:space="preserve"> previstos para TA foram submetidos aos ensaios de </w:t>
      </w:r>
      <w:r w:rsidR="00CE4548">
        <w:rPr>
          <w:szCs w:val="24"/>
        </w:rPr>
        <w:t>velocidade de onda</w:t>
      </w:r>
      <w:r w:rsidR="00AD0198">
        <w:rPr>
          <w:szCs w:val="24"/>
        </w:rPr>
        <w:t xml:space="preserve"> de pulso</w:t>
      </w:r>
      <w:r w:rsidR="00CE4548">
        <w:rPr>
          <w:szCs w:val="24"/>
        </w:rPr>
        <w:t xml:space="preserve"> ultrassônic</w:t>
      </w:r>
      <w:r w:rsidR="00AD0198">
        <w:rPr>
          <w:szCs w:val="24"/>
        </w:rPr>
        <w:t>o,</w:t>
      </w:r>
      <w:r w:rsidR="001C783C">
        <w:rPr>
          <w:szCs w:val="24"/>
        </w:rPr>
        <w:t xml:space="preserve"> em conformidade com as diretrizes da NBR 8</w:t>
      </w:r>
      <w:r w:rsidR="009C3012">
        <w:rPr>
          <w:szCs w:val="24"/>
        </w:rPr>
        <w:t>80</w:t>
      </w:r>
      <w:r w:rsidR="001C783C">
        <w:rPr>
          <w:szCs w:val="24"/>
        </w:rPr>
        <w:t>2</w:t>
      </w:r>
      <w:r w:rsidR="009C3012">
        <w:rPr>
          <w:szCs w:val="24"/>
        </w:rPr>
        <w:t xml:space="preserve"> </w:t>
      </w:r>
      <w:sdt>
        <w:sdtPr>
          <w:rPr>
            <w:szCs w:val="24"/>
          </w:rPr>
          <w:id w:val="-504747369"/>
          <w:citation/>
        </w:sdtPr>
        <w:sdtContent>
          <w:r w:rsidR="009C3012">
            <w:rPr>
              <w:szCs w:val="24"/>
            </w:rPr>
            <w:fldChar w:fldCharType="begin"/>
          </w:r>
          <w:r w:rsidR="009C3012">
            <w:rPr>
              <w:szCs w:val="24"/>
            </w:rPr>
            <w:instrText xml:space="preserve"> CITATION ABN19 \l 1046 </w:instrText>
          </w:r>
          <w:r w:rsidR="009C3012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>(ABNT, 2019)</w:t>
          </w:r>
          <w:r w:rsidR="009C3012">
            <w:rPr>
              <w:szCs w:val="24"/>
            </w:rPr>
            <w:fldChar w:fldCharType="end"/>
          </w:r>
        </w:sdtContent>
      </w:sdt>
      <w:r w:rsidR="001C783C">
        <w:rPr>
          <w:szCs w:val="24"/>
        </w:rPr>
        <w:t xml:space="preserve">, </w:t>
      </w:r>
      <w:r w:rsidRPr="007769C7">
        <w:rPr>
          <w:szCs w:val="24"/>
        </w:rPr>
        <w:t>resistência à compressão</w:t>
      </w:r>
      <w:r w:rsidR="00A529AE">
        <w:rPr>
          <w:szCs w:val="24"/>
        </w:rPr>
        <w:t>, de acordo com a NBR 5739</w:t>
      </w:r>
      <w:sdt>
        <w:sdtPr>
          <w:rPr>
            <w:szCs w:val="24"/>
          </w:rPr>
          <w:id w:val="-1508513621"/>
          <w:citation/>
        </w:sdtPr>
        <w:sdtContent>
          <w:r w:rsidRPr="007769C7">
            <w:rPr>
              <w:szCs w:val="24"/>
            </w:rPr>
            <w:fldChar w:fldCharType="begin"/>
          </w:r>
          <w:r w:rsidRPr="007769C7">
            <w:rPr>
              <w:szCs w:val="24"/>
            </w:rPr>
            <w:instrText xml:space="preserve"> CITATION ABN18 \l 1046 </w:instrText>
          </w:r>
          <w:r w:rsidRPr="007769C7">
            <w:rPr>
              <w:szCs w:val="24"/>
            </w:rPr>
            <w:fldChar w:fldCharType="separate"/>
          </w:r>
          <w:r w:rsidR="009C3012">
            <w:rPr>
              <w:noProof/>
              <w:szCs w:val="24"/>
            </w:rPr>
            <w:t xml:space="preserve"> </w:t>
          </w:r>
          <w:r w:rsidR="009C3012" w:rsidRPr="009C3012">
            <w:rPr>
              <w:noProof/>
              <w:szCs w:val="24"/>
            </w:rPr>
            <w:t>(ABNT, 2018)</w:t>
          </w:r>
          <w:r w:rsidRPr="007769C7">
            <w:rPr>
              <w:szCs w:val="24"/>
            </w:rPr>
            <w:fldChar w:fldCharType="end"/>
          </w:r>
        </w:sdtContent>
      </w:sdt>
      <w:r w:rsidRPr="007769C7">
        <w:rPr>
          <w:szCs w:val="24"/>
        </w:rPr>
        <w:t>, à tração</w:t>
      </w:r>
      <w:r w:rsidR="00A529AE">
        <w:rPr>
          <w:szCs w:val="24"/>
        </w:rPr>
        <w:t xml:space="preserve">, conforme a </w:t>
      </w:r>
      <w:r w:rsidR="00A529AE" w:rsidRPr="00A529AE">
        <w:rPr>
          <w:szCs w:val="24"/>
        </w:rPr>
        <w:t>NBR 7222</w:t>
      </w:r>
      <w:r w:rsidR="00A529AE">
        <w:rPr>
          <w:szCs w:val="24"/>
        </w:rPr>
        <w:t xml:space="preserve"> </w:t>
      </w:r>
      <w:r w:rsidRPr="007769C7">
        <w:rPr>
          <w:szCs w:val="24"/>
        </w:rPr>
        <w:t xml:space="preserve"> </w:t>
      </w:r>
      <w:sdt>
        <w:sdtPr>
          <w:rPr>
            <w:szCs w:val="24"/>
          </w:rPr>
          <w:id w:val="-930578188"/>
          <w:citation/>
        </w:sdtPr>
        <w:sdtContent>
          <w:r w:rsidRPr="007769C7">
            <w:rPr>
              <w:szCs w:val="24"/>
            </w:rPr>
            <w:fldChar w:fldCharType="begin"/>
          </w:r>
          <w:r w:rsidRPr="007769C7">
            <w:rPr>
              <w:szCs w:val="24"/>
            </w:rPr>
            <w:instrText xml:space="preserve"> CITATION ABN11 \l 1046 </w:instrText>
          </w:r>
          <w:r w:rsidRPr="007769C7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>(ABNT, 2011)</w:t>
          </w:r>
          <w:r w:rsidRPr="007769C7">
            <w:rPr>
              <w:szCs w:val="24"/>
            </w:rPr>
            <w:fldChar w:fldCharType="end"/>
          </w:r>
        </w:sdtContent>
      </w:sdt>
      <w:r w:rsidRPr="007769C7">
        <w:rPr>
          <w:szCs w:val="24"/>
        </w:rPr>
        <w:t xml:space="preserve"> e módulo de elasticidade</w:t>
      </w:r>
      <w:r w:rsidR="00A529AE">
        <w:rPr>
          <w:szCs w:val="24"/>
        </w:rPr>
        <w:t>, segundo a NBR 8522</w:t>
      </w:r>
      <w:r w:rsidRPr="007769C7">
        <w:rPr>
          <w:szCs w:val="24"/>
        </w:rPr>
        <w:t xml:space="preserve"> </w:t>
      </w:r>
      <w:sdt>
        <w:sdtPr>
          <w:rPr>
            <w:szCs w:val="24"/>
          </w:rPr>
          <w:id w:val="-520946195"/>
          <w:citation/>
        </w:sdtPr>
        <w:sdtContent>
          <w:r w:rsidRPr="007769C7">
            <w:rPr>
              <w:szCs w:val="24"/>
            </w:rPr>
            <w:fldChar w:fldCharType="begin"/>
          </w:r>
          <w:r w:rsidRPr="007769C7">
            <w:rPr>
              <w:szCs w:val="24"/>
            </w:rPr>
            <w:instrText xml:space="preserve">CITATION ABN17 \l 1046 </w:instrText>
          </w:r>
          <w:r w:rsidRPr="007769C7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>(ABNT, 2021)</w:t>
          </w:r>
          <w:r w:rsidRPr="007769C7">
            <w:rPr>
              <w:szCs w:val="24"/>
            </w:rPr>
            <w:fldChar w:fldCharType="end"/>
          </w:r>
        </w:sdtContent>
      </w:sdt>
      <w:r w:rsidRPr="007769C7">
        <w:rPr>
          <w:szCs w:val="24"/>
        </w:rPr>
        <w:t xml:space="preserve"> na prensa CONTENCO </w:t>
      </w:r>
      <w:proofErr w:type="spellStart"/>
      <w:r w:rsidRPr="007769C7">
        <w:rPr>
          <w:szCs w:val="24"/>
        </w:rPr>
        <w:t>Pavistes</w:t>
      </w:r>
      <w:proofErr w:type="spellEnd"/>
      <w:r w:rsidRPr="007769C7">
        <w:rPr>
          <w:szCs w:val="24"/>
        </w:rPr>
        <w:t xml:space="preserve">. Os demais </w:t>
      </w:r>
      <w:proofErr w:type="spellStart"/>
      <w:r w:rsidRPr="007769C7">
        <w:rPr>
          <w:szCs w:val="24"/>
        </w:rPr>
        <w:t>CPs</w:t>
      </w:r>
      <w:proofErr w:type="spellEnd"/>
      <w:r w:rsidRPr="007769C7">
        <w:rPr>
          <w:szCs w:val="24"/>
        </w:rPr>
        <w:t xml:space="preserve"> foram queimados em mufla, com taxa de aquecimento de 2°C por minuto e mantida a temperatura de interesse por 4 horas para então serem resfriados gradualmente. Em seguida os </w:t>
      </w:r>
      <w:proofErr w:type="spellStart"/>
      <w:r w:rsidRPr="007769C7">
        <w:rPr>
          <w:szCs w:val="24"/>
        </w:rPr>
        <w:t>CPs</w:t>
      </w:r>
      <w:proofErr w:type="spellEnd"/>
      <w:r w:rsidRPr="007769C7">
        <w:rPr>
          <w:szCs w:val="24"/>
        </w:rPr>
        <w:t xml:space="preserve"> queimados foram submetidos aos ensaios mecânicos supracitados.</w:t>
      </w:r>
      <w:r>
        <w:t xml:space="preserve"> </w:t>
      </w:r>
    </w:p>
    <w:p w14:paraId="6B7BA2A6" w14:textId="77777777" w:rsidR="007769C7" w:rsidRPr="00BE2F88" w:rsidRDefault="007769C7" w:rsidP="007769C7">
      <w:pPr>
        <w:spacing w:after="120"/>
        <w:ind w:firstLine="360"/>
        <w:rPr>
          <w:szCs w:val="24"/>
        </w:rPr>
      </w:pPr>
    </w:p>
    <w:p w14:paraId="6AC6F1C2" w14:textId="057B1951" w:rsidR="00B63A35" w:rsidRPr="00CA54FC" w:rsidRDefault="00CA54FC" w:rsidP="00B63A35">
      <w:pPr>
        <w:pStyle w:val="PargrafodaLista"/>
        <w:numPr>
          <w:ilvl w:val="0"/>
          <w:numId w:val="5"/>
        </w:numPr>
        <w:spacing w:after="120"/>
        <w:rPr>
          <w:color w:val="A6A6A6"/>
          <w:szCs w:val="24"/>
        </w:rPr>
      </w:pPr>
      <w:r>
        <w:rPr>
          <w:b/>
          <w:szCs w:val="24"/>
        </w:rPr>
        <w:t xml:space="preserve">Resultados e Discussões </w:t>
      </w:r>
    </w:p>
    <w:p w14:paraId="6D8C26CE" w14:textId="5A1AD878" w:rsidR="00C14F75" w:rsidRDefault="00CA54FC" w:rsidP="00B63A35">
      <w:pPr>
        <w:pStyle w:val="Subttulo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14F75">
        <w:rPr>
          <w:rFonts w:ascii="Times New Roman" w:hAnsi="Times New Roman"/>
        </w:rPr>
        <w:t>Velocidade de Onda de Pulso Ultrassônico</w:t>
      </w:r>
    </w:p>
    <w:p w14:paraId="58DB6A48" w14:textId="4AB828FF" w:rsidR="008B448D" w:rsidRPr="008B448D" w:rsidRDefault="008B448D" w:rsidP="008B448D">
      <w:pPr>
        <w:spacing w:after="120"/>
        <w:ind w:firstLine="360"/>
        <w:rPr>
          <w:szCs w:val="24"/>
        </w:rPr>
      </w:pPr>
      <w:r w:rsidRPr="008B448D">
        <w:rPr>
          <w:szCs w:val="24"/>
        </w:rPr>
        <w:t xml:space="preserve">A velocidade do pulso ultrassônico pode ser observada na </w:t>
      </w:r>
      <w:r w:rsidR="00685574">
        <w:rPr>
          <w:szCs w:val="24"/>
        </w:rPr>
        <w:fldChar w:fldCharType="begin"/>
      </w:r>
      <w:r w:rsidR="00685574">
        <w:rPr>
          <w:szCs w:val="24"/>
        </w:rPr>
        <w:instrText xml:space="preserve"> REF _Ref191020884 \h  \* MERGEFORMAT </w:instrText>
      </w:r>
      <w:r w:rsidR="00685574">
        <w:rPr>
          <w:szCs w:val="24"/>
        </w:rPr>
      </w:r>
      <w:r w:rsidR="00685574">
        <w:rPr>
          <w:szCs w:val="24"/>
        </w:rPr>
        <w:fldChar w:fldCharType="separate"/>
      </w:r>
      <w:r w:rsidR="00685574" w:rsidRPr="00685574">
        <w:rPr>
          <w:szCs w:val="24"/>
        </w:rPr>
        <w:t>Figura 1</w:t>
      </w:r>
      <w:r w:rsidR="00685574">
        <w:rPr>
          <w:szCs w:val="24"/>
        </w:rPr>
        <w:fldChar w:fldCharType="end"/>
      </w:r>
      <w:r w:rsidRPr="008B448D">
        <w:rPr>
          <w:szCs w:val="24"/>
        </w:rPr>
        <w:t>. Percebe-se que essa velocidade tende a diminuir à medida que a temperatura de exposição aumenta.</w:t>
      </w:r>
      <w:r>
        <w:rPr>
          <w:szCs w:val="24"/>
        </w:rPr>
        <w:t xml:space="preserve"> </w:t>
      </w:r>
      <w:r w:rsidRPr="008B448D">
        <w:rPr>
          <w:szCs w:val="24"/>
        </w:rPr>
        <w:t>O concreto com vermiculita apresentou uma velocidade de propagação ultrassônica maior em temperatura ambiente (RT) e a 200°C. Acima dessa temperatura, a diferença entre a velocidade do ultrassom no concreto de referência e no concreto com vermiculita torna-se pouco significativa, considerando a escala de propagação dessas ondas.</w:t>
      </w:r>
    </w:p>
    <w:p w14:paraId="07F80C4F" w14:textId="4B97C3EA" w:rsidR="00C14F75" w:rsidRDefault="008B448D" w:rsidP="008B448D">
      <w:pPr>
        <w:spacing w:after="120"/>
        <w:ind w:firstLine="360"/>
        <w:rPr>
          <w:szCs w:val="24"/>
        </w:rPr>
      </w:pPr>
      <w:r w:rsidRPr="008B448D">
        <w:rPr>
          <w:szCs w:val="24"/>
        </w:rPr>
        <w:t>Além disso, o concreto com maior resistência de projeto (RM70 e VM70) teve uma velocidade do pulso ultrassônico menor que os demais em temperatura ambiente. No entanto, com o aumento da temperatura, passou a apresentar os maiores valores residuais de velocidade ultrassônica. A pequena redução na velocidade residual do ultrassom nos concretos RM70 e VM70 pode ser explicada pelo menor número de poros no material e pela maior resistência à abrasão, características resultantes do uso de agregado basáltico na composição do concreto.</w:t>
      </w:r>
    </w:p>
    <w:p w14:paraId="11AFD674" w14:textId="3C4EDCA0" w:rsidR="00A006AD" w:rsidRDefault="00A006AD" w:rsidP="008B448D">
      <w:pPr>
        <w:spacing w:after="120"/>
        <w:ind w:firstLine="360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3872AB22" wp14:editId="72BDA1A9">
            <wp:extent cx="4860000" cy="2818800"/>
            <wp:effectExtent l="0" t="0" r="0" b="635"/>
            <wp:docPr id="1971699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5A01C05-8622-42ED-9D04-EE3B9CC44B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A15603C" w14:textId="49E8D9A1" w:rsidR="00685574" w:rsidRPr="00685574" w:rsidRDefault="00685574" w:rsidP="00685574">
      <w:pPr>
        <w:spacing w:after="120"/>
        <w:jc w:val="center"/>
        <w:rPr>
          <w:b/>
          <w:sz w:val="20"/>
        </w:rPr>
      </w:pPr>
      <w:bookmarkStart w:id="6" w:name="_Ref191020884"/>
      <w:r w:rsidRPr="0074748B">
        <w:rPr>
          <w:b/>
          <w:sz w:val="20"/>
        </w:rPr>
        <w:t xml:space="preserve">Figura </w:t>
      </w:r>
      <w:r w:rsidRPr="0074748B">
        <w:rPr>
          <w:b/>
          <w:sz w:val="20"/>
        </w:rPr>
        <w:fldChar w:fldCharType="begin"/>
      </w:r>
      <w:r w:rsidRPr="0074748B">
        <w:rPr>
          <w:b/>
          <w:sz w:val="20"/>
        </w:rPr>
        <w:instrText xml:space="preserve"> SEQ Figura \* ARABIC </w:instrText>
      </w:r>
      <w:r w:rsidRPr="0074748B">
        <w:rPr>
          <w:b/>
          <w:sz w:val="20"/>
        </w:rPr>
        <w:fldChar w:fldCharType="separate"/>
      </w:r>
      <w:r>
        <w:rPr>
          <w:b/>
          <w:noProof/>
          <w:sz w:val="20"/>
        </w:rPr>
        <w:t>1</w:t>
      </w:r>
      <w:r w:rsidRPr="0074748B">
        <w:rPr>
          <w:b/>
          <w:sz w:val="20"/>
        </w:rPr>
        <w:fldChar w:fldCharType="end"/>
      </w:r>
      <w:bookmarkEnd w:id="6"/>
      <w:r w:rsidRPr="0074748B">
        <w:rPr>
          <w:b/>
          <w:sz w:val="20"/>
        </w:rPr>
        <w:t xml:space="preserve">: </w:t>
      </w:r>
      <w:r>
        <w:rPr>
          <w:b/>
          <w:sz w:val="20"/>
        </w:rPr>
        <w:t>Velocidade de Onda de Pulso Ultrassônico</w:t>
      </w:r>
    </w:p>
    <w:p w14:paraId="13BE4756" w14:textId="77777777" w:rsidR="00C76D5E" w:rsidRPr="00C14F75" w:rsidRDefault="00C76D5E" w:rsidP="00C14F75">
      <w:pPr>
        <w:rPr>
          <w:lang w:eastAsia="en-US"/>
        </w:rPr>
      </w:pPr>
    </w:p>
    <w:p w14:paraId="196021D0" w14:textId="65040F06" w:rsidR="00B63A35" w:rsidRPr="00061706" w:rsidRDefault="00C14F75" w:rsidP="00B63A35">
      <w:pPr>
        <w:pStyle w:val="Subttulo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Resistência à compressão axia</w:t>
      </w:r>
      <w:r w:rsidR="00CA54FC">
        <w:rPr>
          <w:rFonts w:ascii="Times New Roman" w:hAnsi="Times New Roman"/>
        </w:rPr>
        <w:t>l</w:t>
      </w:r>
    </w:p>
    <w:p w14:paraId="5CB21E61" w14:textId="34F464B7" w:rsidR="0074748B" w:rsidRPr="00CA54FC" w:rsidRDefault="00CA54FC" w:rsidP="0074748B">
      <w:pPr>
        <w:spacing w:after="120"/>
        <w:ind w:firstLine="360"/>
        <w:rPr>
          <w:szCs w:val="24"/>
        </w:rPr>
      </w:pPr>
      <w:r w:rsidRPr="00CA54FC">
        <w:rPr>
          <w:szCs w:val="24"/>
        </w:rPr>
        <w:t xml:space="preserve">A </w:t>
      </w:r>
      <w:r w:rsidR="0074748B">
        <w:rPr>
          <w:szCs w:val="24"/>
        </w:rPr>
        <w:fldChar w:fldCharType="begin"/>
      </w:r>
      <w:r w:rsidR="0074748B">
        <w:rPr>
          <w:szCs w:val="24"/>
        </w:rPr>
        <w:instrText xml:space="preserve"> REF _Ref190973705 \h  \* MERGEFORMAT </w:instrText>
      </w:r>
      <w:r w:rsidR="0074748B">
        <w:rPr>
          <w:szCs w:val="24"/>
        </w:rPr>
      </w:r>
      <w:r w:rsidR="0074748B">
        <w:rPr>
          <w:szCs w:val="24"/>
        </w:rPr>
        <w:fldChar w:fldCharType="separate"/>
      </w:r>
      <w:r w:rsidR="00685574" w:rsidRPr="00685574">
        <w:rPr>
          <w:szCs w:val="24"/>
        </w:rPr>
        <w:t>Figura 2</w:t>
      </w:r>
      <w:r w:rsidR="0074748B">
        <w:rPr>
          <w:szCs w:val="24"/>
        </w:rPr>
        <w:fldChar w:fldCharType="end"/>
      </w:r>
      <w:r w:rsidR="0074748B">
        <w:rPr>
          <w:szCs w:val="24"/>
        </w:rPr>
        <w:t xml:space="preserve"> </w:t>
      </w:r>
      <w:r w:rsidRPr="00CA54FC">
        <w:rPr>
          <w:szCs w:val="24"/>
        </w:rPr>
        <w:t xml:space="preserve">apresenta os resultados de resistência à compressão dos concretos desenvolvidos. </w:t>
      </w:r>
      <w:r w:rsidR="0074748B">
        <w:rPr>
          <w:szCs w:val="24"/>
        </w:rPr>
        <w:t>N</w:t>
      </w:r>
      <w:r w:rsidR="0074748B" w:rsidRPr="00CA54FC">
        <w:rPr>
          <w:szCs w:val="24"/>
        </w:rPr>
        <w:t xml:space="preserve">ota-se que, com exceção do concreto de classe C35, nenhum dos outros concretos de referência alcançaram a resistência de projeto esperado para TA. Além disso, os concretos de referência e o com vermiculita possuem um decréscimo na resistência à compressão conforme ocorre o aumento da temperatura. Esse comportamento é decorrente da </w:t>
      </w:r>
      <w:proofErr w:type="spellStart"/>
      <w:r w:rsidR="0074748B" w:rsidRPr="00CA54FC">
        <w:rPr>
          <w:szCs w:val="24"/>
        </w:rPr>
        <w:t>desidroxilação</w:t>
      </w:r>
      <w:proofErr w:type="spellEnd"/>
      <w:r w:rsidR="0074748B" w:rsidRPr="00CA54FC">
        <w:rPr>
          <w:szCs w:val="24"/>
        </w:rPr>
        <w:t xml:space="preserve"> da fase hidratada de Ca(OH)</w:t>
      </w:r>
      <w:r w:rsidR="0074748B" w:rsidRPr="00061706">
        <w:rPr>
          <w:szCs w:val="24"/>
          <w:vertAlign w:val="subscript"/>
        </w:rPr>
        <w:t>2</w:t>
      </w:r>
      <w:r w:rsidR="0074748B" w:rsidRPr="00CA54FC">
        <w:rPr>
          <w:szCs w:val="24"/>
        </w:rPr>
        <w:t xml:space="preserve"> e a perda de CO</w:t>
      </w:r>
      <w:r w:rsidR="00061706" w:rsidRPr="00061706">
        <w:rPr>
          <w:szCs w:val="24"/>
          <w:vertAlign w:val="subscript"/>
        </w:rPr>
        <w:t>2</w:t>
      </w:r>
      <w:r w:rsidR="0074748B" w:rsidRPr="00CA54FC">
        <w:rPr>
          <w:szCs w:val="24"/>
        </w:rPr>
        <w:t xml:space="preserve">, sobretudo, a partir dos 600°C </w:t>
      </w:r>
      <w:sdt>
        <w:sdtPr>
          <w:rPr>
            <w:szCs w:val="24"/>
          </w:rPr>
          <w:id w:val="-1329050193"/>
          <w:citation/>
        </w:sdtPr>
        <w:sdtContent>
          <w:r w:rsidR="0074748B" w:rsidRPr="00CA54FC">
            <w:rPr>
              <w:szCs w:val="24"/>
            </w:rPr>
            <w:fldChar w:fldCharType="begin"/>
          </w:r>
          <w:r w:rsidR="0074748B" w:rsidRPr="00CA54FC">
            <w:rPr>
              <w:szCs w:val="24"/>
            </w:rPr>
            <w:instrText xml:space="preserve"> CITATION Bol191 \l 1046  \m Fer11</w:instrText>
          </w:r>
          <w:r w:rsidR="0074748B" w:rsidRPr="00CA54FC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>(Bolina, Tutikian e Helene, 2019; Ferreira, 2011)</w:t>
          </w:r>
          <w:r w:rsidR="0074748B" w:rsidRPr="00CA54FC">
            <w:rPr>
              <w:szCs w:val="24"/>
            </w:rPr>
            <w:fldChar w:fldCharType="end"/>
          </w:r>
        </w:sdtContent>
      </w:sdt>
      <w:r w:rsidR="0074748B" w:rsidRPr="00CA54FC">
        <w:rPr>
          <w:szCs w:val="24"/>
        </w:rPr>
        <w:t xml:space="preserve">. Esse comportamento é menos acentuado entre os concretos com vermiculita, possivelmente, em função da maior conexão entre os poros do concreto com agregado leve, o que permite a saída de substâncias gasosas de sua estrutura, conforme foi preconizado por Morales, Campos e </w:t>
      </w:r>
      <w:proofErr w:type="spellStart"/>
      <w:r w:rsidR="0074748B" w:rsidRPr="00CA54FC">
        <w:rPr>
          <w:szCs w:val="24"/>
        </w:rPr>
        <w:t>Faganello</w:t>
      </w:r>
      <w:proofErr w:type="spellEnd"/>
      <w:r w:rsidR="0074748B" w:rsidRPr="00CA54FC">
        <w:rPr>
          <w:szCs w:val="24"/>
        </w:rPr>
        <w:t xml:space="preserve"> </w:t>
      </w:r>
      <w:sdt>
        <w:sdtPr>
          <w:rPr>
            <w:szCs w:val="24"/>
          </w:rPr>
          <w:id w:val="-14074621"/>
          <w:citation/>
        </w:sdtPr>
        <w:sdtContent>
          <w:r w:rsidR="0074748B" w:rsidRPr="00CA54FC">
            <w:rPr>
              <w:szCs w:val="24"/>
            </w:rPr>
            <w:fldChar w:fldCharType="begin"/>
          </w:r>
          <w:r w:rsidR="0074748B">
            <w:rPr>
              <w:szCs w:val="24"/>
            </w:rPr>
            <w:instrText xml:space="preserve">CITATION MOR11 \l 1046 </w:instrText>
          </w:r>
          <w:r w:rsidR="0074748B" w:rsidRPr="00CA54FC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>(Morales, Campos e Faganello, 2011)</w:t>
          </w:r>
          <w:r w:rsidR="0074748B" w:rsidRPr="00CA54FC">
            <w:rPr>
              <w:szCs w:val="24"/>
            </w:rPr>
            <w:fldChar w:fldCharType="end"/>
          </w:r>
        </w:sdtContent>
      </w:sdt>
    </w:p>
    <w:p w14:paraId="4C264AE4" w14:textId="77777777" w:rsidR="00CA54FC" w:rsidRDefault="00CA54FC" w:rsidP="0074748B">
      <w:pPr>
        <w:jc w:val="center"/>
      </w:pPr>
      <w:r>
        <w:rPr>
          <w:noProof/>
        </w:rPr>
        <w:drawing>
          <wp:inline distT="0" distB="0" distL="0" distR="0" wp14:anchorId="463AF051" wp14:editId="0EAE43B4">
            <wp:extent cx="4859655" cy="2818800"/>
            <wp:effectExtent l="0" t="0" r="0" b="635"/>
            <wp:docPr id="147494547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1CB5E1B-63CE-428D-A91B-2EF2B11FCE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4289829" w14:textId="1959C757" w:rsidR="0074748B" w:rsidRPr="0074748B" w:rsidRDefault="0074748B" w:rsidP="0074748B">
      <w:pPr>
        <w:spacing w:after="120"/>
        <w:jc w:val="center"/>
        <w:rPr>
          <w:b/>
          <w:sz w:val="20"/>
        </w:rPr>
      </w:pPr>
      <w:bookmarkStart w:id="7" w:name="_Ref190973705"/>
      <w:r w:rsidRPr="0074748B">
        <w:rPr>
          <w:b/>
          <w:sz w:val="20"/>
        </w:rPr>
        <w:t xml:space="preserve">Figura </w:t>
      </w:r>
      <w:r w:rsidRPr="0074748B">
        <w:rPr>
          <w:b/>
          <w:sz w:val="20"/>
        </w:rPr>
        <w:fldChar w:fldCharType="begin"/>
      </w:r>
      <w:r w:rsidRPr="0074748B">
        <w:rPr>
          <w:b/>
          <w:sz w:val="20"/>
        </w:rPr>
        <w:instrText xml:space="preserve"> SEQ Figura \* ARABIC </w:instrText>
      </w:r>
      <w:r w:rsidRPr="0074748B">
        <w:rPr>
          <w:b/>
          <w:sz w:val="20"/>
        </w:rPr>
        <w:fldChar w:fldCharType="separate"/>
      </w:r>
      <w:r w:rsidR="00685574">
        <w:rPr>
          <w:b/>
          <w:noProof/>
          <w:sz w:val="20"/>
        </w:rPr>
        <w:t>2</w:t>
      </w:r>
      <w:r w:rsidRPr="0074748B">
        <w:rPr>
          <w:b/>
          <w:sz w:val="20"/>
        </w:rPr>
        <w:fldChar w:fldCharType="end"/>
      </w:r>
      <w:bookmarkEnd w:id="7"/>
      <w:r w:rsidRPr="0074748B">
        <w:rPr>
          <w:b/>
          <w:sz w:val="20"/>
        </w:rPr>
        <w:t>: Resistência à compressão axial</w:t>
      </w:r>
    </w:p>
    <w:p w14:paraId="3E8ADA4A" w14:textId="77777777" w:rsidR="00CA54FC" w:rsidRPr="00CA54FC" w:rsidRDefault="00CA54FC" w:rsidP="00CA54FC">
      <w:pPr>
        <w:spacing w:after="120"/>
        <w:ind w:firstLine="360"/>
        <w:rPr>
          <w:szCs w:val="24"/>
        </w:rPr>
      </w:pPr>
      <w:r w:rsidRPr="00CA54FC">
        <w:rPr>
          <w:szCs w:val="24"/>
        </w:rPr>
        <w:lastRenderedPageBreak/>
        <w:t>Para os concretos de classe C35 e C50, não ocorreu expressiva variação na resistência à compressão quando expostos à 200°C. Nessa temperatura, porém, os concretos CR70 apresentou uma redução de 22,42% em sua resistência à compressão, enquanto o CV70 reduziu em 18,63%.</w:t>
      </w:r>
    </w:p>
    <w:p w14:paraId="6FE52EA2" w14:textId="77777777" w:rsidR="00CA54FC" w:rsidRDefault="00CA54FC" w:rsidP="00CA54FC">
      <w:pPr>
        <w:spacing w:after="120"/>
        <w:ind w:firstLine="360"/>
        <w:rPr>
          <w:szCs w:val="24"/>
        </w:rPr>
      </w:pPr>
      <w:r w:rsidRPr="00CA54FC">
        <w:rPr>
          <w:szCs w:val="24"/>
        </w:rPr>
        <w:t xml:space="preserve">Em relação à adoção de vermiculita, nota-se que os concretos tipo CV50 foram os que obtiveram os melhores resultados em relação aos concretos de referência, o CR50. Para todas as temperaturas, os concretos CV50 apresentaram acréscimo de resistência em relação ao CR50. </w:t>
      </w:r>
    </w:p>
    <w:p w14:paraId="5B7FD83D" w14:textId="77777777" w:rsidR="00CA54FC" w:rsidRDefault="00CA54FC" w:rsidP="00CA54FC">
      <w:pPr>
        <w:spacing w:after="120"/>
        <w:ind w:firstLine="360"/>
        <w:rPr>
          <w:szCs w:val="24"/>
        </w:rPr>
      </w:pPr>
    </w:p>
    <w:p w14:paraId="5B2AB3DC" w14:textId="3E9A59D4" w:rsidR="00CA54FC" w:rsidRPr="00061706" w:rsidRDefault="00CA54FC" w:rsidP="00061706">
      <w:pPr>
        <w:pStyle w:val="Subttulo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ab/>
        <w:t>Resistência à tração por compressão diametral</w:t>
      </w:r>
    </w:p>
    <w:p w14:paraId="3D473783" w14:textId="38C0E555" w:rsidR="00CA54FC" w:rsidRPr="0074748B" w:rsidRDefault="00CA54FC" w:rsidP="00CA54FC">
      <w:pPr>
        <w:spacing w:after="120"/>
        <w:ind w:firstLine="360"/>
        <w:rPr>
          <w:szCs w:val="24"/>
        </w:rPr>
      </w:pPr>
      <w:r w:rsidRPr="0074748B">
        <w:rPr>
          <w:szCs w:val="24"/>
        </w:rPr>
        <w:t xml:space="preserve">Os concretos tipo C70 expostos à 800°C se desfizeram completamente ao serem posicionados na prensa pra realização do ensaio, não sendo possível avaliar sua resistência à tração posto a fragilidade do material.  </w:t>
      </w:r>
    </w:p>
    <w:p w14:paraId="6A4BE922" w14:textId="64F79AD0" w:rsidR="00CA54FC" w:rsidRPr="0074748B" w:rsidRDefault="00CA54FC" w:rsidP="0074748B">
      <w:pPr>
        <w:spacing w:after="120"/>
        <w:ind w:firstLine="360"/>
        <w:rPr>
          <w:szCs w:val="24"/>
        </w:rPr>
      </w:pPr>
      <w:r w:rsidRPr="0074748B">
        <w:rPr>
          <w:szCs w:val="24"/>
        </w:rPr>
        <w:t xml:space="preserve">Posto isto, a </w:t>
      </w:r>
      <w:r w:rsidR="0074748B">
        <w:rPr>
          <w:szCs w:val="24"/>
        </w:rPr>
        <w:fldChar w:fldCharType="begin"/>
      </w:r>
      <w:r w:rsidR="0074748B">
        <w:rPr>
          <w:szCs w:val="24"/>
        </w:rPr>
        <w:instrText xml:space="preserve"> REF _Ref190973738 \h  \* MERGEFORMAT </w:instrText>
      </w:r>
      <w:r w:rsidR="0074748B">
        <w:rPr>
          <w:szCs w:val="24"/>
        </w:rPr>
      </w:r>
      <w:r w:rsidR="0074748B">
        <w:rPr>
          <w:szCs w:val="24"/>
        </w:rPr>
        <w:fldChar w:fldCharType="separate"/>
      </w:r>
      <w:r w:rsidR="00685574" w:rsidRPr="00685574">
        <w:rPr>
          <w:szCs w:val="24"/>
        </w:rPr>
        <w:t>Figura 3</w:t>
      </w:r>
      <w:r w:rsidR="0074748B">
        <w:rPr>
          <w:szCs w:val="24"/>
        </w:rPr>
        <w:fldChar w:fldCharType="end"/>
      </w:r>
      <w:r w:rsidR="0074748B">
        <w:rPr>
          <w:szCs w:val="24"/>
        </w:rPr>
        <w:t xml:space="preserve"> </w:t>
      </w:r>
      <w:r w:rsidRPr="0074748B">
        <w:rPr>
          <w:szCs w:val="24"/>
        </w:rPr>
        <w:t xml:space="preserve">informa os resultados de resistência à tração por compressão diametral dos concretos desenvolvidos. </w:t>
      </w:r>
      <w:r w:rsidR="0074748B" w:rsidRPr="0074748B">
        <w:rPr>
          <w:szCs w:val="24"/>
        </w:rPr>
        <w:t xml:space="preserve">Tal qual observado na resistência à tração, os concretos apresentam perda significativa de resistência à tração conforme aumenta a temperatura de exposição. Em TA e 200°C, os concretos CV50 obtiveram um acréscimo na resistência à compressão em relação a sua referência, CR50. Novamente, o traço desenvolvido para a classe de 50 MPa apresenta ganhos mecânicos ao substituir a areia natural por vermiculita expandida. Esse comportamento, entretanto, não pode ser observado nos demais concretos desenvolvidos. </w:t>
      </w:r>
    </w:p>
    <w:p w14:paraId="73F5AF85" w14:textId="77777777" w:rsidR="00CA54FC" w:rsidRDefault="00CA54FC" w:rsidP="0074748B">
      <w:pPr>
        <w:jc w:val="center"/>
      </w:pPr>
      <w:r>
        <w:rPr>
          <w:noProof/>
        </w:rPr>
        <w:drawing>
          <wp:inline distT="0" distB="0" distL="0" distR="0" wp14:anchorId="203A9E5A" wp14:editId="66A3BBCC">
            <wp:extent cx="4859655" cy="2818800"/>
            <wp:effectExtent l="0" t="0" r="0" b="635"/>
            <wp:docPr id="16068925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C964869-0F14-4F60-91E9-A06A13CFDF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5A42EF4" w14:textId="377A6275" w:rsidR="0074748B" w:rsidRDefault="0074748B" w:rsidP="0074748B">
      <w:pPr>
        <w:spacing w:after="120"/>
        <w:jc w:val="center"/>
        <w:rPr>
          <w:b/>
          <w:sz w:val="20"/>
        </w:rPr>
      </w:pPr>
      <w:bookmarkStart w:id="8" w:name="_Ref190973738"/>
      <w:r w:rsidRPr="0074748B">
        <w:rPr>
          <w:b/>
          <w:sz w:val="20"/>
        </w:rPr>
        <w:t xml:space="preserve">Figura </w:t>
      </w:r>
      <w:r w:rsidRPr="0074748B">
        <w:rPr>
          <w:b/>
          <w:sz w:val="20"/>
        </w:rPr>
        <w:fldChar w:fldCharType="begin"/>
      </w:r>
      <w:r w:rsidRPr="0074748B">
        <w:rPr>
          <w:b/>
          <w:sz w:val="20"/>
        </w:rPr>
        <w:instrText xml:space="preserve"> SEQ Figura \* ARABIC </w:instrText>
      </w:r>
      <w:r w:rsidRPr="0074748B">
        <w:rPr>
          <w:b/>
          <w:sz w:val="20"/>
        </w:rPr>
        <w:fldChar w:fldCharType="separate"/>
      </w:r>
      <w:r w:rsidR="00685574">
        <w:rPr>
          <w:b/>
          <w:noProof/>
          <w:sz w:val="20"/>
        </w:rPr>
        <w:t>3</w:t>
      </w:r>
      <w:r w:rsidRPr="0074748B">
        <w:rPr>
          <w:b/>
          <w:sz w:val="20"/>
        </w:rPr>
        <w:fldChar w:fldCharType="end"/>
      </w:r>
      <w:bookmarkEnd w:id="8"/>
      <w:r w:rsidRPr="0074748B">
        <w:rPr>
          <w:b/>
          <w:sz w:val="20"/>
        </w:rPr>
        <w:t>: Resistência à tração por compressão diametral</w:t>
      </w:r>
    </w:p>
    <w:p w14:paraId="42DE6EC2" w14:textId="77777777" w:rsidR="00CA54FC" w:rsidRPr="00CA54FC" w:rsidRDefault="00CA54FC" w:rsidP="0074748B">
      <w:pPr>
        <w:spacing w:after="120"/>
        <w:rPr>
          <w:szCs w:val="24"/>
        </w:rPr>
      </w:pPr>
    </w:p>
    <w:p w14:paraId="13E07DB9" w14:textId="5E6757FC" w:rsidR="00CA54FC" w:rsidRPr="00061706" w:rsidRDefault="00CA54FC" w:rsidP="00B63A35">
      <w:pPr>
        <w:pStyle w:val="Subttulo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ab/>
        <w:t>Mó</w:t>
      </w:r>
      <w:r w:rsidR="00061706">
        <w:rPr>
          <w:rFonts w:ascii="Times New Roman" w:hAnsi="Times New Roman"/>
        </w:rPr>
        <w:t>d</w:t>
      </w:r>
      <w:r>
        <w:rPr>
          <w:rFonts w:ascii="Times New Roman" w:hAnsi="Times New Roman"/>
        </w:rPr>
        <w:t>ulo de Elasticidade Estático e Dinâmico</w:t>
      </w:r>
    </w:p>
    <w:p w14:paraId="5E155D82" w14:textId="3C9A9447" w:rsidR="0074748B" w:rsidRDefault="00CA54FC" w:rsidP="0074748B">
      <w:pPr>
        <w:spacing w:after="120"/>
        <w:ind w:firstLine="360"/>
        <w:rPr>
          <w:szCs w:val="24"/>
        </w:rPr>
      </w:pPr>
      <w:r w:rsidRPr="0074748B">
        <w:rPr>
          <w:szCs w:val="24"/>
        </w:rPr>
        <w:t xml:space="preserve">A </w:t>
      </w:r>
      <w:r w:rsidR="00685574">
        <w:rPr>
          <w:szCs w:val="24"/>
        </w:rPr>
        <w:fldChar w:fldCharType="begin"/>
      </w:r>
      <w:r w:rsidR="00685574">
        <w:rPr>
          <w:szCs w:val="24"/>
        </w:rPr>
        <w:instrText xml:space="preserve"> REF _Ref190973867 \h  \* MERGEFORMAT </w:instrText>
      </w:r>
      <w:r w:rsidR="00685574">
        <w:rPr>
          <w:szCs w:val="24"/>
        </w:rPr>
      </w:r>
      <w:r w:rsidR="00685574">
        <w:rPr>
          <w:szCs w:val="24"/>
        </w:rPr>
        <w:fldChar w:fldCharType="separate"/>
      </w:r>
      <w:r w:rsidR="00685574" w:rsidRPr="00685574">
        <w:rPr>
          <w:szCs w:val="24"/>
        </w:rPr>
        <w:t>Figura 4</w:t>
      </w:r>
      <w:r w:rsidR="00685574">
        <w:rPr>
          <w:szCs w:val="24"/>
        </w:rPr>
        <w:fldChar w:fldCharType="end"/>
      </w:r>
      <w:r w:rsidR="00685574">
        <w:rPr>
          <w:szCs w:val="24"/>
        </w:rPr>
        <w:t xml:space="preserve"> </w:t>
      </w:r>
      <w:r w:rsidRPr="0074748B">
        <w:rPr>
          <w:szCs w:val="24"/>
        </w:rPr>
        <w:t>apresenta os resultados de módulo de elasticidade estático e dinâmico.</w:t>
      </w:r>
      <w:r w:rsidR="0074748B" w:rsidRPr="0074748B">
        <w:rPr>
          <w:szCs w:val="24"/>
        </w:rPr>
        <w:t xml:space="preserve"> </w:t>
      </w:r>
      <w:r w:rsidR="0074748B">
        <w:rPr>
          <w:szCs w:val="24"/>
        </w:rPr>
        <w:t xml:space="preserve">Torna-se evidente que, </w:t>
      </w:r>
      <w:r w:rsidR="0074748B" w:rsidRPr="0074748B">
        <w:rPr>
          <w:szCs w:val="24"/>
        </w:rPr>
        <w:t xml:space="preserve">como nos ensaios prévios, os valores do módulo de elasticidade diminuem à medida que a temperatura de exposição aumenta. Esse fenômeno pode ser atribuído ao aumento do volume de poros capilares, os quais são os principais contribuintes para a porosidade da pasta de cimento endurecida. Sob a influência de altas temperaturas, esse volume tende a aumentar, resultando em pressões internas adicionais, conforme investigado por </w:t>
      </w:r>
      <w:proofErr w:type="spellStart"/>
      <w:r w:rsidR="0074748B" w:rsidRPr="0074748B">
        <w:rPr>
          <w:szCs w:val="24"/>
        </w:rPr>
        <w:t>Vydra</w:t>
      </w:r>
      <w:proofErr w:type="spellEnd"/>
      <w:sdt>
        <w:sdtPr>
          <w:rPr>
            <w:szCs w:val="24"/>
          </w:rPr>
          <w:id w:val="1544489497"/>
          <w:citation/>
        </w:sdtPr>
        <w:sdtContent>
          <w:r w:rsidR="0074748B" w:rsidRPr="0074748B">
            <w:rPr>
              <w:szCs w:val="24"/>
            </w:rPr>
            <w:fldChar w:fldCharType="begin"/>
          </w:r>
          <w:r w:rsidR="0074748B">
            <w:rPr>
              <w:szCs w:val="24"/>
            </w:rPr>
            <w:instrText xml:space="preserve">CITATION Vyd01 \n  \t  \l 1046 </w:instrText>
          </w:r>
          <w:r w:rsidR="0074748B" w:rsidRPr="0074748B">
            <w:rPr>
              <w:szCs w:val="24"/>
            </w:rPr>
            <w:fldChar w:fldCharType="separate"/>
          </w:r>
          <w:r w:rsidR="009C3012">
            <w:rPr>
              <w:noProof/>
              <w:szCs w:val="24"/>
            </w:rPr>
            <w:t xml:space="preserve"> </w:t>
          </w:r>
          <w:r w:rsidR="009C3012" w:rsidRPr="009C3012">
            <w:rPr>
              <w:noProof/>
              <w:szCs w:val="24"/>
            </w:rPr>
            <w:t>(2001)</w:t>
          </w:r>
          <w:r w:rsidR="0074748B" w:rsidRPr="0074748B">
            <w:rPr>
              <w:szCs w:val="24"/>
            </w:rPr>
            <w:fldChar w:fldCharType="end"/>
          </w:r>
        </w:sdtContent>
      </w:sdt>
      <w:r w:rsidR="0074748B" w:rsidRPr="0074748B">
        <w:rPr>
          <w:szCs w:val="24"/>
        </w:rPr>
        <w:t>.</w:t>
      </w:r>
    </w:p>
    <w:p w14:paraId="2D945792" w14:textId="30EDCABF" w:rsidR="0074748B" w:rsidRPr="0074748B" w:rsidRDefault="0074748B" w:rsidP="0074748B">
      <w:pPr>
        <w:spacing w:after="120"/>
        <w:ind w:firstLine="360"/>
        <w:rPr>
          <w:szCs w:val="24"/>
        </w:rPr>
      </w:pPr>
      <w:r w:rsidRPr="0074748B">
        <w:rPr>
          <w:szCs w:val="24"/>
        </w:rPr>
        <w:lastRenderedPageBreak/>
        <w:t xml:space="preserve">A maior deterioração foi aferida nos concretos de C70 à 800°C, em que não foi possível a realização do ensaio devido ao rompimento dos </w:t>
      </w:r>
      <w:proofErr w:type="spellStart"/>
      <w:r w:rsidRPr="0074748B">
        <w:rPr>
          <w:szCs w:val="24"/>
        </w:rPr>
        <w:t>CPs</w:t>
      </w:r>
      <w:proofErr w:type="spellEnd"/>
      <w:r w:rsidRPr="0074748B">
        <w:rPr>
          <w:szCs w:val="24"/>
        </w:rPr>
        <w:t xml:space="preserve"> durante o procedimento, em carga próxima de 0 </w:t>
      </w:r>
      <w:proofErr w:type="spellStart"/>
      <w:r w:rsidRPr="0074748B">
        <w:rPr>
          <w:szCs w:val="24"/>
        </w:rPr>
        <w:t>GPa</w:t>
      </w:r>
      <w:proofErr w:type="spellEnd"/>
      <w:r w:rsidRPr="0074748B">
        <w:rPr>
          <w:szCs w:val="24"/>
        </w:rPr>
        <w:t xml:space="preserve">. Esse comportamento do C70 é coerente com estudos de Lima </w:t>
      </w:r>
      <w:sdt>
        <w:sdtPr>
          <w:rPr>
            <w:szCs w:val="24"/>
          </w:rPr>
          <w:id w:val="466711636"/>
          <w:citation/>
        </w:sdtPr>
        <w:sdtContent>
          <w:r w:rsidRPr="0074748B">
            <w:rPr>
              <w:szCs w:val="24"/>
            </w:rPr>
            <w:fldChar w:fldCharType="begin"/>
          </w:r>
          <w:r w:rsidR="00061706">
            <w:rPr>
              <w:szCs w:val="24"/>
            </w:rPr>
            <w:instrText xml:space="preserve">CITATION Lim05 \n  \t  \l 1046 </w:instrText>
          </w:r>
          <w:r w:rsidRPr="0074748B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>(2005)</w:t>
          </w:r>
          <w:r w:rsidRPr="0074748B">
            <w:rPr>
              <w:szCs w:val="24"/>
            </w:rPr>
            <w:fldChar w:fldCharType="end"/>
          </w:r>
        </w:sdtContent>
      </w:sdt>
      <w:r w:rsidRPr="0074748B">
        <w:rPr>
          <w:szCs w:val="24"/>
        </w:rPr>
        <w:t xml:space="preserve"> e </w:t>
      </w:r>
      <w:proofErr w:type="spellStart"/>
      <w:r w:rsidRPr="0074748B">
        <w:rPr>
          <w:szCs w:val="24"/>
        </w:rPr>
        <w:t>Kakae</w:t>
      </w:r>
      <w:proofErr w:type="spellEnd"/>
      <w:r w:rsidRPr="0074748B">
        <w:rPr>
          <w:szCs w:val="24"/>
        </w:rPr>
        <w:t xml:space="preserve"> </w:t>
      </w:r>
      <w:sdt>
        <w:sdtPr>
          <w:rPr>
            <w:szCs w:val="24"/>
          </w:rPr>
          <w:id w:val="148485117"/>
          <w:citation/>
        </w:sdtPr>
        <w:sdtContent>
          <w:r w:rsidRPr="0074748B">
            <w:rPr>
              <w:szCs w:val="24"/>
            </w:rPr>
            <w:fldChar w:fldCharType="begin"/>
          </w:r>
          <w:r w:rsidR="00061706">
            <w:rPr>
              <w:szCs w:val="24"/>
            </w:rPr>
            <w:instrText xml:space="preserve">CITATION Kak17 \n  \t  \l 1046 </w:instrText>
          </w:r>
          <w:r w:rsidRPr="0074748B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>(2017)</w:t>
          </w:r>
          <w:r w:rsidRPr="0074748B">
            <w:rPr>
              <w:szCs w:val="24"/>
            </w:rPr>
            <w:fldChar w:fldCharType="end"/>
          </w:r>
        </w:sdtContent>
      </w:sdt>
      <w:r w:rsidRPr="0074748B">
        <w:rPr>
          <w:szCs w:val="24"/>
        </w:rPr>
        <w:t>.</w:t>
      </w:r>
    </w:p>
    <w:p w14:paraId="369A06C9" w14:textId="77777777" w:rsidR="0074748B" w:rsidRPr="0074748B" w:rsidRDefault="0074748B" w:rsidP="0074748B">
      <w:pPr>
        <w:spacing w:after="120"/>
        <w:rPr>
          <w:szCs w:val="24"/>
        </w:rPr>
      </w:pPr>
    </w:p>
    <w:p w14:paraId="63375C1A" w14:textId="77777777" w:rsidR="00CA54FC" w:rsidRDefault="00CA54FC" w:rsidP="0074748B">
      <w:pPr>
        <w:spacing w:before="120" w:after="120"/>
        <w:jc w:val="center"/>
        <w:rPr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76D0DCF2" wp14:editId="6635803A">
            <wp:extent cx="4859655" cy="2818800"/>
            <wp:effectExtent l="0" t="0" r="0" b="635"/>
            <wp:docPr id="3925689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103FB8E-B39D-4D43-9A3A-6FB2FCC2C1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86CBBC9" w14:textId="3E94760D" w:rsidR="0074748B" w:rsidRPr="0074748B" w:rsidRDefault="0074748B" w:rsidP="0074748B">
      <w:pPr>
        <w:spacing w:after="120"/>
        <w:jc w:val="center"/>
        <w:rPr>
          <w:b/>
          <w:sz w:val="20"/>
        </w:rPr>
      </w:pPr>
      <w:bookmarkStart w:id="9" w:name="_Ref190973867"/>
      <w:r w:rsidRPr="0074748B">
        <w:rPr>
          <w:b/>
          <w:sz w:val="20"/>
        </w:rPr>
        <w:t xml:space="preserve">Figura </w:t>
      </w:r>
      <w:r w:rsidRPr="0074748B">
        <w:rPr>
          <w:b/>
          <w:sz w:val="20"/>
        </w:rPr>
        <w:fldChar w:fldCharType="begin"/>
      </w:r>
      <w:r w:rsidRPr="0074748B">
        <w:rPr>
          <w:b/>
          <w:sz w:val="20"/>
        </w:rPr>
        <w:instrText xml:space="preserve"> SEQ Figura \* ARABIC </w:instrText>
      </w:r>
      <w:r w:rsidRPr="0074748B">
        <w:rPr>
          <w:b/>
          <w:sz w:val="20"/>
        </w:rPr>
        <w:fldChar w:fldCharType="separate"/>
      </w:r>
      <w:r w:rsidR="00685574">
        <w:rPr>
          <w:b/>
          <w:noProof/>
          <w:sz w:val="20"/>
        </w:rPr>
        <w:t>4</w:t>
      </w:r>
      <w:r w:rsidRPr="0074748B">
        <w:rPr>
          <w:b/>
          <w:sz w:val="20"/>
        </w:rPr>
        <w:fldChar w:fldCharType="end"/>
      </w:r>
      <w:bookmarkEnd w:id="9"/>
      <w:r w:rsidRPr="0074748B">
        <w:rPr>
          <w:b/>
          <w:sz w:val="20"/>
        </w:rPr>
        <w:t>: Módulo de elasticidade estático e dinâmico</w:t>
      </w:r>
    </w:p>
    <w:p w14:paraId="703914EC" w14:textId="77777777" w:rsidR="0074748B" w:rsidRDefault="0074748B" w:rsidP="0074748B">
      <w:pPr>
        <w:spacing w:after="120"/>
        <w:ind w:firstLine="360"/>
        <w:rPr>
          <w:sz w:val="20"/>
        </w:rPr>
      </w:pPr>
    </w:p>
    <w:p w14:paraId="031925EE" w14:textId="0E3A1FF6" w:rsidR="00CA54FC" w:rsidRPr="0074748B" w:rsidRDefault="00CA54FC" w:rsidP="0074748B">
      <w:pPr>
        <w:spacing w:after="120"/>
        <w:ind w:firstLine="360"/>
        <w:rPr>
          <w:szCs w:val="24"/>
        </w:rPr>
      </w:pPr>
      <w:r w:rsidRPr="0074748B">
        <w:rPr>
          <w:szCs w:val="24"/>
        </w:rPr>
        <w:t xml:space="preserve">A maior deterioração foi aferida nos concretos de C70 à 800°C, em que não foi possível a realização do ensaio devido ao rompimento dos </w:t>
      </w:r>
      <w:proofErr w:type="spellStart"/>
      <w:r w:rsidRPr="0074748B">
        <w:rPr>
          <w:szCs w:val="24"/>
        </w:rPr>
        <w:t>CPs</w:t>
      </w:r>
      <w:proofErr w:type="spellEnd"/>
      <w:r w:rsidRPr="0074748B">
        <w:rPr>
          <w:szCs w:val="24"/>
        </w:rPr>
        <w:t xml:space="preserve"> durante o procedimento, em carga próxima de 0 </w:t>
      </w:r>
      <w:proofErr w:type="spellStart"/>
      <w:r w:rsidRPr="0074748B">
        <w:rPr>
          <w:szCs w:val="24"/>
        </w:rPr>
        <w:t>GPa</w:t>
      </w:r>
      <w:proofErr w:type="spellEnd"/>
      <w:r w:rsidRPr="0074748B">
        <w:rPr>
          <w:szCs w:val="24"/>
        </w:rPr>
        <w:t xml:space="preserve">. Esse comportamento do C70 é coerente com estudos de Lima </w:t>
      </w:r>
      <w:sdt>
        <w:sdtPr>
          <w:rPr>
            <w:szCs w:val="24"/>
          </w:rPr>
          <w:id w:val="1663736540"/>
          <w:citation/>
        </w:sdtPr>
        <w:sdtContent>
          <w:r w:rsidRPr="0074748B">
            <w:rPr>
              <w:szCs w:val="24"/>
            </w:rPr>
            <w:fldChar w:fldCharType="begin"/>
          </w:r>
          <w:r w:rsidR="00061706">
            <w:rPr>
              <w:szCs w:val="24"/>
            </w:rPr>
            <w:instrText xml:space="preserve">CITATION Lim05 \n  \t  \l 1046 </w:instrText>
          </w:r>
          <w:r w:rsidRPr="0074748B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>(2005)</w:t>
          </w:r>
          <w:r w:rsidRPr="0074748B">
            <w:rPr>
              <w:szCs w:val="24"/>
            </w:rPr>
            <w:fldChar w:fldCharType="end"/>
          </w:r>
        </w:sdtContent>
      </w:sdt>
      <w:r w:rsidRPr="0074748B">
        <w:rPr>
          <w:szCs w:val="24"/>
        </w:rPr>
        <w:t xml:space="preserve"> e </w:t>
      </w:r>
      <w:proofErr w:type="spellStart"/>
      <w:r w:rsidRPr="0074748B">
        <w:rPr>
          <w:szCs w:val="24"/>
        </w:rPr>
        <w:t>Kakae</w:t>
      </w:r>
      <w:proofErr w:type="spellEnd"/>
      <w:r w:rsidRPr="0074748B">
        <w:rPr>
          <w:szCs w:val="24"/>
        </w:rPr>
        <w:t xml:space="preserve"> </w:t>
      </w:r>
      <w:sdt>
        <w:sdtPr>
          <w:rPr>
            <w:szCs w:val="24"/>
          </w:rPr>
          <w:id w:val="238992644"/>
          <w:citation/>
        </w:sdtPr>
        <w:sdtContent>
          <w:r w:rsidRPr="0074748B">
            <w:rPr>
              <w:szCs w:val="24"/>
            </w:rPr>
            <w:fldChar w:fldCharType="begin"/>
          </w:r>
          <w:r w:rsidR="00061706">
            <w:rPr>
              <w:szCs w:val="24"/>
            </w:rPr>
            <w:instrText xml:space="preserve">CITATION Kak17 \n  \t  \l 1046 </w:instrText>
          </w:r>
          <w:r w:rsidRPr="0074748B">
            <w:rPr>
              <w:szCs w:val="24"/>
            </w:rPr>
            <w:fldChar w:fldCharType="separate"/>
          </w:r>
          <w:r w:rsidR="009C3012" w:rsidRPr="009C3012">
            <w:rPr>
              <w:noProof/>
              <w:szCs w:val="24"/>
            </w:rPr>
            <w:t>(2017)</w:t>
          </w:r>
          <w:r w:rsidRPr="0074748B">
            <w:rPr>
              <w:szCs w:val="24"/>
            </w:rPr>
            <w:fldChar w:fldCharType="end"/>
          </w:r>
        </w:sdtContent>
      </w:sdt>
      <w:r w:rsidRPr="0074748B">
        <w:rPr>
          <w:szCs w:val="24"/>
        </w:rPr>
        <w:t>.</w:t>
      </w:r>
    </w:p>
    <w:p w14:paraId="2ADBF38B" w14:textId="77777777" w:rsidR="0049479C" w:rsidRPr="00BE2F88" w:rsidRDefault="0049479C" w:rsidP="00B63A35">
      <w:pPr>
        <w:spacing w:after="120"/>
        <w:ind w:firstLine="284"/>
        <w:rPr>
          <w:szCs w:val="24"/>
        </w:rPr>
      </w:pPr>
    </w:p>
    <w:p w14:paraId="49E15155" w14:textId="2EB5D19E" w:rsidR="0049479C" w:rsidRPr="00BE2F88" w:rsidRDefault="0049479C" w:rsidP="0058453D">
      <w:pPr>
        <w:pStyle w:val="PargrafodaLista"/>
        <w:numPr>
          <w:ilvl w:val="0"/>
          <w:numId w:val="5"/>
        </w:numPr>
        <w:spacing w:after="120"/>
        <w:rPr>
          <w:b/>
          <w:szCs w:val="24"/>
        </w:rPr>
      </w:pPr>
      <w:r w:rsidRPr="00BE2F88">
        <w:rPr>
          <w:b/>
          <w:szCs w:val="24"/>
        </w:rPr>
        <w:t>Considerações Finais</w:t>
      </w:r>
    </w:p>
    <w:p w14:paraId="42E171EF" w14:textId="77777777" w:rsidR="00322F40" w:rsidRPr="00322F40" w:rsidRDefault="00322F40" w:rsidP="00322F40">
      <w:pPr>
        <w:spacing w:after="120"/>
        <w:ind w:firstLine="360"/>
        <w:rPr>
          <w:szCs w:val="24"/>
        </w:rPr>
      </w:pPr>
      <w:r w:rsidRPr="00322F40">
        <w:rPr>
          <w:szCs w:val="24"/>
        </w:rPr>
        <w:t>Este estudo alcançou seus objetivos ao analisar as propriedades mecânicas de concretos nos quais 25% do agregado miúdo natural foi substituído por vermiculita expandida. Essa proporção não havia sido previamente estudada na literatura, o que caracteriza o ineditismo deste estudo. Os ensaios foram realizados em concretos das classes C35, C50 e C70, em temperaturas que não foram investigadas na literatura anteriormente, ou seja, 200°C, 400°C e 800°C.</w:t>
      </w:r>
    </w:p>
    <w:p w14:paraId="5DDCC79F" w14:textId="77777777" w:rsidR="00322F40" w:rsidRPr="00322F40" w:rsidRDefault="00322F40" w:rsidP="00322F40">
      <w:pPr>
        <w:spacing w:after="120"/>
        <w:ind w:firstLine="360"/>
        <w:rPr>
          <w:szCs w:val="24"/>
        </w:rPr>
      </w:pPr>
      <w:r w:rsidRPr="00322F40">
        <w:rPr>
          <w:szCs w:val="24"/>
        </w:rPr>
        <w:t>Entre os principais resultados alcançados estão:</w:t>
      </w:r>
    </w:p>
    <w:p w14:paraId="79E30AE1" w14:textId="77777777" w:rsidR="00322F40" w:rsidRPr="00322F40" w:rsidRDefault="00322F40" w:rsidP="00322F40">
      <w:pPr>
        <w:pStyle w:val="PargrafodaLista"/>
        <w:numPr>
          <w:ilvl w:val="0"/>
          <w:numId w:val="16"/>
        </w:numPr>
        <w:spacing w:after="120"/>
        <w:rPr>
          <w:szCs w:val="24"/>
        </w:rPr>
      </w:pPr>
      <w:r w:rsidRPr="00322F40">
        <w:rPr>
          <w:szCs w:val="24"/>
        </w:rPr>
        <w:t xml:space="preserve">A exposição prolongada a altas temperaturas possibilita a evaporação da água contida no interior do material, assim como a </w:t>
      </w:r>
      <w:proofErr w:type="spellStart"/>
      <w:r w:rsidRPr="00322F40">
        <w:rPr>
          <w:szCs w:val="24"/>
        </w:rPr>
        <w:t>desidroxilação</w:t>
      </w:r>
      <w:proofErr w:type="spellEnd"/>
      <w:r w:rsidRPr="00322F40">
        <w:rPr>
          <w:szCs w:val="24"/>
        </w:rPr>
        <w:t xml:space="preserve"> da pasta de cimento, culminando na formação de um concreto poroso. Essa condição impacta negativamente tanto na resistência à compressão quanto à tração, assim como no módulo de elasticidade do concreto, independentemente da presença de vermiculita como substituto do agregado miúdo.</w:t>
      </w:r>
    </w:p>
    <w:p w14:paraId="16255E11" w14:textId="77777777" w:rsidR="00322F40" w:rsidRPr="00322F40" w:rsidRDefault="00322F40" w:rsidP="00322F40">
      <w:pPr>
        <w:pStyle w:val="PargrafodaLista"/>
        <w:numPr>
          <w:ilvl w:val="0"/>
          <w:numId w:val="16"/>
        </w:numPr>
        <w:spacing w:after="120"/>
        <w:rPr>
          <w:szCs w:val="24"/>
        </w:rPr>
      </w:pPr>
      <w:r w:rsidRPr="00322F40">
        <w:rPr>
          <w:szCs w:val="24"/>
        </w:rPr>
        <w:t>Temperaturas próximas a 400°C representam um ponto crítico para concretos com uma resistência projetada de 70 MPa, resultando em uma redução substancial de suas propriedades mecânicas. Esses concretos tornam-se frágeis quando expostos a 800°C e são suscetíveis a colapsos, tornando difícil sua manipulação.</w:t>
      </w:r>
    </w:p>
    <w:p w14:paraId="32965D43" w14:textId="77777777" w:rsidR="00322F40" w:rsidRPr="00322F40" w:rsidRDefault="00322F40" w:rsidP="00322F40">
      <w:pPr>
        <w:pStyle w:val="PargrafodaLista"/>
        <w:numPr>
          <w:ilvl w:val="0"/>
          <w:numId w:val="16"/>
        </w:numPr>
        <w:spacing w:after="120"/>
        <w:rPr>
          <w:szCs w:val="24"/>
        </w:rPr>
      </w:pPr>
      <w:r w:rsidRPr="00322F40">
        <w:rPr>
          <w:szCs w:val="24"/>
        </w:rPr>
        <w:lastRenderedPageBreak/>
        <w:t>Ao analisar exclusivamente a resistência à compressão, nota-se que a adição de vermiculita não é aconselhável para o concreto de alto desempenho (C70), uma vez que pode ocasionar uma diminuição substancial dessa característica.</w:t>
      </w:r>
    </w:p>
    <w:p w14:paraId="4D8497D3" w14:textId="77777777" w:rsidR="00322F40" w:rsidRPr="00322F40" w:rsidRDefault="00322F40" w:rsidP="00322F40">
      <w:pPr>
        <w:pStyle w:val="PargrafodaLista"/>
        <w:numPr>
          <w:ilvl w:val="0"/>
          <w:numId w:val="16"/>
        </w:numPr>
        <w:spacing w:after="120"/>
        <w:rPr>
          <w:szCs w:val="24"/>
        </w:rPr>
      </w:pPr>
      <w:r w:rsidRPr="00322F40">
        <w:rPr>
          <w:szCs w:val="24"/>
        </w:rPr>
        <w:t>Entre os diversos traços estudados, o concreto com uma resistência projetada de 50 MPa, e que inclui vermiculita, demonstrou o melhor desempenho global. Este concreto se destacou especialmente nos testes de resistência à compressão e à tração, principalmente quando realizados em condições de temperatura ambiente e a 200°C.</w:t>
      </w:r>
    </w:p>
    <w:p w14:paraId="72C1543D" w14:textId="77777777" w:rsidR="00322F40" w:rsidRPr="00322F40" w:rsidRDefault="00322F40" w:rsidP="009C3012">
      <w:pPr>
        <w:spacing w:after="120"/>
        <w:ind w:firstLine="360"/>
        <w:rPr>
          <w:szCs w:val="24"/>
        </w:rPr>
      </w:pPr>
      <w:r w:rsidRPr="00322F40">
        <w:rPr>
          <w:szCs w:val="24"/>
        </w:rPr>
        <w:t>A substituição de areia por vermiculita apresenta potenciais benefícios ambientais e pode promover o uso sustentável dos recursos naturais, uma vez que reduz a dependência da utilização de areia natural. Recomenda-se que futuras pesquisas abordem as propriedades microscópicas e mineralógicas dos concretos contendo vermiculita, por meio de ensaios de Microscopia Eletrônica de Varredura e Difração de Raios-X. A expectativa é que este estudo estimule o desenvolvimento de tecnologias mais resilientes à exposição a altas temperaturas, contribuindo assim para o conforto e segurança dos usuários.</w:t>
      </w:r>
    </w:p>
    <w:p w14:paraId="78F7525E" w14:textId="0CFA0789" w:rsidR="00322F40" w:rsidRDefault="00322F40" w:rsidP="00322F40">
      <w:pPr>
        <w:spacing w:after="120"/>
        <w:rPr>
          <w:szCs w:val="24"/>
        </w:rPr>
      </w:pPr>
    </w:p>
    <w:sdt>
      <w:sdtPr>
        <w:id w:val="-516310423"/>
        <w:docPartObj>
          <w:docPartGallery w:val="Bibliographies"/>
          <w:docPartUnique/>
        </w:docPartObj>
      </w:sdtPr>
      <w:sdtEndPr>
        <w:rPr>
          <w:szCs w:val="24"/>
        </w:rPr>
      </w:sdtEndPr>
      <w:sdtContent>
        <w:p w14:paraId="7A30797B" w14:textId="77777777" w:rsidR="0047004B" w:rsidRPr="00BE2F88" w:rsidRDefault="0047004B" w:rsidP="0047004B">
          <w:pPr>
            <w:spacing w:after="120"/>
            <w:rPr>
              <w:b/>
              <w:szCs w:val="24"/>
            </w:rPr>
          </w:pPr>
          <w:r w:rsidRPr="00BE2F88">
            <w:rPr>
              <w:b/>
              <w:szCs w:val="24"/>
            </w:rPr>
            <w:t>Referências</w:t>
          </w:r>
        </w:p>
        <w:p w14:paraId="7171889D" w14:textId="30B15F3E" w:rsidR="0047004B" w:rsidRPr="009C3012" w:rsidRDefault="0047004B" w:rsidP="009C3012">
          <w:pPr>
            <w:spacing w:after="120"/>
            <w:jc w:val="left"/>
            <w:rPr>
              <w:szCs w:val="24"/>
            </w:rPr>
          </w:pPr>
        </w:p>
        <w:sdt>
          <w:sdtPr>
            <w:rPr>
              <w:szCs w:val="24"/>
            </w:rPr>
            <w:id w:val="-573587230"/>
            <w:bibliography/>
          </w:sdtPr>
          <w:sdtContent>
            <w:p w14:paraId="1EB63551" w14:textId="77777777" w:rsidR="009C3012" w:rsidRDefault="0047004B" w:rsidP="009C3012">
              <w:pPr>
                <w:spacing w:after="120"/>
                <w:jc w:val="left"/>
                <w:rPr>
                  <w:szCs w:val="24"/>
                </w:rPr>
              </w:pPr>
              <w:r w:rsidRPr="0047004B">
                <w:rPr>
                  <w:szCs w:val="24"/>
                </w:rPr>
                <w:fldChar w:fldCharType="begin"/>
              </w:r>
              <w:r w:rsidRPr="0047004B">
                <w:rPr>
                  <w:szCs w:val="24"/>
                </w:rPr>
                <w:instrText>BIBLIOGRAPHY</w:instrText>
              </w:r>
              <w:r w:rsidRPr="0047004B">
                <w:rPr>
                  <w:szCs w:val="24"/>
                </w:rPr>
                <w:fldChar w:fldCharType="separate"/>
              </w:r>
              <w:r w:rsidR="009C3012" w:rsidRPr="009C3012">
                <w:rPr>
                  <w:szCs w:val="24"/>
                </w:rPr>
                <w:t>ABNT. NBR NM 65: Cimento Portland - Determinação do tempo de pega. ABNT. Rio de Janeiro. 2002.</w:t>
              </w:r>
            </w:p>
            <w:p w14:paraId="4F283978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ABNT. NBR 7222: Concreto e argamassa - Determinação da resistência à tração por compressão diametral de corpos de prova cilíndricos. Rio de Janeiro. 2011.</w:t>
              </w:r>
            </w:p>
            <w:p w14:paraId="553190A7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ABNT. NBR 16372: Cimento Portland e outros materiais em pó - Determinação da finura pelo método de permeabilidade ao ar (Método de Blaine). Rio de Janeiro. 2015.</w:t>
              </w:r>
            </w:p>
            <w:p w14:paraId="69872B43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ABNT. NBR 5738: Moldagem e cura de corpos-de-prova cilíndricos ou prismáticos de concreto. Rio de Janeiro. 2015.</w:t>
              </w:r>
            </w:p>
            <w:p w14:paraId="019385F5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ABNT. NBR 11582: Cimento Portland - Determinação da expansibilidade Le Chatelier. ABNT. Rio de Janeiro. 2016.</w:t>
              </w:r>
            </w:p>
            <w:p w14:paraId="1386A89A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ABNT. NBR 5739: Concreto - Ensaio de compressão de corpos de prova cilíndricos. Rio de Janeiro. 2018.</w:t>
              </w:r>
            </w:p>
            <w:p w14:paraId="2FFECFF3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ABNT. Associação Brasileira de Normas Técnicas. NBR 8802: Concreto endurecido - Determinação da velocidade de propagação de onda ultrassônica. ABNT. Rio de Janeiro. 2019.</w:t>
              </w:r>
            </w:p>
            <w:p w14:paraId="5D7C5E80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ABNT. NBR 7215: Cimento Portland - Determinação da resistência à compressão. Rio de Janeiro. 2019.</w:t>
              </w:r>
            </w:p>
            <w:p w14:paraId="0742460F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ABNT. NBR 8522: Concreto – Determinação dos módulos estáticos de elasticidade e de deformação à compressão. Rio de Janeiro. 2021.</w:t>
              </w:r>
            </w:p>
            <w:p w14:paraId="14865850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ANEPAC. Anuário 2013. [S.l.]. 2013.</w:t>
              </w:r>
            </w:p>
            <w:p w14:paraId="00F6A4A5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BOLINA, F. L.; TUTIKIAN, B. F.; HELENE, P. Patologia de Estruturas. São Paulo: Oficina de Textos, 2019.</w:t>
              </w:r>
            </w:p>
            <w:p w14:paraId="11170E88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CARVALHO, A. R. D. et al. Proposition of geopolymers obtained through the acid activation of iron ore tailings with phosphoric acid. Construction and Building Materials, 403, 3 November 2023a. Disponivel em: &lt;https://www.sciencedirect.com/science/article/pii/S0950061823027952&gt;.</w:t>
              </w:r>
            </w:p>
            <w:p w14:paraId="3C9540EA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lastRenderedPageBreak/>
                <w:t>CARVALHO, A. R. D. et al. Influência do efeito fíler do pó de mármore na produção de concretos para pavimentos intertravados. Ambiente Construído, Porto Alegre, 23, out./dez. 2023b. 217-239. Disponivel em: &lt;https://www.scielo.br/j/ac/a/TqPt9XkJxZkZt8ZWcRghhLh/abstract/?lang=pt#:~:text=Notou%2Dse%20que%20o%20p%C3%B3,mais%20resistente%2C%20denso%20e%20homog%C3%AAneo.&gt;.</w:t>
              </w:r>
            </w:p>
            <w:p w14:paraId="44E81741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DWAIKAT, M. B.; KODUR, V. K. R. Fire Induced Spalling in High Strength Concrete Beams. Fire Technology, 2010. 251-274.</w:t>
              </w:r>
            </w:p>
            <w:p w14:paraId="16D0EA4A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EL-HASSAN, H. et al. Synergic effect of recycled aggregates, waste glass, and slag on the Properties of pervious concrete. Developments in the Built Environment, 2023.</w:t>
              </w:r>
            </w:p>
            <w:p w14:paraId="67B8CBE8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ERGÜN, A. et al. The effect of cement fosage on mechanical properties of concrete exposed to high temperatures. Fire Safety Journal, 55, January 2013. 160-167.</w:t>
              </w:r>
            </w:p>
            <w:p w14:paraId="377377DF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FERREIRA, A. P. G. Modelagem dos fenômenos de transporte termo-hídricos em meios porosos submetidos a temperaturas elevadas: Aplicação a uma bicamada rocha-concreto. Juiz de Fora. 2011.</w:t>
              </w:r>
            </w:p>
            <w:p w14:paraId="63CA71C3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G1. Incêndios em edificações aumentaram 13% em 2022, diz Corpo de Bombeiros de Sergipe, 17 Janeiro 2023. Acesso em: 07 Maio 2024.</w:t>
              </w:r>
            </w:p>
            <w:p w14:paraId="687B382E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G1. Casa pega fogo após ser atingida por raio no RS: 'quando eu vi o desespero da minha esposa, vi que era grave', diz morador, 30 Abril 2024. Disponivel em: &lt;https://g1.globo.com/rs/rio-grande-do-sul/noticia/2024/04/30/casa-pega-fogo-apos-ser-atingida-por-raio-no-rs-quando-eu-vi-o-desespero-da-minha-esposa-vi-que-era-grave-diz-morador.ghtml&gt;. Acesso em: 07 Maio 2024.</w:t>
              </w:r>
            </w:p>
            <w:p w14:paraId="5A271D98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G1. Curto-circuito pode ter causado incêndio em prédio em construção no Recife, 29 Março 2024. Disponivel em: &lt;https://g1.globo.com/pe/pernambuco/noticia/2024/03/29/curto-circuito-pode-ter-causado-incendio-em-predio-em-construcao-no-recife-diz-secretario.ghtml&gt;. Acesso em: 07 Maio 2024.</w:t>
              </w:r>
            </w:p>
            <w:p w14:paraId="29A724BD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G1. Explosão que destruiu casas no Bairro Santa Terezinha, em Juiz de Fora, há um ano, foi causada pelo próprio morador, concluiu investigação, 05 Janeiro 2024. Disponivel em: &lt;https://g1.globo.com/mg/zona-da-mata/noticia/2024/01/05/explosao-que-destruiu-casas-no-bairro-santa-terezinha-em-jf-ha-um-ano-foi-causada-pelo-proprio-morador-concluiu-investigacao.ghtml&gt;. Acesso em: 07 Maio 2024.</w:t>
              </w:r>
            </w:p>
            <w:p w14:paraId="0C393C4F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KAKAE, N. et al. Physical and Thermal Properties of Concrete Subjected to High Temperature. Journal of Advanced Concrete Tecnology, 15, 2017. 190-212.</w:t>
              </w:r>
            </w:p>
            <w:p w14:paraId="0ACB476B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LIMA, R. C. A. Investigação do Comportamento de Concretos em Temperaturas Elevadas. Universidade Federal do Rio Grande do Sul. Porto Alegre. 2005.</w:t>
              </w:r>
            </w:p>
            <w:p w14:paraId="337F877F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LIN, L.; WU, B. Water permeability behaviour of recycled lump agreggate concrete. Construction and Building Materials, 2022.</w:t>
              </w:r>
            </w:p>
            <w:p w14:paraId="3E7DF2BF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LIU, J. et al. Physical and mechanical properties of expanded vermiculite (EV) embedded foam concrete subjected to elevated temperatures. Case Studies in Construction Materials, June 2022.</w:t>
              </w:r>
            </w:p>
            <w:p w14:paraId="00D65A8A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MORALES, G.; CAMPOS, A.; FAGANELLO, A. P. A. Ação do fogo sobre os componentes do concreto. Semina: Ciências Exatas e Tecnológicas, 2011. 47-55.</w:t>
              </w:r>
            </w:p>
            <w:p w14:paraId="3A5C08BF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lastRenderedPageBreak/>
                <w:t>MOTTA, E. F. B. et al. Thermomechanical behavior of concretes with addition of non-functionalized and functionalized carbon nanotubes. Journal of Building Engineering, 1 November 2024. 110642. https://doi.org/10.1016/j.jobe.2024.110642.</w:t>
              </w:r>
            </w:p>
            <w:p w14:paraId="77C84C18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RASHAD, A. M. Vermiculite as a construction material - A short guide for Civil Engineer. Construction and Building Materials, 2016. 53-62.</w:t>
              </w:r>
            </w:p>
            <w:p w14:paraId="5A1C2FAD" w14:textId="77777777" w:rsidR="009C3012" w:rsidRPr="009C3012" w:rsidRDefault="009C3012" w:rsidP="009C3012">
              <w:pPr>
                <w:spacing w:after="120"/>
                <w:jc w:val="left"/>
                <w:rPr>
                  <w:szCs w:val="24"/>
                </w:rPr>
              </w:pPr>
              <w:r w:rsidRPr="009C3012">
                <w:rPr>
                  <w:szCs w:val="24"/>
                </w:rPr>
                <w:t>VYDRA, V. et al. Effect of temperature on porosity of concrete for nuclear-safety structures. Cement and Concrete Research, 2001. 1023-1026.</w:t>
              </w:r>
            </w:p>
            <w:p w14:paraId="2B92F4A2" w14:textId="617CF700" w:rsidR="0047004B" w:rsidRPr="009C3012" w:rsidRDefault="0047004B" w:rsidP="009C3012">
              <w:pPr>
                <w:spacing w:after="120"/>
                <w:jc w:val="left"/>
                <w:rPr>
                  <w:szCs w:val="24"/>
                </w:rPr>
              </w:pPr>
              <w:r w:rsidRPr="0047004B">
                <w:rPr>
                  <w:szCs w:val="24"/>
                </w:rPr>
                <w:fldChar w:fldCharType="end"/>
              </w:r>
            </w:p>
          </w:sdtContent>
        </w:sdt>
      </w:sdtContent>
    </w:sdt>
    <w:p w14:paraId="65FAA9D5" w14:textId="77777777" w:rsidR="0047004B" w:rsidRPr="009C3012" w:rsidRDefault="0047004B" w:rsidP="009C3012">
      <w:pPr>
        <w:spacing w:after="120"/>
        <w:jc w:val="left"/>
        <w:rPr>
          <w:szCs w:val="24"/>
        </w:rPr>
      </w:pPr>
    </w:p>
    <w:p w14:paraId="4595B343" w14:textId="54F326E0" w:rsidR="00BE083D" w:rsidRPr="009C3012" w:rsidRDefault="00BE083D" w:rsidP="009C3012">
      <w:pPr>
        <w:spacing w:after="120"/>
        <w:jc w:val="left"/>
        <w:rPr>
          <w:szCs w:val="24"/>
        </w:rPr>
      </w:pPr>
    </w:p>
    <w:sectPr w:rsidR="00BE083D" w:rsidRPr="009C3012" w:rsidSect="00426C18"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701" w:right="1134" w:bottom="1134" w:left="1701" w:header="57" w:footer="227" w:gutter="0"/>
      <w:pgNumType w:start="41"/>
      <w:cols w:space="284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53F7" w14:textId="77777777" w:rsidR="009F120D" w:rsidRPr="00BE2F88" w:rsidRDefault="009F120D">
      <w:r w:rsidRPr="00BE2F88">
        <w:separator/>
      </w:r>
    </w:p>
  </w:endnote>
  <w:endnote w:type="continuationSeparator" w:id="0">
    <w:p w14:paraId="00A6B9E9" w14:textId="77777777" w:rsidR="009F120D" w:rsidRPr="00BE2F88" w:rsidRDefault="009F120D">
      <w:r w:rsidRPr="00BE2F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9A96" w14:textId="77777777" w:rsidR="0073688A" w:rsidRPr="00BE2F88" w:rsidRDefault="0073688A" w:rsidP="00094DEA">
    <w:pPr>
      <w:pStyle w:val="Rodap"/>
      <w:rPr>
        <w:rStyle w:val="Nmerodepgina"/>
      </w:rPr>
    </w:pPr>
  </w:p>
  <w:p w14:paraId="4E0B2D61" w14:textId="77777777" w:rsidR="0073688A" w:rsidRPr="00BE2F88" w:rsidRDefault="0073688A" w:rsidP="00094DEA">
    <w:pPr>
      <w:widowControl w:val="0"/>
      <w:rPr>
        <w:sz w:val="22"/>
        <w:szCs w:val="22"/>
      </w:rPr>
    </w:pPr>
    <w:r w:rsidRPr="00BE2F88">
      <w:rPr>
        <w:rFonts w:ascii="Arial-BoldMT" w:hAnsi="Arial-BoldMT" w:cs="Arial-BoldMT"/>
        <w:b/>
        <w:bCs/>
        <w:sz w:val="18"/>
        <w:szCs w:val="18"/>
        <w:lang w:eastAsia="en-US" w:bidi="en-US"/>
      </w:rPr>
      <w:t xml:space="preserve">Estudos em Design </w:t>
    </w:r>
    <w:r w:rsidRPr="00BE2F88">
      <w:rPr>
        <w:rFonts w:ascii="Arial-BoldMT" w:hAnsi="Arial-BoldMT" w:cs="Arial-BoldMT"/>
        <w:sz w:val="18"/>
        <w:szCs w:val="18"/>
        <w:lang w:eastAsia="en-US" w:bidi="en-US"/>
      </w:rPr>
      <w:t xml:space="preserve">| Revista (online). Rio de Janeiro: v. </w:t>
    </w:r>
    <w:r w:rsidRPr="00BE2F88">
      <w:rPr>
        <w:rFonts w:ascii="Arial-BoldMT" w:hAnsi="Arial-BoldMT" w:cs="Arial-BoldMT"/>
        <w:color w:val="FF0000"/>
        <w:sz w:val="18"/>
        <w:szCs w:val="18"/>
        <w:lang w:eastAsia="en-US" w:bidi="en-US"/>
      </w:rPr>
      <w:t>X</w:t>
    </w:r>
    <w:r w:rsidRPr="00BE2F88">
      <w:rPr>
        <w:rFonts w:ascii="Arial-BoldMT" w:hAnsi="Arial-BoldMT" w:cs="Arial-BoldMT"/>
        <w:sz w:val="18"/>
        <w:szCs w:val="18"/>
        <w:lang w:eastAsia="en-US" w:bidi="en-US"/>
      </w:rPr>
      <w:t xml:space="preserve"> | n. </w:t>
    </w:r>
    <w:r w:rsidRPr="00BE2F88">
      <w:rPr>
        <w:rFonts w:ascii="Arial-BoldMT" w:hAnsi="Arial-BoldMT" w:cs="Arial-BoldMT"/>
        <w:color w:val="FF0000"/>
        <w:sz w:val="18"/>
        <w:szCs w:val="18"/>
        <w:lang w:eastAsia="en-US" w:bidi="en-US"/>
      </w:rPr>
      <w:t>X</w:t>
    </w:r>
    <w:r w:rsidRPr="00BE2F88">
      <w:rPr>
        <w:rFonts w:ascii="Arial-BoldMT" w:hAnsi="Arial-BoldMT" w:cs="Arial-BoldMT"/>
        <w:sz w:val="18"/>
        <w:szCs w:val="18"/>
        <w:lang w:eastAsia="en-US" w:bidi="en-US"/>
      </w:rPr>
      <w:t xml:space="preserve"> [</w:t>
    </w:r>
    <w:r w:rsidRPr="00BE2F88">
      <w:rPr>
        <w:rFonts w:ascii="Arial-BoldMT" w:hAnsi="Arial-BoldMT" w:cs="Arial-BoldMT"/>
        <w:color w:val="FF0000"/>
        <w:sz w:val="18"/>
        <w:szCs w:val="18"/>
        <w:lang w:eastAsia="en-US" w:bidi="en-US"/>
      </w:rPr>
      <w:t>ANO</w:t>
    </w:r>
    <w:r w:rsidRPr="00BE2F88">
      <w:rPr>
        <w:rFonts w:ascii="Arial-BoldMT" w:hAnsi="Arial-BoldMT" w:cs="Arial-BoldMT"/>
        <w:sz w:val="18"/>
        <w:szCs w:val="18"/>
        <w:lang w:eastAsia="en-US" w:bidi="en-US"/>
      </w:rPr>
      <w:t xml:space="preserve">], p. </w:t>
    </w:r>
    <w:r w:rsidRPr="00BE2F88">
      <w:rPr>
        <w:rFonts w:ascii="Arial-BoldMT" w:hAnsi="Arial-BoldMT" w:cs="Arial-BoldMT"/>
        <w:color w:val="FF0000"/>
        <w:sz w:val="18"/>
        <w:szCs w:val="18"/>
        <w:lang w:eastAsia="en-US" w:bidi="en-US"/>
      </w:rPr>
      <w:t>X – X</w:t>
    </w:r>
    <w:r w:rsidRPr="00BE2F88">
      <w:rPr>
        <w:rFonts w:ascii="Arial-BoldMT" w:hAnsi="Arial-BoldMT" w:cs="Arial-BoldMT"/>
        <w:sz w:val="18"/>
        <w:szCs w:val="18"/>
        <w:lang w:eastAsia="en-US" w:bidi="en-US"/>
      </w:rPr>
      <w:t xml:space="preserve"> | ISSN </w:t>
    </w:r>
    <w:r w:rsidRPr="00BE2F88">
      <w:rPr>
        <w:rStyle w:val="apple-style-span"/>
        <w:rFonts w:ascii="Verdana" w:hAnsi="Verdana"/>
        <w:sz w:val="17"/>
        <w:szCs w:val="17"/>
      </w:rPr>
      <w:t>1983-196X</w:t>
    </w:r>
  </w:p>
  <w:p w14:paraId="1DD8C79E" w14:textId="77777777" w:rsidR="0073688A" w:rsidRPr="00BE2F88" w:rsidRDefault="0073688A" w:rsidP="00094DEA">
    <w:pPr>
      <w:pStyle w:val="Rodap"/>
    </w:pPr>
  </w:p>
  <w:p w14:paraId="206EC906" w14:textId="77777777" w:rsidR="0073688A" w:rsidRPr="00BE2F88" w:rsidRDefault="0073688A" w:rsidP="00094DEA">
    <w:pPr>
      <w:pStyle w:val="Rodap"/>
      <w:rPr>
        <w:rStyle w:val="Nmerodepgina"/>
      </w:rPr>
    </w:pPr>
  </w:p>
  <w:p w14:paraId="5522AFBD" w14:textId="77777777" w:rsidR="0073688A" w:rsidRPr="00BE2F88" w:rsidRDefault="0073688A" w:rsidP="00094D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C62A" w14:textId="3131A009" w:rsidR="000535E6" w:rsidRPr="00BE2F88" w:rsidRDefault="000535E6" w:rsidP="00094DEA">
    <w:pPr>
      <w:widowControl w:val="0"/>
      <w:rPr>
        <w:sz w:val="22"/>
        <w:szCs w:val="22"/>
      </w:rPr>
    </w:pPr>
  </w:p>
  <w:p w14:paraId="203D031D" w14:textId="797908FF" w:rsidR="0073688A" w:rsidRPr="00BE2F88" w:rsidRDefault="00A94F5C" w:rsidP="00C60EB5">
    <w:pPr>
      <w:widowControl w:val="0"/>
      <w:autoSpaceDE w:val="0"/>
      <w:autoSpaceDN w:val="0"/>
      <w:adjustRightInd w:val="0"/>
      <w:jc w:val="center"/>
      <w:rPr>
        <w:sz w:val="17"/>
        <w:szCs w:val="17"/>
      </w:rPr>
    </w:pPr>
    <w:r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>U</w:t>
    </w:r>
    <w:r w:rsidR="000F5CC4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>FSC</w:t>
    </w:r>
    <w:r w:rsidR="0073688A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 –</w:t>
    </w:r>
    <w:r w:rsidR="000F5CC4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 Florianópolis</w:t>
    </w:r>
    <w:r w:rsidR="002A7C0D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 – </w:t>
    </w:r>
    <w:r w:rsidR="00D324AD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30, 31 </w:t>
    </w:r>
    <w:r w:rsidR="0073688A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de </w:t>
    </w:r>
    <w:proofErr w:type="gramStart"/>
    <w:r w:rsidR="00D324AD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>Jul</w:t>
    </w:r>
    <w:r w:rsidR="000F5CC4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>ho</w:t>
    </w:r>
    <w:proofErr w:type="gramEnd"/>
    <w:r w:rsidR="00D324AD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 e 1 de Agosto</w:t>
    </w:r>
    <w:r w:rsidR="0073688A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 de 202</w:t>
    </w:r>
    <w:r w:rsidR="00D324AD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>5</w:t>
    </w:r>
    <w:r w:rsidR="0073688A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>.</w:t>
    </w:r>
  </w:p>
  <w:p w14:paraId="5FAD3DFC" w14:textId="77777777" w:rsidR="0073688A" w:rsidRPr="00BE2F88" w:rsidRDefault="0073688A" w:rsidP="006D00BB">
    <w:pPr>
      <w:widowControl w:val="0"/>
      <w:autoSpaceDE w:val="0"/>
      <w:autoSpaceDN w:val="0"/>
      <w:adjustRightInd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29DF" w14:textId="77777777" w:rsidR="0073688A" w:rsidRPr="00BE2F88" w:rsidRDefault="0073688A" w:rsidP="00342D36">
    <w:pPr>
      <w:widowControl w:val="0"/>
      <w:autoSpaceDE w:val="0"/>
      <w:autoSpaceDN w:val="0"/>
      <w:adjustRightInd w:val="0"/>
      <w:rPr>
        <w:rFonts w:ascii="Arial" w:hAnsi="Arial" w:cs="Arial"/>
        <w:color w:val="7F7F7F"/>
        <w:sz w:val="18"/>
        <w:szCs w:val="18"/>
        <w:lang w:eastAsia="en-US" w:bidi="en-US"/>
      </w:rPr>
    </w:pPr>
    <w:r w:rsidRPr="00BE2F88">
      <w:rPr>
        <w:rFonts w:ascii="Arial" w:hAnsi="Arial" w:cs="Arial"/>
        <w:b/>
        <w:bCs/>
        <w:color w:val="7F7F7F"/>
        <w:sz w:val="18"/>
        <w:szCs w:val="18"/>
        <w:lang w:eastAsia="en-US" w:bidi="en-US"/>
      </w:rPr>
      <w:t>Estudos em Design</w:t>
    </w:r>
    <w:r w:rsidRPr="00BE2F88">
      <w:rPr>
        <w:rFonts w:ascii="Arial" w:hAnsi="Arial" w:cs="Arial"/>
        <w:bCs/>
        <w:color w:val="7F7F7F"/>
        <w:sz w:val="18"/>
        <w:szCs w:val="18"/>
        <w:lang w:eastAsia="en-US" w:bidi="en-US"/>
      </w:rPr>
      <w:t xml:space="preserve"> </w:t>
    </w:r>
    <w:r w:rsidRPr="00BE2F88">
      <w:rPr>
        <w:rFonts w:ascii="Arial" w:hAnsi="Arial" w:cs="Arial"/>
        <w:color w:val="7F7F7F"/>
        <w:sz w:val="18"/>
        <w:szCs w:val="18"/>
        <w:lang w:eastAsia="en-US" w:bidi="en-US"/>
      </w:rPr>
      <w:t xml:space="preserve">| Revista (online). Rio de Janeiro: v. X | n. X [ANO], p. X – X | ISSN </w:t>
    </w:r>
    <w:r w:rsidRPr="00BE2F88">
      <w:rPr>
        <w:rStyle w:val="apple-style-span"/>
        <w:rFonts w:ascii="Arial" w:hAnsi="Arial" w:cs="Arial"/>
        <w:color w:val="7F7F7F"/>
        <w:sz w:val="17"/>
        <w:szCs w:val="17"/>
      </w:rPr>
      <w:t>1983-196X</w:t>
    </w:r>
  </w:p>
  <w:p w14:paraId="1AB30BA8" w14:textId="77777777" w:rsidR="0073688A" w:rsidRPr="00BE2F88" w:rsidRDefault="007368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3C2B" w14:textId="77777777" w:rsidR="009F120D" w:rsidRPr="00BE2F88" w:rsidRDefault="009F120D">
      <w:bookmarkStart w:id="0" w:name="_Hlk524516655"/>
      <w:bookmarkEnd w:id="0"/>
      <w:r w:rsidRPr="00BE2F88">
        <w:separator/>
      </w:r>
    </w:p>
  </w:footnote>
  <w:footnote w:type="continuationSeparator" w:id="0">
    <w:p w14:paraId="76E0B83F" w14:textId="77777777" w:rsidR="009F120D" w:rsidRPr="00BE2F88" w:rsidRDefault="009F120D">
      <w:r w:rsidRPr="00BE2F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E6D1" w14:textId="426F687F" w:rsidR="0073688A" w:rsidRPr="00BE2F88" w:rsidRDefault="000535E6" w:rsidP="006B150E">
    <w:r w:rsidRPr="00BE2F88">
      <w:rPr>
        <w:noProof/>
      </w:rPr>
      <w:drawing>
        <wp:anchor distT="0" distB="0" distL="114300" distR="114300" simplePos="0" relativeHeight="251658240" behindDoc="0" locked="0" layoutInCell="1" allowOverlap="1" wp14:anchorId="0072EFE8" wp14:editId="230CABFA">
          <wp:simplePos x="0" y="0"/>
          <wp:positionH relativeFrom="page">
            <wp:align>left</wp:align>
          </wp:positionH>
          <wp:positionV relativeFrom="paragraph">
            <wp:posOffset>-36195</wp:posOffset>
          </wp:positionV>
          <wp:extent cx="7543800" cy="758190"/>
          <wp:effectExtent l="0" t="0" r="0" b="3810"/>
          <wp:wrapSquare wrapText="bothSides"/>
          <wp:docPr id="3" name="Imagem 3" descr="C:\Users\maria\Downloads\Cópia de ensus xiii - encontro de sustentabilidade em projeto (15.059 x 3 cm) (15.059 x 3 cm) (15 x 2 cm) (20 x 1.5 cm) (15 x 1.5 cm)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ia\Downloads\Cópia de ensus xiii - encontro de sustentabilidade em projeto (15.059 x 3 cm) (15.059 x 3 cm) (15 x 2 cm) (20 x 1.5 cm) (15 x 1.5 cm)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7FB"/>
    <w:multiLevelType w:val="hybridMultilevel"/>
    <w:tmpl w:val="12942D8C"/>
    <w:lvl w:ilvl="0" w:tplc="CAEC6DCA">
      <w:start w:val="1"/>
      <w:numFmt w:val="decimal"/>
      <w:pStyle w:val="Subttulo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783E"/>
    <w:multiLevelType w:val="multilevel"/>
    <w:tmpl w:val="742670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A63577"/>
    <w:multiLevelType w:val="hybridMultilevel"/>
    <w:tmpl w:val="47108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C8"/>
    <w:multiLevelType w:val="hybridMultilevel"/>
    <w:tmpl w:val="20222CF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2A1F14"/>
    <w:multiLevelType w:val="hybridMultilevel"/>
    <w:tmpl w:val="C3C63FE6"/>
    <w:lvl w:ilvl="0" w:tplc="B79C5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B0923"/>
    <w:multiLevelType w:val="hybridMultilevel"/>
    <w:tmpl w:val="850C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7C57"/>
    <w:multiLevelType w:val="hybridMultilevel"/>
    <w:tmpl w:val="484052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24194"/>
    <w:multiLevelType w:val="hybridMultilevel"/>
    <w:tmpl w:val="2D22F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B3A78"/>
    <w:multiLevelType w:val="hybridMultilevel"/>
    <w:tmpl w:val="B84E1B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596C19"/>
    <w:multiLevelType w:val="hybridMultilevel"/>
    <w:tmpl w:val="C820F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2B70"/>
    <w:multiLevelType w:val="hybridMultilevel"/>
    <w:tmpl w:val="48405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C7803"/>
    <w:multiLevelType w:val="hybridMultilevel"/>
    <w:tmpl w:val="B130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03EC1"/>
    <w:multiLevelType w:val="multilevel"/>
    <w:tmpl w:val="D6760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3" w15:restartNumberingAfterBreak="0">
    <w:nsid w:val="6DBB6E6B"/>
    <w:multiLevelType w:val="hybridMultilevel"/>
    <w:tmpl w:val="D5A4A2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F5036"/>
    <w:multiLevelType w:val="hybridMultilevel"/>
    <w:tmpl w:val="E6FE43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820248"/>
    <w:multiLevelType w:val="hybridMultilevel"/>
    <w:tmpl w:val="C9A65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600310">
    <w:abstractNumId w:val="5"/>
  </w:num>
  <w:num w:numId="2" w16cid:durableId="2142141918">
    <w:abstractNumId w:val="8"/>
  </w:num>
  <w:num w:numId="3" w16cid:durableId="1881504394">
    <w:abstractNumId w:val="11"/>
  </w:num>
  <w:num w:numId="4" w16cid:durableId="1794640725">
    <w:abstractNumId w:val="3"/>
  </w:num>
  <w:num w:numId="5" w16cid:durableId="102655425">
    <w:abstractNumId w:val="4"/>
  </w:num>
  <w:num w:numId="6" w16cid:durableId="1652557190">
    <w:abstractNumId w:val="6"/>
  </w:num>
  <w:num w:numId="7" w16cid:durableId="550044870">
    <w:abstractNumId w:val="10"/>
  </w:num>
  <w:num w:numId="8" w16cid:durableId="466163276">
    <w:abstractNumId w:val="15"/>
  </w:num>
  <w:num w:numId="9" w16cid:durableId="2127383358">
    <w:abstractNumId w:val="2"/>
  </w:num>
  <w:num w:numId="10" w16cid:durableId="1445462076">
    <w:abstractNumId w:val="0"/>
  </w:num>
  <w:num w:numId="11" w16cid:durableId="271669742">
    <w:abstractNumId w:val="9"/>
  </w:num>
  <w:num w:numId="12" w16cid:durableId="341781561">
    <w:abstractNumId w:val="13"/>
  </w:num>
  <w:num w:numId="13" w16cid:durableId="26218051">
    <w:abstractNumId w:val="12"/>
  </w:num>
  <w:num w:numId="14" w16cid:durableId="282729977">
    <w:abstractNumId w:val="1"/>
  </w:num>
  <w:num w:numId="15" w16cid:durableId="260257906">
    <w:abstractNumId w:val="7"/>
  </w:num>
  <w:num w:numId="16" w16cid:durableId="1978955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39"/>
    <w:rsid w:val="000045FB"/>
    <w:rsid w:val="000058E4"/>
    <w:rsid w:val="00010958"/>
    <w:rsid w:val="00022C86"/>
    <w:rsid w:val="00026F91"/>
    <w:rsid w:val="000275EB"/>
    <w:rsid w:val="00041AB9"/>
    <w:rsid w:val="000465E8"/>
    <w:rsid w:val="000535E6"/>
    <w:rsid w:val="00054581"/>
    <w:rsid w:val="00061706"/>
    <w:rsid w:val="0007099C"/>
    <w:rsid w:val="000711EF"/>
    <w:rsid w:val="00082F0F"/>
    <w:rsid w:val="00084121"/>
    <w:rsid w:val="00094DEA"/>
    <w:rsid w:val="000A0634"/>
    <w:rsid w:val="000B53D4"/>
    <w:rsid w:val="000F3E6B"/>
    <w:rsid w:val="000F5978"/>
    <w:rsid w:val="000F5CC4"/>
    <w:rsid w:val="001027A9"/>
    <w:rsid w:val="001130FD"/>
    <w:rsid w:val="00123B81"/>
    <w:rsid w:val="001319A4"/>
    <w:rsid w:val="00137DAE"/>
    <w:rsid w:val="00141364"/>
    <w:rsid w:val="001464DE"/>
    <w:rsid w:val="00150A7B"/>
    <w:rsid w:val="0015121C"/>
    <w:rsid w:val="00152FAD"/>
    <w:rsid w:val="00154F6A"/>
    <w:rsid w:val="00156B94"/>
    <w:rsid w:val="00157CE6"/>
    <w:rsid w:val="0016002D"/>
    <w:rsid w:val="001632CD"/>
    <w:rsid w:val="00166961"/>
    <w:rsid w:val="00167D4E"/>
    <w:rsid w:val="00170328"/>
    <w:rsid w:val="00173361"/>
    <w:rsid w:val="00187695"/>
    <w:rsid w:val="00195A9B"/>
    <w:rsid w:val="001A02AA"/>
    <w:rsid w:val="001A141A"/>
    <w:rsid w:val="001A619C"/>
    <w:rsid w:val="001A6C40"/>
    <w:rsid w:val="001B1B25"/>
    <w:rsid w:val="001C1ECB"/>
    <w:rsid w:val="001C4D03"/>
    <w:rsid w:val="001C783C"/>
    <w:rsid w:val="001E57A8"/>
    <w:rsid w:val="001F15C2"/>
    <w:rsid w:val="00201C0B"/>
    <w:rsid w:val="002156E9"/>
    <w:rsid w:val="0023063E"/>
    <w:rsid w:val="002309C5"/>
    <w:rsid w:val="00242B23"/>
    <w:rsid w:val="00251B8B"/>
    <w:rsid w:val="00255E26"/>
    <w:rsid w:val="00256808"/>
    <w:rsid w:val="00266710"/>
    <w:rsid w:val="00276E65"/>
    <w:rsid w:val="0029220F"/>
    <w:rsid w:val="002958D4"/>
    <w:rsid w:val="002A3CB7"/>
    <w:rsid w:val="002A4463"/>
    <w:rsid w:val="002A64FD"/>
    <w:rsid w:val="002A70ED"/>
    <w:rsid w:val="002A7C0D"/>
    <w:rsid w:val="002B2FA4"/>
    <w:rsid w:val="002B630B"/>
    <w:rsid w:val="002B7395"/>
    <w:rsid w:val="002D2F27"/>
    <w:rsid w:val="002D31EF"/>
    <w:rsid w:val="002E0F40"/>
    <w:rsid w:val="002E55CE"/>
    <w:rsid w:val="002F0E3F"/>
    <w:rsid w:val="002F266B"/>
    <w:rsid w:val="002F457F"/>
    <w:rsid w:val="0030425A"/>
    <w:rsid w:val="00304794"/>
    <w:rsid w:val="00304993"/>
    <w:rsid w:val="00321E9E"/>
    <w:rsid w:val="00322F40"/>
    <w:rsid w:val="0033475A"/>
    <w:rsid w:val="00334C11"/>
    <w:rsid w:val="00342D36"/>
    <w:rsid w:val="0035152E"/>
    <w:rsid w:val="00356CD1"/>
    <w:rsid w:val="00375F35"/>
    <w:rsid w:val="00376B0A"/>
    <w:rsid w:val="0038005D"/>
    <w:rsid w:val="00384F40"/>
    <w:rsid w:val="003C2C5E"/>
    <w:rsid w:val="003C3AB2"/>
    <w:rsid w:val="003C7A9D"/>
    <w:rsid w:val="003D7902"/>
    <w:rsid w:val="003E42AE"/>
    <w:rsid w:val="003E6576"/>
    <w:rsid w:val="0040305B"/>
    <w:rsid w:val="004146A8"/>
    <w:rsid w:val="004245F7"/>
    <w:rsid w:val="00426C18"/>
    <w:rsid w:val="00450040"/>
    <w:rsid w:val="00461BFF"/>
    <w:rsid w:val="00461CAB"/>
    <w:rsid w:val="0047004B"/>
    <w:rsid w:val="004737C6"/>
    <w:rsid w:val="004871A4"/>
    <w:rsid w:val="0048781A"/>
    <w:rsid w:val="0049479C"/>
    <w:rsid w:val="004A53F6"/>
    <w:rsid w:val="004A6450"/>
    <w:rsid w:val="004A6B7A"/>
    <w:rsid w:val="004B3FDF"/>
    <w:rsid w:val="004B6535"/>
    <w:rsid w:val="004B7146"/>
    <w:rsid w:val="004D2749"/>
    <w:rsid w:val="004D7EBA"/>
    <w:rsid w:val="004D7FB8"/>
    <w:rsid w:val="004E2C7A"/>
    <w:rsid w:val="004E3765"/>
    <w:rsid w:val="004E3CEF"/>
    <w:rsid w:val="004E7D4E"/>
    <w:rsid w:val="004F74BE"/>
    <w:rsid w:val="00511B2B"/>
    <w:rsid w:val="00533E0F"/>
    <w:rsid w:val="005360D9"/>
    <w:rsid w:val="0055227D"/>
    <w:rsid w:val="00556097"/>
    <w:rsid w:val="0055714B"/>
    <w:rsid w:val="00562A47"/>
    <w:rsid w:val="00573743"/>
    <w:rsid w:val="00575335"/>
    <w:rsid w:val="00576E8A"/>
    <w:rsid w:val="00580435"/>
    <w:rsid w:val="0058453D"/>
    <w:rsid w:val="00591168"/>
    <w:rsid w:val="005B099A"/>
    <w:rsid w:val="005B4172"/>
    <w:rsid w:val="005D0B9A"/>
    <w:rsid w:val="005D5236"/>
    <w:rsid w:val="005E4971"/>
    <w:rsid w:val="006321C7"/>
    <w:rsid w:val="00632F8F"/>
    <w:rsid w:val="00655F57"/>
    <w:rsid w:val="006652EE"/>
    <w:rsid w:val="006726F2"/>
    <w:rsid w:val="00684677"/>
    <w:rsid w:val="00684958"/>
    <w:rsid w:val="00685574"/>
    <w:rsid w:val="00696034"/>
    <w:rsid w:val="006A141B"/>
    <w:rsid w:val="006A6CEF"/>
    <w:rsid w:val="006B150E"/>
    <w:rsid w:val="006D00BB"/>
    <w:rsid w:val="006D760B"/>
    <w:rsid w:val="006E39EE"/>
    <w:rsid w:val="006E5204"/>
    <w:rsid w:val="00726E56"/>
    <w:rsid w:val="0073688A"/>
    <w:rsid w:val="00744CC9"/>
    <w:rsid w:val="0074748B"/>
    <w:rsid w:val="00750318"/>
    <w:rsid w:val="00751F70"/>
    <w:rsid w:val="00753B8D"/>
    <w:rsid w:val="00754757"/>
    <w:rsid w:val="00755FC1"/>
    <w:rsid w:val="007628A1"/>
    <w:rsid w:val="007769C7"/>
    <w:rsid w:val="00777D35"/>
    <w:rsid w:val="0078001B"/>
    <w:rsid w:val="007A21A2"/>
    <w:rsid w:val="007A5FA8"/>
    <w:rsid w:val="007B09B1"/>
    <w:rsid w:val="007B791F"/>
    <w:rsid w:val="007C087F"/>
    <w:rsid w:val="007C32C5"/>
    <w:rsid w:val="007D60CD"/>
    <w:rsid w:val="007E0E40"/>
    <w:rsid w:val="007E381B"/>
    <w:rsid w:val="007F4A6D"/>
    <w:rsid w:val="007F6A0B"/>
    <w:rsid w:val="00805184"/>
    <w:rsid w:val="0080739F"/>
    <w:rsid w:val="00812BDC"/>
    <w:rsid w:val="00827839"/>
    <w:rsid w:val="008339F5"/>
    <w:rsid w:val="00834AB2"/>
    <w:rsid w:val="0083691D"/>
    <w:rsid w:val="00887FC9"/>
    <w:rsid w:val="00892EA4"/>
    <w:rsid w:val="00897F56"/>
    <w:rsid w:val="008B31BB"/>
    <w:rsid w:val="008B448D"/>
    <w:rsid w:val="008F4E9F"/>
    <w:rsid w:val="00923704"/>
    <w:rsid w:val="00933433"/>
    <w:rsid w:val="00936492"/>
    <w:rsid w:val="00936AB7"/>
    <w:rsid w:val="00940846"/>
    <w:rsid w:val="009470FB"/>
    <w:rsid w:val="00963F76"/>
    <w:rsid w:val="009673E6"/>
    <w:rsid w:val="00970859"/>
    <w:rsid w:val="00982670"/>
    <w:rsid w:val="00983012"/>
    <w:rsid w:val="00985C2D"/>
    <w:rsid w:val="00994C0F"/>
    <w:rsid w:val="009A0975"/>
    <w:rsid w:val="009A3F66"/>
    <w:rsid w:val="009B1153"/>
    <w:rsid w:val="009B2EF9"/>
    <w:rsid w:val="009C3012"/>
    <w:rsid w:val="009E1C02"/>
    <w:rsid w:val="009E32B0"/>
    <w:rsid w:val="009E6C4A"/>
    <w:rsid w:val="009F120D"/>
    <w:rsid w:val="009F1B7B"/>
    <w:rsid w:val="009F2905"/>
    <w:rsid w:val="00A006AD"/>
    <w:rsid w:val="00A00800"/>
    <w:rsid w:val="00A01B71"/>
    <w:rsid w:val="00A056D4"/>
    <w:rsid w:val="00A16C65"/>
    <w:rsid w:val="00A20A2F"/>
    <w:rsid w:val="00A2134F"/>
    <w:rsid w:val="00A31429"/>
    <w:rsid w:val="00A475A7"/>
    <w:rsid w:val="00A529AE"/>
    <w:rsid w:val="00A610B4"/>
    <w:rsid w:val="00A6184A"/>
    <w:rsid w:val="00A628E3"/>
    <w:rsid w:val="00A6747E"/>
    <w:rsid w:val="00A676F4"/>
    <w:rsid w:val="00A70836"/>
    <w:rsid w:val="00A77C6A"/>
    <w:rsid w:val="00A77D24"/>
    <w:rsid w:val="00A81A17"/>
    <w:rsid w:val="00A838AC"/>
    <w:rsid w:val="00A94282"/>
    <w:rsid w:val="00A9449D"/>
    <w:rsid w:val="00A94F5C"/>
    <w:rsid w:val="00AA37F5"/>
    <w:rsid w:val="00AD0198"/>
    <w:rsid w:val="00AD0872"/>
    <w:rsid w:val="00AD61A3"/>
    <w:rsid w:val="00AE4CD3"/>
    <w:rsid w:val="00B03026"/>
    <w:rsid w:val="00B04638"/>
    <w:rsid w:val="00B10BFE"/>
    <w:rsid w:val="00B27B0F"/>
    <w:rsid w:val="00B36DB0"/>
    <w:rsid w:val="00B40F1C"/>
    <w:rsid w:val="00B418BD"/>
    <w:rsid w:val="00B45F45"/>
    <w:rsid w:val="00B47683"/>
    <w:rsid w:val="00B55936"/>
    <w:rsid w:val="00B6020C"/>
    <w:rsid w:val="00B63A35"/>
    <w:rsid w:val="00B745D0"/>
    <w:rsid w:val="00B763AC"/>
    <w:rsid w:val="00B81D99"/>
    <w:rsid w:val="00B87AB8"/>
    <w:rsid w:val="00BA0EDD"/>
    <w:rsid w:val="00BA206D"/>
    <w:rsid w:val="00BB11DF"/>
    <w:rsid w:val="00BD4CFD"/>
    <w:rsid w:val="00BE083D"/>
    <w:rsid w:val="00BE2F88"/>
    <w:rsid w:val="00BF0F76"/>
    <w:rsid w:val="00C03892"/>
    <w:rsid w:val="00C10C19"/>
    <w:rsid w:val="00C14F75"/>
    <w:rsid w:val="00C16760"/>
    <w:rsid w:val="00C17C16"/>
    <w:rsid w:val="00C210B0"/>
    <w:rsid w:val="00C30786"/>
    <w:rsid w:val="00C41F4B"/>
    <w:rsid w:val="00C60EB5"/>
    <w:rsid w:val="00C62B59"/>
    <w:rsid w:val="00C63DEF"/>
    <w:rsid w:val="00C753EF"/>
    <w:rsid w:val="00C76D5E"/>
    <w:rsid w:val="00C77308"/>
    <w:rsid w:val="00C81752"/>
    <w:rsid w:val="00C86D62"/>
    <w:rsid w:val="00C86F4E"/>
    <w:rsid w:val="00C93DCE"/>
    <w:rsid w:val="00CA2E59"/>
    <w:rsid w:val="00CA54FC"/>
    <w:rsid w:val="00CD3CC5"/>
    <w:rsid w:val="00CE4548"/>
    <w:rsid w:val="00CE76F9"/>
    <w:rsid w:val="00CF25BE"/>
    <w:rsid w:val="00D10C99"/>
    <w:rsid w:val="00D17099"/>
    <w:rsid w:val="00D2598F"/>
    <w:rsid w:val="00D324AD"/>
    <w:rsid w:val="00D349A6"/>
    <w:rsid w:val="00D8734D"/>
    <w:rsid w:val="00D91C4E"/>
    <w:rsid w:val="00DA6F7D"/>
    <w:rsid w:val="00DC3C3C"/>
    <w:rsid w:val="00DD124B"/>
    <w:rsid w:val="00DE1749"/>
    <w:rsid w:val="00DE490F"/>
    <w:rsid w:val="00DE6B3F"/>
    <w:rsid w:val="00DF1010"/>
    <w:rsid w:val="00DF74B6"/>
    <w:rsid w:val="00E34205"/>
    <w:rsid w:val="00E46824"/>
    <w:rsid w:val="00E61DE3"/>
    <w:rsid w:val="00E65D3B"/>
    <w:rsid w:val="00E76F53"/>
    <w:rsid w:val="00E8108A"/>
    <w:rsid w:val="00E81239"/>
    <w:rsid w:val="00E850FD"/>
    <w:rsid w:val="00E94C7B"/>
    <w:rsid w:val="00E97ED4"/>
    <w:rsid w:val="00EA0A82"/>
    <w:rsid w:val="00EA33C3"/>
    <w:rsid w:val="00EA6B4B"/>
    <w:rsid w:val="00EB4594"/>
    <w:rsid w:val="00ED2BA5"/>
    <w:rsid w:val="00ED34E9"/>
    <w:rsid w:val="00EE28A9"/>
    <w:rsid w:val="00EE5C83"/>
    <w:rsid w:val="00EE63D7"/>
    <w:rsid w:val="00EF1CF0"/>
    <w:rsid w:val="00F135A0"/>
    <w:rsid w:val="00F21165"/>
    <w:rsid w:val="00F2271C"/>
    <w:rsid w:val="00F23BE3"/>
    <w:rsid w:val="00F23FF2"/>
    <w:rsid w:val="00F25AC0"/>
    <w:rsid w:val="00F300F7"/>
    <w:rsid w:val="00F415DF"/>
    <w:rsid w:val="00F64475"/>
    <w:rsid w:val="00F75D73"/>
    <w:rsid w:val="00F95939"/>
    <w:rsid w:val="00FB7EA5"/>
    <w:rsid w:val="00FC5374"/>
    <w:rsid w:val="00FC5614"/>
    <w:rsid w:val="00FC79FF"/>
    <w:rsid w:val="00FD5E69"/>
    <w:rsid w:val="00FE3383"/>
    <w:rsid w:val="00FF2B6C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295866"/>
  <w15:docId w15:val="{2F459603-FA66-47D8-B254-DEBD9E9B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39"/>
    <w:pPr>
      <w:jc w:val="both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278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3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27839"/>
    <w:rPr>
      <w:rFonts w:ascii="Arial" w:eastAsia="Times New Roman" w:hAnsi="Arial" w:cs="Times New Roman"/>
      <w:b/>
      <w:kern w:val="28"/>
      <w:sz w:val="28"/>
      <w:szCs w:val="20"/>
      <w:lang w:val="en-US" w:eastAsia="pt-BR"/>
    </w:rPr>
  </w:style>
  <w:style w:type="paragraph" w:styleId="Rodap">
    <w:name w:val="footer"/>
    <w:basedOn w:val="Normal"/>
    <w:link w:val="RodapChar"/>
    <w:autoRedefine/>
    <w:semiHidden/>
    <w:rsid w:val="00827839"/>
    <w:pPr>
      <w:tabs>
        <w:tab w:val="center" w:pos="4320"/>
        <w:tab w:val="right" w:pos="8640"/>
      </w:tabs>
      <w:ind w:left="567" w:right="360"/>
    </w:pPr>
    <w:rPr>
      <w:rFonts w:ascii="Verdana" w:hAnsi="Verdana"/>
      <w:smallCaps/>
      <w:sz w:val="10"/>
    </w:rPr>
  </w:style>
  <w:style w:type="character" w:customStyle="1" w:styleId="RodapChar">
    <w:name w:val="Rodapé Char"/>
    <w:link w:val="Rodap"/>
    <w:semiHidden/>
    <w:rsid w:val="00827839"/>
    <w:rPr>
      <w:rFonts w:ascii="Verdana" w:eastAsia="Times New Roman" w:hAnsi="Verdana" w:cs="Times New Roman"/>
      <w:smallCaps/>
      <w:sz w:val="10"/>
      <w:szCs w:val="20"/>
      <w:lang w:val="en-US" w:eastAsia="pt-BR"/>
    </w:rPr>
  </w:style>
  <w:style w:type="character" w:styleId="Nmerodepgina">
    <w:name w:val="page number"/>
    <w:semiHidden/>
    <w:rsid w:val="00827839"/>
    <w:rPr>
      <w:rFonts w:ascii="Verdana" w:hAnsi="Verdana"/>
      <w:sz w:val="24"/>
    </w:rPr>
  </w:style>
  <w:style w:type="character" w:styleId="Hyperlink">
    <w:name w:val="Hyperlink"/>
    <w:uiPriority w:val="99"/>
    <w:unhideWhenUsed/>
    <w:rsid w:val="00827839"/>
    <w:rPr>
      <w:color w:val="0000FF"/>
      <w:u w:val="single"/>
    </w:rPr>
  </w:style>
  <w:style w:type="character" w:customStyle="1" w:styleId="apple-style-span">
    <w:name w:val="apple-style-span"/>
    <w:rsid w:val="00827839"/>
  </w:style>
  <w:style w:type="paragraph" w:styleId="PargrafodaLista">
    <w:name w:val="List Paragraph"/>
    <w:basedOn w:val="Normal"/>
    <w:uiPriority w:val="34"/>
    <w:qFormat/>
    <w:rsid w:val="005D0B9A"/>
    <w:pPr>
      <w:ind w:left="720"/>
      <w:contextualSpacing/>
    </w:pPr>
  </w:style>
  <w:style w:type="paragraph" w:customStyle="1" w:styleId="IDpaper-Text">
    <w:name w:val="IDpaper-Text"/>
    <w:basedOn w:val="Normal"/>
    <w:rsid w:val="00DF1010"/>
    <w:pPr>
      <w:widowControl w:val="0"/>
      <w:tabs>
        <w:tab w:val="left" w:pos="284"/>
      </w:tabs>
      <w:spacing w:after="120"/>
      <w:jc w:val="left"/>
    </w:pPr>
    <w:rPr>
      <w:rFonts w:ascii="Arial" w:hAnsi="Arial" w:cs="Arial"/>
      <w:kern w:val="16"/>
      <w:sz w:val="20"/>
      <w:lang w:val="en-GB" w:eastAsia="en-US"/>
    </w:rPr>
  </w:style>
  <w:style w:type="paragraph" w:customStyle="1" w:styleId="IDpaper-heading2">
    <w:name w:val="IDpaper-heading2"/>
    <w:basedOn w:val="Normal"/>
    <w:rsid w:val="00DF1010"/>
    <w:pPr>
      <w:widowControl w:val="0"/>
      <w:tabs>
        <w:tab w:val="left" w:pos="284"/>
      </w:tabs>
      <w:spacing w:before="240" w:after="120"/>
      <w:jc w:val="left"/>
    </w:pPr>
    <w:rPr>
      <w:rFonts w:ascii="Arial" w:hAnsi="Arial" w:cs="Arial"/>
      <w:b/>
      <w:bCs/>
      <w:kern w:val="16"/>
      <w:sz w:val="20"/>
      <w:lang w:val="en-GB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6C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16C65"/>
    <w:rPr>
      <w:rFonts w:ascii="Lucida Grande" w:eastAsia="Times New Roman" w:hAnsi="Lucida Grande" w:cs="Lucida Grande"/>
      <w:sz w:val="18"/>
      <w:szCs w:val="18"/>
      <w:lang w:val="en-US"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C210B0"/>
    <w:pPr>
      <w:spacing w:after="200"/>
    </w:pPr>
    <w:rPr>
      <w:b/>
      <w:bCs/>
      <w:color w:val="4F81BD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77D3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777D35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77D35"/>
    <w:rPr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777D35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styleId="Refdenotaderodap">
    <w:name w:val="footnote reference"/>
    <w:uiPriority w:val="99"/>
    <w:unhideWhenUsed/>
    <w:rsid w:val="00777D35"/>
    <w:rPr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42D36"/>
    <w:rPr>
      <w:rFonts w:ascii="Lucida Grande" w:hAnsi="Lucida Grande" w:cs="Lucida Grande"/>
      <w:szCs w:val="24"/>
    </w:rPr>
  </w:style>
  <w:style w:type="character" w:customStyle="1" w:styleId="MapadoDocumentoChar">
    <w:name w:val="Mapa do Documento Char"/>
    <w:link w:val="MapadoDocumento"/>
    <w:uiPriority w:val="99"/>
    <w:semiHidden/>
    <w:rsid w:val="00342D36"/>
    <w:rPr>
      <w:rFonts w:ascii="Lucida Grande" w:eastAsia="Times New Roman" w:hAnsi="Lucida Grande" w:cs="Lucida Grande"/>
      <w:sz w:val="24"/>
      <w:szCs w:val="24"/>
      <w:lang w:val="en-US" w:eastAsia="pt-BR"/>
    </w:rPr>
  </w:style>
  <w:style w:type="paragraph" w:styleId="Reviso">
    <w:name w:val="Revision"/>
    <w:hidden/>
    <w:uiPriority w:val="99"/>
    <w:semiHidden/>
    <w:rsid w:val="00342D36"/>
    <w:rPr>
      <w:rFonts w:ascii="Times New Roman" w:eastAsia="Times New Roman" w:hAnsi="Times New Roman"/>
      <w:sz w:val="24"/>
      <w:lang w:val="en-US"/>
    </w:rPr>
  </w:style>
  <w:style w:type="table" w:styleId="Tabelacomgrade">
    <w:name w:val="Table Grid"/>
    <w:basedOn w:val="Tabelanormal"/>
    <w:uiPriority w:val="59"/>
    <w:rsid w:val="00B7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7628A1"/>
    <w:pPr>
      <w:jc w:val="center"/>
    </w:pPr>
    <w:rPr>
      <w:rFonts w:ascii="Tahoma" w:hAnsi="Tahoma" w:cs="Tahoma"/>
      <w:b/>
      <w:bCs/>
      <w:color w:val="0066FF"/>
      <w:sz w:val="28"/>
      <w:szCs w:val="28"/>
    </w:rPr>
  </w:style>
  <w:style w:type="character" w:customStyle="1" w:styleId="TtuloChar">
    <w:name w:val="Título Char"/>
    <w:link w:val="Ttulo"/>
    <w:rsid w:val="007628A1"/>
    <w:rPr>
      <w:rFonts w:ascii="Tahoma" w:eastAsia="Times New Roman" w:hAnsi="Tahoma" w:cs="Tahoma"/>
      <w:b/>
      <w:bCs/>
      <w:color w:val="0066FF"/>
      <w:sz w:val="28"/>
      <w:szCs w:val="28"/>
      <w:lang w:eastAsia="pt-BR"/>
    </w:rPr>
  </w:style>
  <w:style w:type="table" w:styleId="TabelaSimples4">
    <w:name w:val="Plain Table 4"/>
    <w:basedOn w:val="Tabelanormal"/>
    <w:uiPriority w:val="44"/>
    <w:rsid w:val="008369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ubttulo">
    <w:name w:val="Subtitle"/>
    <w:basedOn w:val="Normal"/>
    <w:next w:val="Normal"/>
    <w:link w:val="SubttuloChar"/>
    <w:uiPriority w:val="11"/>
    <w:qFormat/>
    <w:rsid w:val="00575335"/>
    <w:pPr>
      <w:numPr>
        <w:numId w:val="10"/>
      </w:numPr>
      <w:spacing w:before="240" w:after="120"/>
      <w:ind w:left="357" w:hanging="357"/>
    </w:pPr>
    <w:rPr>
      <w:rFonts w:ascii="Arial" w:hAnsi="Arial"/>
      <w:b/>
      <w:spacing w:val="15"/>
      <w:szCs w:val="22"/>
      <w:lang w:eastAsia="en-US"/>
    </w:rPr>
  </w:style>
  <w:style w:type="character" w:customStyle="1" w:styleId="SubttuloChar">
    <w:name w:val="Subtítulo Char"/>
    <w:link w:val="Subttulo"/>
    <w:uiPriority w:val="11"/>
    <w:rsid w:val="00575335"/>
    <w:rPr>
      <w:rFonts w:ascii="Arial" w:eastAsia="Times New Roman" w:hAnsi="Arial"/>
      <w:b/>
      <w:spacing w:val="15"/>
      <w:sz w:val="24"/>
      <w:szCs w:val="22"/>
      <w:lang w:eastAsia="en-US"/>
    </w:rPr>
  </w:style>
  <w:style w:type="character" w:styleId="nfaseSutil">
    <w:name w:val="Subtle Emphasis"/>
    <w:basedOn w:val="Fontepargpadro"/>
    <w:uiPriority w:val="19"/>
    <w:qFormat/>
    <w:rsid w:val="002A7C0D"/>
    <w:rPr>
      <w:i/>
      <w:iCs/>
      <w:color w:val="404040" w:themeColor="text1" w:themeTint="BF"/>
    </w:rPr>
  </w:style>
  <w:style w:type="paragraph" w:styleId="Bibliografia">
    <w:name w:val="Bibliography"/>
    <w:basedOn w:val="Normal"/>
    <w:next w:val="Normal"/>
    <w:uiPriority w:val="37"/>
    <w:unhideWhenUsed/>
    <w:rsid w:val="0047004B"/>
  </w:style>
  <w:style w:type="character" w:customStyle="1" w:styleId="Ttulo2Char">
    <w:name w:val="Título 2 Char"/>
    <w:basedOn w:val="Fontepargpadro"/>
    <w:link w:val="Ttulo2"/>
    <w:uiPriority w:val="9"/>
    <w:semiHidden/>
    <w:rsid w:val="00F135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F3E6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2092e57087a5e4b6/PROPEC%20-%20UFOP/06.%20Artigos%20Extras/Congressos/ENTAC%202024/Concreto%20com%20Vermiculita/Figures%201%20-%201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eu%20Drive\PROPEC%20-%20UFOP\06.%20Artigos%20Extras\ENTAC%202024\Concreto%20com%20Vermiculita\Figures%201%20-%201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eu%20Drive\PROPEC%20-%20UFOP\06.%20Artigos%20Extras\ENTAC%202024\Concreto%20com%20Vermiculita\Figures%201%20-%201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G:\Meu%20Drive\PROPEC%20-%20UFOP\06.%20Artigos%20Extras\ENTAC%202024\Concreto%20com%20Vermiculita\Figures%201%20-%201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85885006240154"/>
          <c:y val="5.0925925925925923E-2"/>
          <c:w val="0.83904474700364517"/>
          <c:h val="0.731210994459025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'Figure 7'!$B$8</c:f>
              <c:strCache>
                <c:ptCount val="1"/>
                <c:pt idx="0">
                  <c:v>RT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7'!$A$9:$A$14</c:f>
              <c:strCache>
                <c:ptCount val="6"/>
                <c:pt idx="0">
                  <c:v>CR35</c:v>
                </c:pt>
                <c:pt idx="1">
                  <c:v>CV35</c:v>
                </c:pt>
                <c:pt idx="2">
                  <c:v>CR50</c:v>
                </c:pt>
                <c:pt idx="3">
                  <c:v>CV50</c:v>
                </c:pt>
                <c:pt idx="4">
                  <c:v>CR70</c:v>
                </c:pt>
                <c:pt idx="5">
                  <c:v>CV70</c:v>
                </c:pt>
              </c:strCache>
            </c:strRef>
          </c:cat>
          <c:val>
            <c:numRef>
              <c:f>'Figure 7'!$B$9:$B$14</c:f>
              <c:numCache>
                <c:formatCode>General</c:formatCode>
                <c:ptCount val="6"/>
                <c:pt idx="0">
                  <c:v>4728.1499999999996</c:v>
                </c:pt>
                <c:pt idx="1">
                  <c:v>4415.38</c:v>
                </c:pt>
                <c:pt idx="2">
                  <c:v>4615.34</c:v>
                </c:pt>
                <c:pt idx="3">
                  <c:v>4535.54</c:v>
                </c:pt>
                <c:pt idx="4">
                  <c:v>4463.28</c:v>
                </c:pt>
                <c:pt idx="5">
                  <c:v>4318.62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85-4799-8C06-7F67AE89BA90}"/>
            </c:ext>
          </c:extLst>
        </c:ser>
        <c:ser>
          <c:idx val="1"/>
          <c:order val="1"/>
          <c:tx>
            <c:strRef>
              <c:f>'Figure 7'!$C$8</c:f>
              <c:strCache>
                <c:ptCount val="1"/>
                <c:pt idx="0">
                  <c:v>200°C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7'!$A$9:$A$14</c:f>
              <c:strCache>
                <c:ptCount val="6"/>
                <c:pt idx="0">
                  <c:v>CR35</c:v>
                </c:pt>
                <c:pt idx="1">
                  <c:v>CV35</c:v>
                </c:pt>
                <c:pt idx="2">
                  <c:v>CR50</c:v>
                </c:pt>
                <c:pt idx="3">
                  <c:v>CV50</c:v>
                </c:pt>
                <c:pt idx="4">
                  <c:v>CR70</c:v>
                </c:pt>
                <c:pt idx="5">
                  <c:v>CV70</c:v>
                </c:pt>
              </c:strCache>
            </c:strRef>
          </c:cat>
          <c:val>
            <c:numRef>
              <c:f>'Figure 7'!$C$9:$C$14</c:f>
              <c:numCache>
                <c:formatCode>General</c:formatCode>
                <c:ptCount val="6"/>
                <c:pt idx="0">
                  <c:v>3749.23</c:v>
                </c:pt>
                <c:pt idx="1">
                  <c:v>3427.69</c:v>
                </c:pt>
                <c:pt idx="2">
                  <c:v>3762.31</c:v>
                </c:pt>
                <c:pt idx="3">
                  <c:v>3768.46</c:v>
                </c:pt>
                <c:pt idx="4">
                  <c:v>4285.38</c:v>
                </c:pt>
                <c:pt idx="5">
                  <c:v>4133.8500000000004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85-4799-8C06-7F67AE89BA90}"/>
            </c:ext>
          </c:extLst>
        </c:ser>
        <c:ser>
          <c:idx val="3"/>
          <c:order val="2"/>
          <c:tx>
            <c:strRef>
              <c:f>'Figure 7'!$D$8</c:f>
              <c:strCache>
                <c:ptCount val="1"/>
                <c:pt idx="0">
                  <c:v>400°C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7'!$A$9:$A$14</c:f>
              <c:strCache>
                <c:ptCount val="6"/>
                <c:pt idx="0">
                  <c:v>CR35</c:v>
                </c:pt>
                <c:pt idx="1">
                  <c:v>CV35</c:v>
                </c:pt>
                <c:pt idx="2">
                  <c:v>CR50</c:v>
                </c:pt>
                <c:pt idx="3">
                  <c:v>CV50</c:v>
                </c:pt>
                <c:pt idx="4">
                  <c:v>CR70</c:v>
                </c:pt>
                <c:pt idx="5">
                  <c:v>CV70</c:v>
                </c:pt>
              </c:strCache>
            </c:strRef>
          </c:cat>
          <c:val>
            <c:numRef>
              <c:f>'Figure 7'!$D$9:$D$14</c:f>
              <c:numCache>
                <c:formatCode>General</c:formatCode>
                <c:ptCount val="6"/>
                <c:pt idx="0">
                  <c:v>2620</c:v>
                </c:pt>
                <c:pt idx="1">
                  <c:v>2670</c:v>
                </c:pt>
                <c:pt idx="2">
                  <c:v>2415.38</c:v>
                </c:pt>
                <c:pt idx="3">
                  <c:v>2365</c:v>
                </c:pt>
                <c:pt idx="4">
                  <c:v>2852.73</c:v>
                </c:pt>
                <c:pt idx="5">
                  <c:v>2736.64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85-4799-8C06-7F67AE89BA90}"/>
            </c:ext>
          </c:extLst>
        </c:ser>
        <c:ser>
          <c:idx val="4"/>
          <c:order val="3"/>
          <c:tx>
            <c:strRef>
              <c:f>'Figure 7'!$E$8</c:f>
              <c:strCache>
                <c:ptCount val="1"/>
                <c:pt idx="0">
                  <c:v>800°C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7'!$A$9:$A$14</c:f>
              <c:strCache>
                <c:ptCount val="6"/>
                <c:pt idx="0">
                  <c:v>CR35</c:v>
                </c:pt>
                <c:pt idx="1">
                  <c:v>CV35</c:v>
                </c:pt>
                <c:pt idx="2">
                  <c:v>CR50</c:v>
                </c:pt>
                <c:pt idx="3">
                  <c:v>CV50</c:v>
                </c:pt>
                <c:pt idx="4">
                  <c:v>CR70</c:v>
                </c:pt>
                <c:pt idx="5">
                  <c:v>CV70</c:v>
                </c:pt>
              </c:strCache>
            </c:strRef>
          </c:cat>
          <c:val>
            <c:numRef>
              <c:f>'Figure 7'!$E$9:$E$14</c:f>
              <c:numCache>
                <c:formatCode>General</c:formatCode>
                <c:ptCount val="6"/>
                <c:pt idx="0">
                  <c:v>990</c:v>
                </c:pt>
                <c:pt idx="1">
                  <c:v>965</c:v>
                </c:pt>
                <c:pt idx="2">
                  <c:v>812.22</c:v>
                </c:pt>
                <c:pt idx="3">
                  <c:v>838.89</c:v>
                </c:pt>
                <c:pt idx="4">
                  <c:v>1450</c:v>
                </c:pt>
                <c:pt idx="5">
                  <c:v>1460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85-4799-8C06-7F67AE89BA9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30478399"/>
        <c:axId val="1479036703"/>
      </c:barChart>
      <c:catAx>
        <c:axId val="1730478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479036703"/>
        <c:crosses val="autoZero"/>
        <c:auto val="1"/>
        <c:lblAlgn val="ctr"/>
        <c:lblOffset val="100"/>
        <c:noMultiLvlLbl val="0"/>
      </c:catAx>
      <c:valAx>
        <c:axId val="14790367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/>
                  <a:t>Velocidade de Onda de Pulso Ultrassônico  (m/s)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730478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591737473493782E-2"/>
          <c:y val="0.11400311838695318"/>
          <c:w val="0.89131189109835851"/>
          <c:h val="0.668133739421342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'Figure 8'!$A$9</c:f>
              <c:strCache>
                <c:ptCount val="1"/>
                <c:pt idx="0">
                  <c:v>CR35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8'!$B$8:$E$8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8'!$B$9:$E$9</c:f>
              <c:numCache>
                <c:formatCode>General</c:formatCode>
                <c:ptCount val="4"/>
                <c:pt idx="0">
                  <c:v>36.159999999999997</c:v>
                </c:pt>
                <c:pt idx="1">
                  <c:v>38.1</c:v>
                </c:pt>
                <c:pt idx="2">
                  <c:v>28.78</c:v>
                </c:pt>
                <c:pt idx="3">
                  <c:v>7.16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6B-47A8-8E5C-9340CA5C06A4}"/>
            </c:ext>
          </c:extLst>
        </c:ser>
        <c:ser>
          <c:idx val="1"/>
          <c:order val="1"/>
          <c:tx>
            <c:strRef>
              <c:f>'Figure 8'!$A$10</c:f>
              <c:strCache>
                <c:ptCount val="1"/>
                <c:pt idx="0">
                  <c:v>CV35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8'!$B$8:$E$8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8'!$B$10:$E$10</c:f>
              <c:numCache>
                <c:formatCode>General</c:formatCode>
                <c:ptCount val="4"/>
                <c:pt idx="0">
                  <c:v>32.72</c:v>
                </c:pt>
                <c:pt idx="1">
                  <c:v>36.6</c:v>
                </c:pt>
                <c:pt idx="2">
                  <c:v>27.42</c:v>
                </c:pt>
                <c:pt idx="3">
                  <c:v>7.13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6B-47A8-8E5C-9340CA5C06A4}"/>
            </c:ext>
          </c:extLst>
        </c:ser>
        <c:ser>
          <c:idx val="3"/>
          <c:order val="2"/>
          <c:tx>
            <c:strRef>
              <c:f>'Figure 8'!$A$11</c:f>
              <c:strCache>
                <c:ptCount val="1"/>
                <c:pt idx="0">
                  <c:v>CR50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8'!$B$8:$E$8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8'!$B$11:$E$11</c:f>
              <c:numCache>
                <c:formatCode>General</c:formatCode>
                <c:ptCount val="4"/>
                <c:pt idx="0">
                  <c:v>42.94</c:v>
                </c:pt>
                <c:pt idx="1">
                  <c:v>45.9</c:v>
                </c:pt>
                <c:pt idx="2">
                  <c:v>31.85</c:v>
                </c:pt>
                <c:pt idx="3">
                  <c:v>7.09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6B-47A8-8E5C-9340CA5C06A4}"/>
            </c:ext>
          </c:extLst>
        </c:ser>
        <c:ser>
          <c:idx val="4"/>
          <c:order val="3"/>
          <c:tx>
            <c:strRef>
              <c:f>'Figure 8'!$A$12</c:f>
              <c:strCache>
                <c:ptCount val="1"/>
                <c:pt idx="0">
                  <c:v>CV50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8'!$B$8:$E$8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8'!$B$12:$E$12</c:f>
              <c:numCache>
                <c:formatCode>General</c:formatCode>
                <c:ptCount val="4"/>
                <c:pt idx="0">
                  <c:v>43.8</c:v>
                </c:pt>
                <c:pt idx="1">
                  <c:v>48.32</c:v>
                </c:pt>
                <c:pt idx="2">
                  <c:v>32.5</c:v>
                </c:pt>
                <c:pt idx="3">
                  <c:v>8.07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B6B-47A8-8E5C-9340CA5C06A4}"/>
            </c:ext>
          </c:extLst>
        </c:ser>
        <c:ser>
          <c:idx val="2"/>
          <c:order val="4"/>
          <c:tx>
            <c:strRef>
              <c:f>'Figure 8'!$A$13</c:f>
              <c:strCache>
                <c:ptCount val="1"/>
                <c:pt idx="0">
                  <c:v>CR70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8'!$B$8:$E$8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8'!$B$13:$E$13</c:f>
              <c:numCache>
                <c:formatCode>General</c:formatCode>
                <c:ptCount val="4"/>
                <c:pt idx="0">
                  <c:v>64.5</c:v>
                </c:pt>
                <c:pt idx="1">
                  <c:v>50.04</c:v>
                </c:pt>
                <c:pt idx="2">
                  <c:v>32.76</c:v>
                </c:pt>
                <c:pt idx="3">
                  <c:v>10.72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6B-47A8-8E5C-9340CA5C06A4}"/>
            </c:ext>
          </c:extLst>
        </c:ser>
        <c:ser>
          <c:idx val="5"/>
          <c:order val="5"/>
          <c:tx>
            <c:strRef>
              <c:f>'Figure 8'!$A$14</c:f>
              <c:strCache>
                <c:ptCount val="1"/>
                <c:pt idx="0">
                  <c:v>CV70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8'!$B$8:$E$8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8'!$B$14:$E$14</c:f>
              <c:numCache>
                <c:formatCode>General</c:formatCode>
                <c:ptCount val="4"/>
                <c:pt idx="0">
                  <c:v>56.79</c:v>
                </c:pt>
                <c:pt idx="1">
                  <c:v>46.21</c:v>
                </c:pt>
                <c:pt idx="2">
                  <c:v>29.86</c:v>
                </c:pt>
                <c:pt idx="3">
                  <c:v>8.4600000000000009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B6B-47A8-8E5C-9340CA5C06A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30478399"/>
        <c:axId val="1479036703"/>
      </c:barChart>
      <c:catAx>
        <c:axId val="1730478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479036703"/>
        <c:crosses val="autoZero"/>
        <c:auto val="1"/>
        <c:lblAlgn val="ctr"/>
        <c:lblOffset val="100"/>
        <c:noMultiLvlLbl val="0"/>
      </c:catAx>
      <c:valAx>
        <c:axId val="1479036703"/>
        <c:scaling>
          <c:orientation val="minMax"/>
          <c:max val="6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/>
                  <a:t> Resistência à Compressão (MPa)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730478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17872462139801"/>
          <c:y val="0.11850863764804802"/>
          <c:w val="0.8547248724446489"/>
          <c:h val="0.663628220160247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'Figure 9'!$A$9</c:f>
              <c:strCache>
                <c:ptCount val="1"/>
                <c:pt idx="0">
                  <c:v>CR35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 Nova" panose="020B050402020202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9'!$B$8:$E$8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9'!$B$9:$E$9</c:f>
              <c:numCache>
                <c:formatCode>0.00</c:formatCode>
                <c:ptCount val="4"/>
                <c:pt idx="0">
                  <c:v>3.9462480000000002</c:v>
                </c:pt>
                <c:pt idx="1">
                  <c:v>2.9570989999999999</c:v>
                </c:pt>
                <c:pt idx="2">
                  <c:v>2.1493880000000001</c:v>
                </c:pt>
                <c:pt idx="3">
                  <c:v>0.70187299999999997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7D-4ABD-9039-EEF95C67E758}"/>
            </c:ext>
          </c:extLst>
        </c:ser>
        <c:ser>
          <c:idx val="1"/>
          <c:order val="1"/>
          <c:tx>
            <c:strRef>
              <c:f>'Figure 9'!$A$10</c:f>
              <c:strCache>
                <c:ptCount val="1"/>
                <c:pt idx="0">
                  <c:v>CV35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 Nova" panose="020B050402020202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9'!$B$8:$E$8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9'!$B$10:$E$10</c:f>
              <c:numCache>
                <c:formatCode>0.00</c:formatCode>
                <c:ptCount val="4"/>
                <c:pt idx="0">
                  <c:v>3.7878880000000001</c:v>
                </c:pt>
                <c:pt idx="1">
                  <c:v>3.0239449999999999</c:v>
                </c:pt>
                <c:pt idx="2">
                  <c:v>1.676698</c:v>
                </c:pt>
                <c:pt idx="3">
                  <c:v>0.58728199999999997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7D-4ABD-9039-EEF95C67E758}"/>
            </c:ext>
          </c:extLst>
        </c:ser>
        <c:ser>
          <c:idx val="3"/>
          <c:order val="2"/>
          <c:tx>
            <c:strRef>
              <c:f>'Figure 9'!$A$11</c:f>
              <c:strCache>
                <c:ptCount val="1"/>
                <c:pt idx="0">
                  <c:v>CR50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 Nova" panose="020B050402020202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9'!$B$8:$E$8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9'!$B$11:$E$11</c:f>
              <c:numCache>
                <c:formatCode>0.00</c:formatCode>
                <c:ptCount val="4"/>
                <c:pt idx="0">
                  <c:v>3.6134550000000001</c:v>
                </c:pt>
                <c:pt idx="1">
                  <c:v>2.81386</c:v>
                </c:pt>
                <c:pt idx="2">
                  <c:v>2.6939630000000001</c:v>
                </c:pt>
                <c:pt idx="3">
                  <c:v>0.44245099999999998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7D-4ABD-9039-EEF95C67E758}"/>
            </c:ext>
          </c:extLst>
        </c:ser>
        <c:ser>
          <c:idx val="4"/>
          <c:order val="3"/>
          <c:tx>
            <c:strRef>
              <c:f>'Figure 9'!$A$12</c:f>
              <c:strCache>
                <c:ptCount val="1"/>
                <c:pt idx="0">
                  <c:v>CV50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 Nova" panose="020B050402020202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9'!$B$8:$E$8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9'!$B$12:$E$12</c:f>
              <c:numCache>
                <c:formatCode>0.00</c:formatCode>
                <c:ptCount val="4"/>
                <c:pt idx="0">
                  <c:v>4.3497050000000002</c:v>
                </c:pt>
                <c:pt idx="1">
                  <c:v>3.1751420000000001</c:v>
                </c:pt>
                <c:pt idx="2">
                  <c:v>2.476451</c:v>
                </c:pt>
                <c:pt idx="3">
                  <c:v>0.59205700000000006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A7D-4ABD-9039-EEF95C67E758}"/>
            </c:ext>
          </c:extLst>
        </c:ser>
        <c:ser>
          <c:idx val="2"/>
          <c:order val="4"/>
          <c:tx>
            <c:strRef>
              <c:f>'Figure 9'!$A$13</c:f>
              <c:strCache>
                <c:ptCount val="1"/>
                <c:pt idx="0">
                  <c:v>CR70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 Nova" panose="020B050402020202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9'!$B$8:$E$8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9'!$B$13:$E$13</c:f>
              <c:numCache>
                <c:formatCode>0.00</c:formatCode>
                <c:ptCount val="4"/>
                <c:pt idx="0">
                  <c:v>4.7603249999999999</c:v>
                </c:pt>
                <c:pt idx="1">
                  <c:v>4.6356539999999997</c:v>
                </c:pt>
                <c:pt idx="2">
                  <c:v>2.1971340000000001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A7D-4ABD-9039-EEF95C67E758}"/>
            </c:ext>
          </c:extLst>
        </c:ser>
        <c:ser>
          <c:idx val="5"/>
          <c:order val="5"/>
          <c:tx>
            <c:strRef>
              <c:f>'Figure 9'!$A$14</c:f>
              <c:strCache>
                <c:ptCount val="1"/>
                <c:pt idx="0">
                  <c:v>CV70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 Nova" panose="020B050402020202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9'!$B$8:$E$8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9'!$B$14:$E$14</c:f>
              <c:numCache>
                <c:formatCode>0.00</c:formatCode>
                <c:ptCount val="4"/>
                <c:pt idx="0">
                  <c:v>4.6844609999999998</c:v>
                </c:pt>
                <c:pt idx="1">
                  <c:v>3.887626</c:v>
                </c:pt>
                <c:pt idx="2">
                  <c:v>2.4812259999999999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A7D-4ABD-9039-EEF95C67E75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30478399"/>
        <c:axId val="1479036703"/>
      </c:barChart>
      <c:catAx>
        <c:axId val="1730478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 Nova" panose="020B0504020202020204" pitchFamily="34" charset="0"/>
                <a:ea typeface="+mn-ea"/>
                <a:cs typeface="+mn-cs"/>
              </a:defRPr>
            </a:pPr>
            <a:endParaRPr lang="pt-BR"/>
          </a:p>
        </c:txPr>
        <c:crossAx val="1479036703"/>
        <c:crosses val="autoZero"/>
        <c:auto val="1"/>
        <c:lblAlgn val="ctr"/>
        <c:lblOffset val="100"/>
        <c:noMultiLvlLbl val="0"/>
      </c:catAx>
      <c:valAx>
        <c:axId val="1479036703"/>
        <c:scaling>
          <c:orientation val="minMax"/>
          <c:max val="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 Nova" panose="020B0504020202020204" pitchFamily="34" charset="0"/>
                    <a:ea typeface="+mn-ea"/>
                    <a:cs typeface="+mn-cs"/>
                  </a:defRPr>
                </a:pPr>
                <a:r>
                  <a:rPr lang="pt-BR"/>
                  <a:t>Resistência à Tração (MPa)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 Nova" panose="020B0504020202020204" pitchFamily="34" charset="0"/>
                  <a:ea typeface="+mn-ea"/>
                  <a:cs typeface="+mn-cs"/>
                </a:defRPr>
              </a:pPr>
              <a:endParaRPr lang="pt-BR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 Nova" panose="020B0504020202020204" pitchFamily="34" charset="0"/>
                <a:ea typeface="+mn-ea"/>
                <a:cs typeface="+mn-cs"/>
              </a:defRPr>
            </a:pPr>
            <a:endParaRPr lang="pt-BR"/>
          </a:p>
        </c:txPr>
        <c:crossAx val="1730478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 Nova" panose="020B0504020202020204" pitchFamily="34" charset="0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 Nova" panose="020B0504020202020204" pitchFamily="34" charset="0"/>
        </a:defRPr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591737473493782E-2"/>
          <c:y val="0.10949759912585831"/>
          <c:w val="0.89131189109835851"/>
          <c:h val="0.672639258682437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'Figure 10'!$A$9</c:f>
              <c:strCache>
                <c:ptCount val="1"/>
                <c:pt idx="0">
                  <c:v>CR35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10'!$B$8:$E$8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10'!$B$9:$E$9</c:f>
              <c:numCache>
                <c:formatCode>General</c:formatCode>
                <c:ptCount val="4"/>
                <c:pt idx="0">
                  <c:v>45.59</c:v>
                </c:pt>
                <c:pt idx="1">
                  <c:v>23.08</c:v>
                </c:pt>
                <c:pt idx="2">
                  <c:v>9.19</c:v>
                </c:pt>
                <c:pt idx="3">
                  <c:v>1.42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CA-488C-B540-C4FF98EC728B}"/>
            </c:ext>
          </c:extLst>
        </c:ser>
        <c:ser>
          <c:idx val="1"/>
          <c:order val="1"/>
          <c:tx>
            <c:strRef>
              <c:f>'Figure 10'!$A$10</c:f>
              <c:strCache>
                <c:ptCount val="1"/>
                <c:pt idx="0">
                  <c:v>CV35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10'!$B$8:$E$8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10'!$B$10:$E$10</c:f>
              <c:numCache>
                <c:formatCode>General</c:formatCode>
                <c:ptCount val="4"/>
                <c:pt idx="0">
                  <c:v>33.93</c:v>
                </c:pt>
                <c:pt idx="1">
                  <c:v>25.68</c:v>
                </c:pt>
                <c:pt idx="2">
                  <c:v>8.67</c:v>
                </c:pt>
                <c:pt idx="3">
                  <c:v>1.42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CA-488C-B540-C4FF98EC728B}"/>
            </c:ext>
          </c:extLst>
        </c:ser>
        <c:ser>
          <c:idx val="3"/>
          <c:order val="2"/>
          <c:tx>
            <c:strRef>
              <c:f>'Figure 10'!$A$11</c:f>
              <c:strCache>
                <c:ptCount val="1"/>
                <c:pt idx="0">
                  <c:v>CR50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10'!$B$8:$E$8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10'!$B$11:$E$11</c:f>
              <c:numCache>
                <c:formatCode>General</c:formatCode>
                <c:ptCount val="4"/>
                <c:pt idx="0">
                  <c:v>39.450000000000003</c:v>
                </c:pt>
                <c:pt idx="1">
                  <c:v>29.93</c:v>
                </c:pt>
                <c:pt idx="2">
                  <c:v>7.64</c:v>
                </c:pt>
                <c:pt idx="3">
                  <c:v>1.1599999999999999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CA-488C-B540-C4FF98EC728B}"/>
            </c:ext>
          </c:extLst>
        </c:ser>
        <c:ser>
          <c:idx val="4"/>
          <c:order val="3"/>
          <c:tx>
            <c:strRef>
              <c:f>'Figure 10'!$A$12</c:f>
              <c:strCache>
                <c:ptCount val="1"/>
                <c:pt idx="0">
                  <c:v>CV50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10'!$B$8:$E$8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10'!$B$12:$E$12</c:f>
              <c:numCache>
                <c:formatCode>General</c:formatCode>
                <c:ptCount val="4"/>
                <c:pt idx="0">
                  <c:v>38.450000000000003</c:v>
                </c:pt>
                <c:pt idx="1">
                  <c:v>28.11</c:v>
                </c:pt>
                <c:pt idx="2">
                  <c:v>8.85</c:v>
                </c:pt>
                <c:pt idx="3">
                  <c:v>1.33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4CA-488C-B540-C4FF98EC728B}"/>
            </c:ext>
          </c:extLst>
        </c:ser>
        <c:ser>
          <c:idx val="2"/>
          <c:order val="4"/>
          <c:tx>
            <c:strRef>
              <c:f>'Figure 10'!$A$13</c:f>
              <c:strCache>
                <c:ptCount val="1"/>
                <c:pt idx="0">
                  <c:v>CR70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10'!$B$8:$E$8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10'!$B$13:$E$13</c:f>
              <c:numCache>
                <c:formatCode>General</c:formatCode>
                <c:ptCount val="4"/>
                <c:pt idx="0">
                  <c:v>36.04</c:v>
                </c:pt>
                <c:pt idx="1">
                  <c:v>29.09</c:v>
                </c:pt>
                <c:pt idx="2">
                  <c:v>9.85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CA-488C-B540-C4FF98EC728B}"/>
            </c:ext>
          </c:extLst>
        </c:ser>
        <c:ser>
          <c:idx val="5"/>
          <c:order val="5"/>
          <c:tx>
            <c:strRef>
              <c:f>'Figure 10'!$A$14</c:f>
              <c:strCache>
                <c:ptCount val="1"/>
                <c:pt idx="0">
                  <c:v>CV70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'Figure 10'!$B$8:$E$8</c:f>
              <c:strCache>
                <c:ptCount val="4"/>
                <c:pt idx="0">
                  <c:v>TA</c:v>
                </c:pt>
                <c:pt idx="1">
                  <c:v>200°C</c:v>
                </c:pt>
                <c:pt idx="2">
                  <c:v>400°C</c:v>
                </c:pt>
                <c:pt idx="3">
                  <c:v>800°C</c:v>
                </c:pt>
              </c:strCache>
            </c:strRef>
          </c:cat>
          <c:val>
            <c:numRef>
              <c:f>'Figure 10'!$B$14:$E$14</c:f>
              <c:numCache>
                <c:formatCode>General</c:formatCode>
                <c:ptCount val="4"/>
                <c:pt idx="0">
                  <c:v>38.22</c:v>
                </c:pt>
                <c:pt idx="1">
                  <c:v>30.25</c:v>
                </c:pt>
                <c:pt idx="2">
                  <c:v>7.6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4CA-488C-B540-C4FF98EC728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30478399"/>
        <c:axId val="1479036703"/>
      </c:barChart>
      <c:catAx>
        <c:axId val="1730478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479036703"/>
        <c:crosses val="autoZero"/>
        <c:auto val="1"/>
        <c:lblAlgn val="ctr"/>
        <c:lblOffset val="100"/>
        <c:noMultiLvlLbl val="0"/>
      </c:catAx>
      <c:valAx>
        <c:axId val="1479036703"/>
        <c:scaling>
          <c:orientation val="minMax"/>
          <c:max val="4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/>
                  <a:t>Módulo de Elasticidade (GPa)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730478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2023.XSL" StyleName="ABNT NBR 6023:2002*" Version="1">
  <b:Source>
    <b:Tag>ANE13</b:Tag>
    <b:SourceType>Report</b:SourceType>
    <b:Guid>{4E9B8121-3040-4378-9470-46380E172F0F}</b:Guid>
    <b:Author>
      <b:Author>
        <b:Corporate>ANEPAC</b:Corporate>
      </b:Author>
    </b:Author>
    <b:Title>Anuário 2013</b:Title>
    <b:Year>2013</b:Year>
    <b:URL>https://www.anepac.org.br/publicacoes/anuario</b:URL>
    <b:RefOrder>1</b:RefOrder>
  </b:Source>
  <b:Source>
    <b:Tag>Ald</b:Tag>
    <b:SourceType>ArticleInAPeriodical</b:SourceType>
    <b:Guid>{9067D7AA-EAB9-4831-B2A7-A494882D4F38}</b:Guid>
    <b:Author>
      <b:Author>
        <b:NameList>
          <b:Person>
            <b:Last>Carvalho</b:Last>
            <b:First>Aldo</b:First>
            <b:Middle>Ribeiro de</b:Middle>
          </b:Person>
          <b:Person>
            <b:Last>Calderón-Morales</b:Last>
            <b:First>Bianca</b:First>
            <b:Middle>Rafaela da Silva</b:Middle>
          </b:Person>
          <b:Person>
            <b:Last>Borba Júnior</b:Last>
            <b:First>José</b:First>
            <b:Middle>Carlos</b:Middle>
          </b:Person>
          <b:Person>
            <b:Last>Oliveira</b:Last>
            <b:First>Thaís</b:First>
            <b:Middle>Mayra de</b:Middle>
          </b:Person>
          <b:Person>
            <b:Last>Silva</b:Last>
            <b:First>Guilherme</b:First>
            <b:Middle>Jorge Brigolini</b:Middle>
          </b:Person>
        </b:NameList>
      </b:Author>
    </b:Author>
    <b:PeriodicalTitle>Construction and Building Materials</b:PeriodicalTitle>
    <b:Title>Proposition of geopolymers obtained through the acid activation of iron ore tailings with phosphoric acid</b:Title>
    <b:Year>2023a</b:Year>
    <b:Month>November</b:Month>
    <b:DOI>https://doi.org/10.1016/j.conbuildmat.2023.133078</b:DOI>
    <b:Day>3</b:Day>
    <b:Volume>403</b:Volume>
    <b:URL>https://www.sciencedirect.com/science/article/pii/S0950061823027952</b:URL>
    <b:StandardNumber>https://doi.org/10.1016/j.conbuildmat.2023.133078</b:StandardNumber>
    <b:RefOrder>2</b:RefOrder>
  </b:Source>
  <b:Source>
    <b:Tag>Lan22</b:Tag>
    <b:SourceType>ArticleInAPeriodical</b:SourceType>
    <b:Guid>{F6518AED-8117-4672-81FE-95ECF81CAA8A}</b:Guid>
    <b:Title>Water permeability behaviour of recycled lump agreggate concrete</b:Title>
    <b:Year>2022</b:Year>
    <b:Author>
      <b:Author>
        <b:NameList>
          <b:Person>
            <b:Last>Lin</b:Last>
            <b:First>Lang</b:First>
          </b:Person>
          <b:Person>
            <b:Last>Wu</b:Last>
            <b:First>Bo</b:First>
          </b:Person>
        </b:NameList>
      </b:Author>
    </b:Author>
    <b:PeriodicalTitle>Construction and Building Materials</b:PeriodicalTitle>
    <b:RefOrder>4</b:RefOrder>
  </b:Source>
  <b:Source>
    <b:Tag>Bol191</b:Tag>
    <b:SourceType>Book</b:SourceType>
    <b:Guid>{2F5D0DCB-2E51-4857-994C-F6A95DA07721}</b:Guid>
    <b:Title>Patologia de Estruturas</b:Title>
    <b:Year>2019</b:Year>
    <b:Author>
      <b:Author>
        <b:NameList>
          <b:Person>
            <b:Last>Bolina</b:Last>
            <b:First>Fabrício</b:First>
            <b:Middle>Longhi</b:Middle>
          </b:Person>
          <b:Person>
            <b:Last>Tutikian</b:Last>
            <b:First>Bernardo</b:First>
            <b:Middle>Fonseca</b:Middle>
          </b:Person>
          <b:Person>
            <b:Last>Helene</b:Last>
            <b:First>Paulo</b:First>
          </b:Person>
        </b:NameList>
      </b:Author>
    </b:Author>
    <b:City>São Paulo</b:City>
    <b:Publisher>Oficina de Textos</b:Publisher>
    <b:RefOrder>24</b:RefOrder>
  </b:Source>
  <b:Source>
    <b:Tag>Dwa10</b:Tag>
    <b:SourceType>ArticleInAPeriodical</b:SourceType>
    <b:Guid>{6065F78D-24EB-48C0-B853-C17AF8823824}</b:Guid>
    <b:Author>
      <b:Author>
        <b:NameList>
          <b:Person>
            <b:Last>Dwaikat</b:Last>
            <b:First>M.</b:First>
            <b:Middle>B.</b:Middle>
          </b:Person>
          <b:Person>
            <b:Last>Kodur</b:Last>
            <b:First>V.</b:First>
            <b:Middle>K. R.</b:Middle>
          </b:Person>
        </b:NameList>
      </b:Author>
    </b:Author>
    <b:Title>Fire Induced Spalling in High Strength Concrete Beams</b:Title>
    <b:PeriodicalTitle>Fire Technology</b:PeriodicalTitle>
    <b:Year>2010</b:Year>
    <b:Pages>251-274</b:Pages>
    <b:DOI>https://doi.org/10.1007/s10694-009-0088-6</b:DOI>
    <b:RefOrder>7</b:RefOrder>
  </b:Source>
  <b:Source>
    <b:Tag>Erg13</b:Tag>
    <b:SourceType>ArticleInAPeriodical</b:SourceType>
    <b:Guid>{8D3D16BE-D1E4-4D9E-9611-5FC89C394A50}</b:Guid>
    <b:Author>
      <b:Author>
        <b:NameList>
          <b:Person>
            <b:Last>Ergün</b:Last>
            <b:First>Ali</b:First>
          </b:Person>
          <b:Person>
            <b:Last>Kürklü</b:Last>
            <b:First>Gökhan</b:First>
          </b:Person>
          <b:Person>
            <b:Last>Baspinar</b:Last>
            <b:First>M.</b:First>
            <b:Middle>Serhat</b:Middle>
          </b:Person>
          <b:Person>
            <b:Last>Mansour</b:Last>
            <b:First>Mohamad</b:First>
            <b:Middle>Y.</b:Middle>
          </b:Person>
        </b:NameList>
      </b:Author>
    </b:Author>
    <b:Title>The effect of cement fosage on mechanical properties of concrete exposed to high temperatures</b:Title>
    <b:Year>2013</b:Year>
    <b:Month>January</b:Month>
    <b:PeriodicalTitle>Fire Safety Journal</b:PeriodicalTitle>
    <b:Pages>160-167</b:Pages>
    <b:Volume>55</b:Volume>
    <b:DOI>https://doi.org/10.1016/j.firesaf.2012.10.016</b:DOI>
    <b:RefOrder>8</b:RefOrder>
  </b:Source>
  <b:Source>
    <b:Tag>G1233</b:Tag>
    <b:SourceType>InternetSite</b:SourceType>
    <b:Guid>{0E651089-5E06-4D62-B3AD-8801F2927C2A}</b:Guid>
    <b:Author>
      <b:Author>
        <b:Corporate>G1</b:Corporate>
      </b:Author>
    </b:Author>
    <b:Title>Incêndios em edificações aumentaram 13% em 2022, diz Corpo de Bombeiros de Sergipe</b:Title>
    <b:ProductionCompany>G1</b:ProductionCompany>
    <b:Year>2023</b:Year>
    <b:Month>Janeiro</b:Month>
    <b:Day>17</b:Day>
    <b:YearAccessed>2024</b:YearAccessed>
    <b:MonthAccessed>Maio</b:MonthAccessed>
    <b:DayAccessed>07</b:DayAccessed>
    <b:RefOrder>9</b:RefOrder>
  </b:Source>
  <b:Source>
    <b:Tag>G1241</b:Tag>
    <b:SourceType>InternetSite</b:SourceType>
    <b:Guid>{E5A63124-52CD-4762-A276-F1CF555ECE96}</b:Guid>
    <b:Author>
      <b:Author>
        <b:Corporate>G1</b:Corporate>
      </b:Author>
    </b:Author>
    <b:Title>Curto-circuito pode ter causado incêndio em prédio em construção no Recife</b:Title>
    <b:ProductionCompany>G1</b:ProductionCompany>
    <b:Year>2024</b:Year>
    <b:Month>Março</b:Month>
    <b:Day>29</b:Day>
    <b:YearAccessed>2024</b:YearAccessed>
    <b:MonthAccessed>Maio</b:MonthAccessed>
    <b:DayAccessed>07</b:DayAccessed>
    <b:URL>https://g1.globo.com/pe/pernambuco/noticia/2024/03/29/curto-circuito-pode-ter-causado-incendio-em-predio-em-construcao-no-recife-diz-secretario.ghtml</b:URL>
    <b:RefOrder>10</b:RefOrder>
  </b:Source>
  <b:Source>
    <b:Tag>G124</b:Tag>
    <b:SourceType>InternetSite</b:SourceType>
    <b:Guid>{EE23C219-7D95-4D33-8C6A-53F857726DD1}</b:Guid>
    <b:Title>Casa pega fogo após ser atingida por raio no RS: 'quando eu vi o desespero da minha esposa, vi que era grave', diz morador</b:Title>
    <b:Year>2024</b:Year>
    <b:Month>Abril</b:Month>
    <b:Day>30</b:Day>
    <b:Author>
      <b:Author>
        <b:Corporate>G1</b:Corporate>
      </b:Author>
    </b:Author>
    <b:ProductionCompany>G1</b:ProductionCompany>
    <b:YearAccessed>2024</b:YearAccessed>
    <b:MonthAccessed>Maio</b:MonthAccessed>
    <b:DayAccessed>07</b:DayAccessed>
    <b:URL>https://g1.globo.com/rs/rio-grande-do-sul/noticia/2024/04/30/casa-pega-fogo-apos-ser-atingida-por-raio-no-rs-quando-eu-vi-o-desespero-da-minha-esposa-vi-que-era-grave-diz-morador.ghtml</b:URL>
    <b:RefOrder>11</b:RefOrder>
  </b:Source>
  <b:Source>
    <b:Tag>G1242</b:Tag>
    <b:SourceType>InternetSite</b:SourceType>
    <b:Guid>{8BBCA4CE-121D-4624-9079-377A49C21670}</b:Guid>
    <b:Author>
      <b:Author>
        <b:Corporate>G1</b:Corporate>
      </b:Author>
    </b:Author>
    <b:Title>Explosão que destruiu casas no Bairro Santa Terezinha, em Juiz de Fora, há um ano, foi causada pelo próprio morador, concluiu investigação</b:Title>
    <b:ProductionCompany>G1</b:ProductionCompany>
    <b:Year>2024</b:Year>
    <b:Month>Janeiro</b:Month>
    <b:Day>05</b:Day>
    <b:YearAccessed>2024</b:YearAccessed>
    <b:MonthAccessed>Maio</b:MonthAccessed>
    <b:DayAccessed>07</b:DayAccessed>
    <b:URL>https://g1.globo.com/mg/zona-da-mata/noticia/2024/01/05/explosao-que-destruiu-casas-no-bairro-santa-terezinha-em-jf-ha-um-ano-foi-causada-pelo-proprio-morador-concluiu-investigacao.ghtml</b:URL>
    <b:RefOrder>12</b:RefOrder>
  </b:Source>
  <b:Source>
    <b:Tag>Ras16</b:Tag>
    <b:SourceType>ArticleInAPeriodical</b:SourceType>
    <b:Guid>{58F35238-D3C0-4403-8DE6-2A2D0768ADAE}</b:Guid>
    <b:Author>
      <b:Author>
        <b:NameList>
          <b:Person>
            <b:Last>Rashad</b:Last>
            <b:First>Alaa</b:First>
            <b:Middle>M.</b:Middle>
          </b:Person>
        </b:NameList>
      </b:Author>
    </b:Author>
    <b:Title>Vermiculite as a construction material - A short guide for Civil Engineer</b:Title>
    <b:PeriodicalTitle>Construction and Building Materials</b:PeriodicalTitle>
    <b:Year>2016</b:Year>
    <b:Pages>53-62</b:Pages>
    <b:DOI>https://doi.org/10.1016/j.conbuildmat.2016.08.019</b:DOI>
    <b:RefOrder>13</b:RefOrder>
  </b:Source>
  <b:Source>
    <b:Tag>Liu221</b:Tag>
    <b:SourceType>ArticleInAPeriodical</b:SourceType>
    <b:Guid>{86B5807D-6077-40DF-B77F-0F2E0C29533E}</b:Guid>
    <b:Author>
      <b:Author>
        <b:NameList>
          <b:Person>
            <b:Last>Liu</b:Last>
            <b:First>Jingbo</b:First>
          </b:Person>
          <b:Person>
            <b:Last>Zhuge</b:Last>
            <b:First>Yan</b:First>
          </b:Person>
          <b:Person>
            <b:Last>Ma</b:Last>
            <b:First>Zing</b:First>
          </b:Person>
          <b:Person>
            <b:Last>Liu</b:Last>
            <b:First>Ming</b:First>
          </b:Person>
          <b:Person>
            <b:Last>Liu</b:Last>
            <b:First>Yue</b:First>
          </b:Person>
          <b:Person>
            <b:Last>Wu</b:Last>
            <b:First>Xuan</b:First>
          </b:Person>
          <b:Person>
            <b:Last>Xu</b:Last>
            <b:First>Haolan</b:First>
          </b:Person>
        </b:NameList>
      </b:Author>
    </b:Author>
    <b:Title>Physical and mechanical properties of expanded vermiculite (EV) embedded foam concrete subjected to elevated temperatures</b:Title>
    <b:PeriodicalTitle>Case Studies in Construction Materials</b:PeriodicalTitle>
    <b:Year>2022</b:Year>
    <b:Month>June</b:Month>
    <b:DOI>https://doi.org/10.1016/j.cscm.2022.e01038</b:DOI>
    <b:RefOrder>14</b:RefOrder>
  </b:Source>
  <b:Source>
    <b:Tag>ABN153</b:Tag>
    <b:SourceType>Report</b:SourceType>
    <b:Guid>{D07B7F04-A10D-4B71-83AF-EBC3379711FB}</b:Guid>
    <b:Author>
      <b:Author>
        <b:NameList>
          <b:Person>
            <b:Last>ABNT</b:Last>
          </b:Person>
        </b:NameList>
      </b:Author>
    </b:Author>
    <b:Title>NBR 16372: Cimento Portland e outros materiais em pó - Determinação da finura pelo método de permeabilidade ao ar (Método de Blaine)</b:Title>
    <b:Year>2015</b:Year>
    <b:Publisher>ABNT</b:Publisher>
    <b:City>Rio de Janeiro</b:City>
    <b:RefOrder>15</b:RefOrder>
  </b:Source>
  <b:Source>
    <b:Tag>ABN02</b:Tag>
    <b:SourceType>Report</b:SourceType>
    <b:Guid>{3E2470A2-CF0D-42DB-B4D0-E3473A7D8E81}</b:Guid>
    <b:Author>
      <b:Author>
        <b:Corporate>ABNT</b:Corporate>
      </b:Author>
    </b:Author>
    <b:Title>NBR NM 65: Cimento Portland - Determinação do tempo de pega</b:Title>
    <b:Year>2002</b:Year>
    <b:Institution>ABNT</b:Institution>
    <b:City>Rio de Janeiro</b:City>
    <b:RefOrder>16</b:RefOrder>
  </b:Source>
  <b:Source>
    <b:Tag>ABN16</b:Tag>
    <b:SourceType>Report</b:SourceType>
    <b:Guid>{AF21F104-6B98-4CBE-9278-EF87EBE3076B}</b:Guid>
    <b:Author>
      <b:Author>
        <b:Corporate>ABNT</b:Corporate>
      </b:Author>
    </b:Author>
    <b:Title>NBR 11582: Cimento Portland - Determinação da expansibilidade Le Chatelier</b:Title>
    <b:Year>2016</b:Year>
    <b:Institution>ABNT</b:Institution>
    <b:City>Rio de Janeiro</b:City>
    <b:RefOrder>17</b:RefOrder>
  </b:Source>
  <b:Source>
    <b:Tag>ABN</b:Tag>
    <b:SourceType>Report</b:SourceType>
    <b:Guid>{6692884B-083A-4D5C-8247-798E938B073D}</b:Guid>
    <b:Author>
      <b:Author>
        <b:Corporate>ABNT</b:Corporate>
      </b:Author>
    </b:Author>
    <b:Title>NBR 7215: Cimento Portland - Determinação da resistência à compressão</b:Title>
    <b:Publisher>ABNT</b:Publisher>
    <b:City>Rio de Janeiro</b:City>
    <b:Year>2019</b:Year>
    <b:RefOrder>18</b:RefOrder>
  </b:Source>
  <b:Source>
    <b:Tag>ABN18</b:Tag>
    <b:SourceType>Report</b:SourceType>
    <b:Guid>{E8BB3444-78C2-4837-96AF-DEB7153A647B}</b:Guid>
    <b:Author>
      <b:Author>
        <b:NameList>
          <b:Person>
            <b:Last>ABNT</b:Last>
          </b:Person>
        </b:NameList>
      </b:Author>
    </b:Author>
    <b:Title>NBR 5739: Concreto - Ensaio de compressão de corpos de prova cilíndricos</b:Title>
    <b:Year>2018</b:Year>
    <b:Publisher>ABNT</b:Publisher>
    <b:City>Rio de Janeiro</b:City>
    <b:RefOrder>19</b:RefOrder>
  </b:Source>
  <b:Source>
    <b:Tag>ABN11</b:Tag>
    <b:SourceType>Report</b:SourceType>
    <b:Guid>{647FD537-520E-4636-9A58-146784C242A4}</b:Guid>
    <b:Author>
      <b:Author>
        <b:NameList>
          <b:Person>
            <b:Last>ABNT</b:Last>
          </b:Person>
        </b:NameList>
      </b:Author>
    </b:Author>
    <b:Title>NBR 7222: Concreto e argamassa - Determinação da resistência à tração por compressão diametral de corpos de prova cilíndricos</b:Title>
    <b:Year>2011</b:Year>
    <b:Publisher>ABNT</b:Publisher>
    <b:City>Rio de Janeiro</b:City>
    <b:RefOrder>20</b:RefOrder>
  </b:Source>
  <b:Source>
    <b:Tag>ABN17</b:Tag>
    <b:SourceType>Report</b:SourceType>
    <b:Guid>{83319268-6D75-408D-A6FC-B2F10A1A294B}</b:Guid>
    <b:Author>
      <b:Author>
        <b:NameList>
          <b:Person>
            <b:Last>ABNT</b:Last>
          </b:Person>
        </b:NameList>
      </b:Author>
    </b:Author>
    <b:Title>NBR 8522: Concreto – Determinação dos módulos estáticos de elasticidade e de deformação à compressão</b:Title>
    <b:Year>2021</b:Year>
    <b:Publisher>ABNT</b:Publisher>
    <b:City>Rio de Janeiro</b:City>
    <b:RefOrder>21</b:RefOrder>
  </b:Source>
  <b:Source>
    <b:Tag>ABN151</b:Tag>
    <b:SourceType>Report</b:SourceType>
    <b:Guid>{F67783AF-744B-4D5A-98DC-7F5A0A98AF3E}</b:Guid>
    <b:Author>
      <b:Author>
        <b:NameList>
          <b:Person>
            <b:Last>ABNT</b:Last>
          </b:Person>
        </b:NameList>
      </b:Author>
    </b:Author>
    <b:Title>NBR 5738: Moldagem e cura de corpos-de-prova cilíndricos ou prismáticos de concreto</b:Title>
    <b:Year>2015</b:Year>
    <b:Publisher>ABNT</b:Publisher>
    <b:City>Rio de Janeiro</b:City>
    <b:RefOrder>22</b:RefOrder>
  </b:Source>
  <b:Source>
    <b:Tag>Fer11</b:Tag>
    <b:SourceType>Report</b:SourceType>
    <b:Guid>{B751ACB0-4988-408B-8DDB-91BCBCF418D3}</b:Guid>
    <b:Author>
      <b:Author>
        <b:NameList>
          <b:Person>
            <b:Last>Ferreira</b:Last>
            <b:First>A.</b:First>
            <b:Middle>P. G.</b:Middle>
          </b:Person>
        </b:NameList>
      </b:Author>
    </b:Author>
    <b:Title>Modelagem dos fenômenos de transporte termo-hídricos em meios porosos submetidos a temperaturas elevadas: Aplicação a uma bicamada rocha-concreto</b:Title>
    <b:Year>2011</b:Year>
    <b:Publisher>UFJF</b:Publisher>
    <b:City>Juiz de Fora</b:City>
    <b:ThesisType>Masters Dissertation</b:ThesisType>
    <b:RefOrder>25</b:RefOrder>
  </b:Source>
  <b:Source>
    <b:Tag>MOR11</b:Tag>
    <b:SourceType>ArticleInAPeriodical</b:SourceType>
    <b:Guid>{1DFBFA3C-A740-4268-932C-EFEB51E30599}</b:Guid>
    <b:Title>Ação do fogo sobre os componentes do concreto</b:Title>
    <b:Year>2011</b:Year>
    <b:Author>
      <b:Author>
        <b:NameList>
          <b:Person>
            <b:Last>Morales</b:Last>
            <b:First>G.</b:First>
          </b:Person>
          <b:Person>
            <b:Last>Campos</b:Last>
            <b:First>A.</b:First>
          </b:Person>
          <b:Person>
            <b:Last>Faganello</b:Last>
            <b:First>A.</b:First>
            <b:Middle>P. A.</b:Middle>
          </b:Person>
        </b:NameList>
      </b:Author>
    </b:Author>
    <b:PeriodicalTitle>Semina: Ciências Exatas e Tecnológicas</b:PeriodicalTitle>
    <b:Pages>47-55</b:Pages>
    <b:RefOrder>26</b:RefOrder>
  </b:Source>
  <b:Source>
    <b:Tag>Vyd01</b:Tag>
    <b:SourceType>ArticleInAPeriodical</b:SourceType>
    <b:Guid>{A9CF36E1-638F-4952-8B46-2F79BCDF0D3E}</b:Guid>
    <b:Title>Effect of temperature on porosity of concrete for nuclear-safety structures</b:Title>
    <b:Year>2001</b:Year>
    <b:Author>
      <b:Author>
        <b:NameList>
          <b:Person>
            <b:Last>Vydra</b:Last>
            <b:First>V.</b:First>
          </b:Person>
          <b:Person>
            <b:Last>Vodák</b:Last>
            <b:First>F.</b:First>
          </b:Person>
          <b:Person>
            <b:Last>Kapichová</b:Last>
            <b:First>O</b:First>
          </b:Person>
          <b:Person>
            <b:Last>Hosková</b:Last>
            <b:First>S.</b:First>
          </b:Person>
        </b:NameList>
      </b:Author>
    </b:Author>
    <b:PeriodicalTitle>Cement and Concrete Research</b:PeriodicalTitle>
    <b:Pages>1023-1026</b:Pages>
    <b:RefOrder>27</b:RefOrder>
  </b:Source>
  <b:Source>
    <b:Tag>Lim05</b:Tag>
    <b:SourceType>Report</b:SourceType>
    <b:Guid>{97E772BB-213B-4B50-8A79-4202F3E51E5B}</b:Guid>
    <b:Author>
      <b:Author>
        <b:NameList>
          <b:Person>
            <b:Last>Lima</b:Last>
            <b:First>R.</b:First>
            <b:Middle>C.A.</b:Middle>
          </b:Person>
        </b:NameList>
      </b:Author>
    </b:Author>
    <b:Title>Investigação do Comportamento de Concretos em Temperaturas Elevadas</b:Title>
    <b:Year>2005</b:Year>
    <b:City>Porto Alegre</b:City>
    <b:Institution>Universidade Federal do Rio Grande do Sul</b:Institution>
    <b:ThesisType>Dissertação (Doutorado em Engenharia Civil)</b:ThesisType>
    <b:RefOrder>28</b:RefOrder>
  </b:Source>
  <b:Source>
    <b:Tag>Kak17</b:Tag>
    <b:SourceType>ArticleInAPeriodical</b:SourceType>
    <b:Guid>{09092096-7886-4FED-BB18-C432E2E8C7B4}</b:Guid>
    <b:Author>
      <b:Author>
        <b:NameList>
          <b:Person>
            <b:Last>Kakae</b:Last>
            <b:First>Norichika</b:First>
          </b:Person>
          <b:Person>
            <b:Last>Miyamoto</b:Last>
            <b:First>Keiichi</b:First>
          </b:Person>
          <b:Person>
            <b:Last>Momma</b:Last>
            <b:First>Takahiro</b:First>
          </b:Person>
          <b:Person>
            <b:Last>Sawada</b:Last>
            <b:First>Shohei</b:First>
          </b:Person>
          <b:Person>
            <b:Last>Kumagai</b:Last>
            <b:First>Hitoshi</b:First>
          </b:Person>
          <b:Person>
            <b:Last>Ohga</b:Last>
            <b:First>Yukiharu</b:First>
          </b:Person>
          <b:Person>
            <b:Last>Hirai</b:Last>
            <b:First>Hideo</b:First>
          </b:Person>
          <b:Person>
            <b:Last>Abiru</b:Last>
            <b:First>Tetsuo</b:First>
          </b:Person>
        </b:NameList>
      </b:Author>
    </b:Author>
    <b:Title>Physical and Thermal Properties of Concrete Subjected to High Temperature</b:Title>
    <b:PeriodicalTitle>Journal of Advanced Concrete Tecnology</b:PeriodicalTitle>
    <b:Year>2017</b:Year>
    <b:Pages>190-212</b:Pages>
    <b:Edition>6</b:Edition>
    <b:Volume>15</b:Volume>
    <b:DOI>https://doi.org/10.3151/jact.15.190</b:DOI>
    <b:RefOrder>29</b:RefOrder>
  </b:Source>
  <b:Source>
    <b:Tag>Inf23</b:Tag>
    <b:SourceType>ArticleInAPeriodical</b:SourceType>
    <b:Guid>{7E61CC41-E214-428F-9510-8E09FFB22E0E}</b:Guid>
    <b:Title>Influência do efeito fíler do pó de mármore na produção de concretos para pavimentos intertravados</b:Title>
    <b:PeriodicalTitle>Ambiente Construído</b:PeriodicalTitle>
    <b:Year>2023b</b:Year>
    <b:Month>out./dez.</b:Month>
    <b:Pages>217-239</b:Pages>
    <b:Author>
      <b:Author>
        <b:NameList>
          <b:Person>
            <b:Last>Carvalho</b:Last>
            <b:First>Aldo</b:First>
            <b:Middle>Ribeiro de</b:Middle>
          </b:Person>
          <b:Person>
            <b:Last>Júnior</b:Last>
            <b:First>Gilber</b:First>
            <b:Middle>da Silva</b:Middle>
          </b:Person>
          <b:Person>
            <b:Last>Fontes</b:Last>
            <b:First>Wanna</b:First>
            <b:Middle>Carvalho</b:Middle>
          </b:Person>
          <b:Person>
            <b:Last>Silva</b:Last>
            <b:First>Guilherme</b:First>
            <b:Middle>Jorge Brigolini</b:Middle>
          </b:Person>
          <b:Person>
            <b:Last>Pedroti</b:Last>
            <b:First>Leonardo</b:First>
            <b:Middle>Gonçalves</b:Middle>
          </b:Person>
          <b:Person>
            <b:Last>Oliveira</b:Last>
            <b:First>Thais</b:First>
            <b:Middle>Mayra de</b:Middle>
          </b:Person>
        </b:NameList>
      </b:Author>
    </b:Author>
    <b:DOI>https://doi.org/10.1590/s1678-86212023000400700</b:DOI>
    <b:City>Porto Alegre</b:City>
    <b:Publisher>Associação Nacional de Tecnologia do Ambiente Construído</b:Publisher>
    <b:Volume>23</b:Volume>
    <b:URL>https://www.scielo.br/j/ac/a/TqPt9XkJxZkZt8ZWcRghhLh/abstract/?lang=pt#:~:text=Notou%2Dse%20que%20o%20p%C3%B3,mais%20resistente%2C%20denso%20e%20homog%C3%AAneo.</b:URL>
    <b:RefOrder>3</b:RefOrder>
  </b:Source>
  <b:Source>
    <b:Tag>Edl24</b:Tag>
    <b:SourceType>ArticleInAPeriodical</b:SourceType>
    <b:Guid>{DB39DB92-D55E-4477-BD27-D127819CE7EE}</b:Guid>
    <b:Title>Thermomechanical behavior of concretes with addition of non-functionalized and functionalized carbon nanotubes</b:Title>
    <b:Year>2024</b:Year>
    <b:Author>
      <b:Author>
        <b:NameList>
          <b:Person>
            <b:Last>Motta</b:Last>
            <b:First>Edlaine</b:First>
            <b:Middle>Feital Barbosa</b:Middle>
          </b:Person>
          <b:Person>
            <b:Last>Carvalho</b:Last>
            <b:First>Aldo</b:First>
            <b:Middle>Ribeiro de</b:Middle>
          </b:Person>
          <b:Person>
            <b:Last>Barra</b:Last>
            <b:First>Júlia</b:First>
            <b:Middle>Gargiulo Duarte</b:Middle>
          </b:Person>
          <b:Person>
            <b:Last>Maciel</b:Last>
            <b:First>Indhira</b:First>
            <b:Middle>Oliveira</b:Middle>
          </b:Person>
          <b:Person>
            <b:Last>Oliveira</b:Last>
            <b:First>Thaís</b:First>
            <b:Middle>Mayra de</b:Middle>
          </b:Person>
        </b:NameList>
      </b:Author>
    </b:Author>
    <b:PeriodicalTitle>Journal of Building Engineering</b:PeriodicalTitle>
    <b:Month>November</b:Month>
    <b:Day>1</b:Day>
    <b:Pages>110642. https://doi.org/10.1016/j.jobe.2024.110642</b:Pages>
    <b:RefOrder>6</b:RefOrder>
  </b:Source>
  <b:Source>
    <b:Tag>ELH23</b:Tag>
    <b:SourceType>ArticleInAPeriodical</b:SourceType>
    <b:Guid>{785FB697-BA79-486A-8A8D-0D2F52C99691}</b:Guid>
    <b:Author>
      <b:Author>
        <b:NameList>
          <b:Person>
            <b:Last>El-Hassan</b:Last>
            <b:First>Hilal</b:First>
          </b:Person>
          <b:Person>
            <b:Last>Kianmehr</b:Last>
            <b:First>Peiman</b:First>
          </b:Person>
          <b:Person>
            <b:Last>Tavakoli</b:Last>
            <b:First>Davoud</b:First>
          </b:Person>
          <b:Person>
            <b:Last>El-mir</b:Last>
            <b:First>Abdulkader</b:First>
          </b:Person>
          <b:Person>
            <b:Last>Dehkordi</b:Last>
            <b:First>Rahbar</b:First>
            <b:Middle>Sakenian</b:Middle>
          </b:Person>
        </b:NameList>
      </b:Author>
    </b:Author>
    <b:Title>Synergic effect of recycled aggregates, waste glass, and slag on the Properties of pervious concrete.</b:Title>
    <b:PeriodicalTitle>Developments in the Built Environment</b:PeriodicalTitle>
    <b:Year>2023</b:Year>
    <b:RefOrder>5</b:RefOrder>
  </b:Source>
  <b:Source>
    <b:Tag>ABN19</b:Tag>
    <b:SourceType>Report</b:SourceType>
    <b:Guid>{94EEC754-9FA5-4CD2-AD9E-26B2A1123DAF}</b:Guid>
    <b:Author>
      <b:Author>
        <b:Corporate>ABNT</b:Corporate>
      </b:Author>
    </b:Author>
    <b:Title>Associação Brasileira de Normas Técnicas. NBR 8802: Concreto endurecido - Determinação da velocidade de propagação de onda ultrassônica</b:Title>
    <b:Year>2019</b:Year>
    <b:Institution>ABNT</b:Institution>
    <b:City>Rio de Janeiro</b:City>
    <b:RefOrder>23</b:RefOrder>
  </b:Source>
</b:Sources>
</file>

<file path=customXml/itemProps1.xml><?xml version="1.0" encoding="utf-8"?>
<ds:datastoreItem xmlns:ds="http://schemas.openxmlformats.org/officeDocument/2006/customXml" ds:itemID="{74DCCD1E-FD2C-4CCD-B7DD-E244B7B1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4105</Words>
  <Characters>22171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Aldo Ribeiro de Carvalho</cp:lastModifiedBy>
  <cp:revision>15</cp:revision>
  <cp:lastPrinted>2014-09-05T00:41:00Z</cp:lastPrinted>
  <dcterms:created xsi:type="dcterms:W3CDTF">2025-02-20T23:28:00Z</dcterms:created>
  <dcterms:modified xsi:type="dcterms:W3CDTF">2025-04-04T19:04:00Z</dcterms:modified>
</cp:coreProperties>
</file>