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426C18">
      <w:pPr>
        <w:spacing w:after="120"/>
        <w:rPr>
          <w:rStyle w:val="nfaseSutil"/>
        </w:rPr>
      </w:pPr>
    </w:p>
    <w:p w14:paraId="292D3F9B" w14:textId="034133F3" w:rsidR="00827839" w:rsidRPr="005E3C4E" w:rsidRDefault="00135C86" w:rsidP="005E3C4E">
      <w:pPr>
        <w:spacing w:after="120"/>
        <w:jc w:val="center"/>
        <w:rPr>
          <w:sz w:val="20"/>
          <w:lang w:val="pt-BR"/>
        </w:rPr>
      </w:pPr>
      <w:r>
        <w:rPr>
          <w:b/>
          <w:sz w:val="28"/>
          <w:szCs w:val="28"/>
          <w:lang w:val="pt-BR"/>
        </w:rPr>
        <w:t>Anál</w:t>
      </w:r>
      <w:r w:rsidR="005E3C4E">
        <w:rPr>
          <w:b/>
          <w:sz w:val="28"/>
          <w:szCs w:val="28"/>
          <w:lang w:val="pt-BR"/>
        </w:rPr>
        <w:t>ise p</w:t>
      </w:r>
      <w:r>
        <w:rPr>
          <w:b/>
          <w:sz w:val="28"/>
          <w:szCs w:val="28"/>
          <w:lang w:val="pt-BR"/>
        </w:rPr>
        <w:t>arcial das condições de mobilidade e acessibilidade de transportes no</w:t>
      </w:r>
      <w:r w:rsidR="005E3C4E">
        <w:rPr>
          <w:b/>
          <w:sz w:val="28"/>
          <w:szCs w:val="28"/>
          <w:lang w:val="pt-BR"/>
        </w:rPr>
        <w:t xml:space="preserve"> Campus Manaus Centro do IFAM e entorno</w:t>
      </w:r>
    </w:p>
    <w:p w14:paraId="47EDDB6D" w14:textId="77777777" w:rsidR="00B745D0" w:rsidRDefault="00B745D0" w:rsidP="009A3F66">
      <w:pPr>
        <w:spacing w:after="120"/>
        <w:jc w:val="center"/>
        <w:rPr>
          <w:b/>
          <w:sz w:val="28"/>
          <w:szCs w:val="28"/>
          <w:lang w:val="pt-BR"/>
        </w:rPr>
      </w:pPr>
    </w:p>
    <w:p w14:paraId="1703091D" w14:textId="77777777" w:rsidR="005E3C4E" w:rsidRPr="0049479C" w:rsidRDefault="005E3C4E" w:rsidP="009A3F66">
      <w:pPr>
        <w:spacing w:after="120"/>
        <w:jc w:val="center"/>
        <w:rPr>
          <w:b/>
          <w:sz w:val="28"/>
          <w:szCs w:val="28"/>
          <w:lang w:val="pt-BR"/>
        </w:rPr>
      </w:pPr>
    </w:p>
    <w:p w14:paraId="40B79C2A" w14:textId="1EDE7F91" w:rsidR="00B745D0" w:rsidRPr="00936ED9" w:rsidRDefault="005E3C4E" w:rsidP="005E3C4E">
      <w:pPr>
        <w:spacing w:after="120"/>
        <w:jc w:val="center"/>
        <w:rPr>
          <w:b/>
          <w:i/>
          <w:sz w:val="28"/>
          <w:szCs w:val="28"/>
        </w:rPr>
      </w:pPr>
      <w:r w:rsidRPr="00936ED9">
        <w:rPr>
          <w:b/>
          <w:i/>
          <w:sz w:val="28"/>
          <w:szCs w:val="28"/>
        </w:rPr>
        <w:t>Partial analysis of mobility conditions and transport accessibility at the IFAM Manaus Centro Campus and its surroundings</w:t>
      </w:r>
    </w:p>
    <w:p w14:paraId="5EEED451" w14:textId="77777777" w:rsidR="00933433" w:rsidRPr="00936ED9" w:rsidRDefault="00933433" w:rsidP="00E97ED4">
      <w:pPr>
        <w:spacing w:after="120"/>
        <w:rPr>
          <w:color w:val="A6A6A6"/>
          <w:sz w:val="28"/>
          <w:szCs w:val="28"/>
        </w:rPr>
      </w:pPr>
    </w:p>
    <w:p w14:paraId="58D09559" w14:textId="77777777" w:rsidR="005E3C4E" w:rsidRPr="00936ED9" w:rsidRDefault="005E3C4E" w:rsidP="00E97ED4">
      <w:pPr>
        <w:spacing w:after="120"/>
        <w:rPr>
          <w:color w:val="A6A6A6"/>
          <w:sz w:val="28"/>
          <w:szCs w:val="28"/>
        </w:rPr>
      </w:pPr>
    </w:p>
    <w:p w14:paraId="0B541832" w14:textId="1764ED05" w:rsidR="00EE28A9" w:rsidRPr="0049479C" w:rsidRDefault="008D7AB8" w:rsidP="00E97ED4">
      <w:pPr>
        <w:spacing w:after="120"/>
        <w:rPr>
          <w:szCs w:val="24"/>
          <w:lang w:val="pt-BR"/>
        </w:rPr>
      </w:pPr>
      <w:r>
        <w:rPr>
          <w:b/>
          <w:szCs w:val="24"/>
          <w:lang w:val="pt-BR"/>
        </w:rPr>
        <w:t>Hilari Rebeca Oliveira de Almeida</w:t>
      </w:r>
      <w:r w:rsidR="00A77D24" w:rsidRPr="006E0FAC">
        <w:rPr>
          <w:b/>
          <w:szCs w:val="24"/>
          <w:lang w:val="pt-BR"/>
        </w:rPr>
        <w:t xml:space="preserve">, </w:t>
      </w:r>
      <w:r w:rsidR="00936ED9" w:rsidRPr="006E0FAC">
        <w:rPr>
          <w:b/>
          <w:szCs w:val="24"/>
          <w:lang w:val="pt-BR"/>
        </w:rPr>
        <w:t>Graduanda</w:t>
      </w:r>
      <w:r w:rsidR="00F04DAA" w:rsidRPr="00F04DAA">
        <w:rPr>
          <w:b/>
          <w:szCs w:val="24"/>
          <w:lang w:val="pt-BR"/>
        </w:rPr>
        <w:t xml:space="preserve">, </w:t>
      </w:r>
      <w:r w:rsidR="00F04DAA">
        <w:rPr>
          <w:b/>
          <w:szCs w:val="24"/>
          <w:lang w:val="pt-BR"/>
        </w:rPr>
        <w:t>Instituto Federal do Amazonas</w:t>
      </w:r>
    </w:p>
    <w:p w14:paraId="3430F7CD" w14:textId="524CA884" w:rsidR="00827839" w:rsidRPr="0049479C" w:rsidRDefault="00F04DAA" w:rsidP="00E97ED4">
      <w:pPr>
        <w:spacing w:after="120"/>
        <w:rPr>
          <w:sz w:val="20"/>
          <w:lang w:val="pt-BR"/>
        </w:rPr>
      </w:pPr>
      <w:r>
        <w:rPr>
          <w:szCs w:val="24"/>
          <w:lang w:val="pt-BR"/>
        </w:rPr>
        <w:t>hilarioliveira.eng@gmail.com</w:t>
      </w:r>
    </w:p>
    <w:p w14:paraId="559F51CE" w14:textId="4035A85C" w:rsidR="00A77D24" w:rsidRPr="0049479C" w:rsidRDefault="008D7AB8" w:rsidP="00E97ED4">
      <w:pPr>
        <w:spacing w:after="120"/>
        <w:rPr>
          <w:b/>
          <w:szCs w:val="24"/>
          <w:lang w:val="pt-BR"/>
        </w:rPr>
      </w:pPr>
      <w:r>
        <w:rPr>
          <w:b/>
          <w:szCs w:val="24"/>
          <w:lang w:val="pt-BR"/>
        </w:rPr>
        <w:t>Jussara Socorro Cury Maciel</w:t>
      </w:r>
      <w:r w:rsidR="00A77D24" w:rsidRPr="0049479C">
        <w:rPr>
          <w:b/>
          <w:szCs w:val="24"/>
          <w:lang w:val="pt-BR"/>
        </w:rPr>
        <w:t xml:space="preserve">, </w:t>
      </w:r>
      <w:r w:rsidRPr="008D7AB8">
        <w:rPr>
          <w:b/>
          <w:szCs w:val="24"/>
          <w:lang w:val="pt-BR"/>
        </w:rPr>
        <w:t xml:space="preserve">Profa. </w:t>
      </w:r>
      <w:r w:rsidR="00B32F87" w:rsidRPr="008D7AB8">
        <w:rPr>
          <w:b/>
          <w:szCs w:val="24"/>
          <w:lang w:val="pt-BR"/>
        </w:rPr>
        <w:t>Dra.</w:t>
      </w:r>
      <w:r w:rsidR="00A77D24" w:rsidRPr="0049479C">
        <w:rPr>
          <w:b/>
          <w:szCs w:val="24"/>
          <w:lang w:val="pt-BR"/>
        </w:rPr>
        <w:t xml:space="preserve">, </w:t>
      </w:r>
      <w:r w:rsidR="00F04DAA">
        <w:rPr>
          <w:b/>
          <w:szCs w:val="24"/>
          <w:lang w:val="pt-BR"/>
        </w:rPr>
        <w:t xml:space="preserve">Instituto Federal do Amazonas </w:t>
      </w:r>
    </w:p>
    <w:p w14:paraId="5C123FF9" w14:textId="6C81B2A7" w:rsidR="00A77D24" w:rsidRPr="0049479C" w:rsidRDefault="00F04DAA" w:rsidP="00E97ED4">
      <w:pPr>
        <w:spacing w:after="120"/>
        <w:rPr>
          <w:szCs w:val="24"/>
          <w:lang w:val="pt-BR"/>
        </w:rPr>
      </w:pPr>
      <w:r w:rsidRPr="00F04DAA">
        <w:rPr>
          <w:szCs w:val="24"/>
          <w:lang w:val="pt-BR"/>
        </w:rPr>
        <w:t>jussara.maciel@ifam.edu.br</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E233A82" w14:textId="62F246AB" w:rsidR="009B72AA" w:rsidRPr="00936ED9" w:rsidRDefault="009B72AA" w:rsidP="00421130">
      <w:pPr>
        <w:spacing w:after="120"/>
        <w:jc w:val="both"/>
        <w:rPr>
          <w:lang w:val="pt-BR"/>
        </w:rPr>
      </w:pPr>
      <w:r w:rsidRPr="009B72AA">
        <w:rPr>
          <w:sz w:val="22"/>
          <w:szCs w:val="22"/>
          <w:lang w:val="pt-BR"/>
        </w:rPr>
        <w:t xml:space="preserve">O objetivo do estudo </w:t>
      </w:r>
      <w:r>
        <w:rPr>
          <w:sz w:val="22"/>
          <w:szCs w:val="22"/>
          <w:lang w:val="pt-BR"/>
        </w:rPr>
        <w:t>foi</w:t>
      </w:r>
      <w:r w:rsidRPr="009B72AA">
        <w:rPr>
          <w:sz w:val="22"/>
          <w:szCs w:val="22"/>
          <w:lang w:val="pt-BR"/>
        </w:rPr>
        <w:t xml:space="preserve"> avaliar parcialmente a mobilidade e acessibilidade no IFAM-CMC e entorno, focando na experiência dos usuários sob a prioridade do transporte não motorizado</w:t>
      </w:r>
      <w:r w:rsidR="00E06F3E">
        <w:rPr>
          <w:sz w:val="22"/>
          <w:szCs w:val="22"/>
          <w:lang w:val="pt-BR"/>
        </w:rPr>
        <w:t xml:space="preserve">, </w:t>
      </w:r>
      <w:r w:rsidR="00E06F3E" w:rsidRPr="00E06F3E">
        <w:rPr>
          <w:sz w:val="22"/>
          <w:szCs w:val="22"/>
          <w:lang w:val="pt-BR"/>
        </w:rPr>
        <w:t xml:space="preserve">em conformidade com a </w:t>
      </w:r>
      <w:r w:rsidR="00E06F3E">
        <w:rPr>
          <w:sz w:val="22"/>
          <w:szCs w:val="22"/>
          <w:lang w:val="pt-BR"/>
        </w:rPr>
        <w:t>Lei da Mobilidade Urbana</w:t>
      </w:r>
      <w:r w:rsidRPr="009B72AA">
        <w:rPr>
          <w:sz w:val="22"/>
          <w:szCs w:val="22"/>
          <w:lang w:val="pt-BR"/>
        </w:rPr>
        <w:t>. A metodologia explor</w:t>
      </w:r>
      <w:r w:rsidR="00E06F3E">
        <w:rPr>
          <w:sz w:val="22"/>
          <w:szCs w:val="22"/>
          <w:lang w:val="pt-BR"/>
        </w:rPr>
        <w:t xml:space="preserve">atória coletou dados primários </w:t>
      </w:r>
      <w:r w:rsidR="00E06F3E" w:rsidRPr="00E06F3E">
        <w:rPr>
          <w:sz w:val="22"/>
          <w:szCs w:val="22"/>
          <w:lang w:val="pt-BR"/>
        </w:rPr>
        <w:t>por meio de formulários dir</w:t>
      </w:r>
      <w:r w:rsidR="00E06F3E">
        <w:rPr>
          <w:sz w:val="22"/>
          <w:szCs w:val="22"/>
          <w:lang w:val="pt-BR"/>
        </w:rPr>
        <w:t>ecionados à comunidade institucional</w:t>
      </w:r>
      <w:r w:rsidRPr="009B72AA">
        <w:rPr>
          <w:sz w:val="22"/>
          <w:szCs w:val="22"/>
          <w:lang w:val="pt-BR"/>
        </w:rPr>
        <w:t xml:space="preserve"> </w:t>
      </w:r>
      <w:r>
        <w:rPr>
          <w:sz w:val="22"/>
          <w:szCs w:val="22"/>
          <w:lang w:val="pt-BR"/>
        </w:rPr>
        <w:t>e analisou o fluxo de tráfego na hora</w:t>
      </w:r>
      <w:r w:rsidRPr="009B72AA">
        <w:rPr>
          <w:sz w:val="22"/>
          <w:szCs w:val="22"/>
          <w:lang w:val="pt-BR"/>
        </w:rPr>
        <w:t xml:space="preserve"> pico para ent</w:t>
      </w:r>
      <w:r>
        <w:rPr>
          <w:sz w:val="22"/>
          <w:szCs w:val="22"/>
          <w:lang w:val="pt-BR"/>
        </w:rPr>
        <w:t>ender a influência da instituição</w:t>
      </w:r>
      <w:r w:rsidRPr="009B72AA">
        <w:rPr>
          <w:sz w:val="22"/>
          <w:szCs w:val="22"/>
          <w:lang w:val="pt-BR"/>
        </w:rPr>
        <w:t xml:space="preserve"> nas vias. A </w:t>
      </w:r>
      <w:r w:rsidR="00E06F3E">
        <w:rPr>
          <w:sz w:val="22"/>
          <w:szCs w:val="22"/>
          <w:lang w:val="pt-BR"/>
        </w:rPr>
        <w:t xml:space="preserve">abordagem </w:t>
      </w:r>
      <w:r w:rsidRPr="009B72AA">
        <w:rPr>
          <w:sz w:val="22"/>
          <w:szCs w:val="22"/>
          <w:lang w:val="pt-BR"/>
        </w:rPr>
        <w:t xml:space="preserve">quanti-qualitativa proporcionou </w:t>
      </w:r>
      <w:r>
        <w:rPr>
          <w:sz w:val="22"/>
          <w:szCs w:val="22"/>
          <w:lang w:val="pt-BR"/>
        </w:rPr>
        <w:t xml:space="preserve">uma </w:t>
      </w:r>
      <w:r w:rsidRPr="009B72AA">
        <w:rPr>
          <w:sz w:val="22"/>
          <w:szCs w:val="22"/>
          <w:lang w:val="pt-BR"/>
        </w:rPr>
        <w:t xml:space="preserve">compreensão abrangente. </w:t>
      </w:r>
      <w:r w:rsidR="00E06F3E" w:rsidRPr="00E06F3E">
        <w:rPr>
          <w:sz w:val="22"/>
          <w:szCs w:val="22"/>
          <w:lang w:val="pt-BR"/>
        </w:rPr>
        <w:t>Os resultados preliminares indicam a influência do IFAM-CMC no fluxo viário do entorno e apontam para dificuldades de acesso ao transporte público, o modal mais utilizado pelos pesquisados.</w:t>
      </w:r>
      <w:r w:rsidR="00A1619F" w:rsidRPr="00936ED9">
        <w:rPr>
          <w:lang w:val="pt-BR"/>
        </w:rPr>
        <w:t xml:space="preserve"> </w:t>
      </w:r>
      <w:r w:rsidR="001E784F" w:rsidRPr="001E784F">
        <w:rPr>
          <w:sz w:val="22"/>
          <w:szCs w:val="22"/>
          <w:lang w:val="pt-BR"/>
        </w:rPr>
        <w:t>Espera-se que a pesquisa contribua para o entendimento do IFAM-CMC como polo gerador de viagens, visando melhorias na infraestrutura e no transporte público,</w:t>
      </w:r>
      <w:r w:rsidR="001E784F">
        <w:rPr>
          <w:sz w:val="22"/>
          <w:szCs w:val="22"/>
          <w:lang w:val="pt-BR"/>
        </w:rPr>
        <w:t xml:space="preserve"> </w:t>
      </w:r>
      <w:r w:rsidR="00A1619F" w:rsidRPr="009B72AA">
        <w:rPr>
          <w:sz w:val="22"/>
          <w:szCs w:val="22"/>
          <w:lang w:val="pt-BR"/>
        </w:rPr>
        <w:t xml:space="preserve">promovendo acessibilidade e difundindo </w:t>
      </w:r>
      <w:r w:rsidR="001E784F">
        <w:rPr>
          <w:sz w:val="22"/>
          <w:szCs w:val="22"/>
          <w:lang w:val="pt-BR"/>
        </w:rPr>
        <w:t xml:space="preserve">a </w:t>
      </w:r>
      <w:r w:rsidR="00A1619F" w:rsidRPr="009B72AA">
        <w:rPr>
          <w:sz w:val="22"/>
          <w:szCs w:val="22"/>
          <w:lang w:val="pt-BR"/>
        </w:rPr>
        <w:t>mobilidade urbana sustentável em Manaus.</w:t>
      </w:r>
    </w:p>
    <w:p w14:paraId="539B7342" w14:textId="77777777" w:rsidR="00321E9E" w:rsidRPr="0049479C" w:rsidRDefault="00321E9E" w:rsidP="00E97ED4">
      <w:pPr>
        <w:spacing w:after="120"/>
        <w:rPr>
          <w:color w:val="A6A6A6"/>
          <w:sz w:val="22"/>
          <w:szCs w:val="22"/>
          <w:lang w:val="pt-BR"/>
        </w:rPr>
      </w:pPr>
    </w:p>
    <w:p w14:paraId="0DA18B90" w14:textId="43E3F102" w:rsidR="00827839" w:rsidRPr="0049479C" w:rsidRDefault="00827839" w:rsidP="009A3F66">
      <w:pPr>
        <w:spacing w:after="120"/>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8405F1">
        <w:rPr>
          <w:sz w:val="22"/>
          <w:szCs w:val="22"/>
          <w:lang w:val="pt-BR"/>
        </w:rPr>
        <w:t>Mobilidade</w:t>
      </w:r>
      <w:r w:rsidR="00A77D24" w:rsidRPr="0049479C">
        <w:rPr>
          <w:sz w:val="22"/>
          <w:szCs w:val="22"/>
          <w:lang w:val="pt-BR"/>
        </w:rPr>
        <w:t>;</w:t>
      </w:r>
      <w:r w:rsidR="00321E9E" w:rsidRPr="0049479C">
        <w:rPr>
          <w:sz w:val="22"/>
          <w:szCs w:val="22"/>
          <w:lang w:val="pt-BR"/>
        </w:rPr>
        <w:t xml:space="preserve"> </w:t>
      </w:r>
      <w:r w:rsidR="008405F1">
        <w:rPr>
          <w:sz w:val="22"/>
          <w:szCs w:val="22"/>
          <w:lang w:val="pt-BR"/>
        </w:rPr>
        <w:t>Acessibilidade;</w:t>
      </w:r>
      <w:r w:rsidR="00321E9E" w:rsidRPr="0049479C">
        <w:rPr>
          <w:sz w:val="22"/>
          <w:szCs w:val="22"/>
          <w:lang w:val="pt-BR"/>
        </w:rPr>
        <w:t xml:space="preserve"> </w:t>
      </w:r>
      <w:r w:rsidR="008405F1">
        <w:rPr>
          <w:sz w:val="22"/>
          <w:szCs w:val="22"/>
          <w:lang w:val="pt-BR"/>
        </w:rPr>
        <w:t xml:space="preserve">Transporte </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333F92E6" w14:textId="77777777" w:rsidR="001E784F" w:rsidRPr="00936ED9" w:rsidRDefault="001E784F" w:rsidP="00421130">
      <w:pPr>
        <w:widowControl w:val="0"/>
        <w:autoSpaceDE w:val="0"/>
        <w:autoSpaceDN w:val="0"/>
        <w:adjustRightInd w:val="0"/>
        <w:spacing w:after="120"/>
        <w:jc w:val="both"/>
        <w:rPr>
          <w:i/>
          <w:sz w:val="22"/>
          <w:szCs w:val="22"/>
        </w:rPr>
      </w:pPr>
      <w:r w:rsidRPr="00936ED9">
        <w:rPr>
          <w:i/>
          <w:sz w:val="22"/>
          <w:szCs w:val="22"/>
        </w:rPr>
        <w:t xml:space="preserve">The aim of the study was </w:t>
      </w:r>
      <w:proofErr w:type="gramStart"/>
      <w:r w:rsidRPr="00936ED9">
        <w:rPr>
          <w:i/>
          <w:sz w:val="22"/>
          <w:szCs w:val="22"/>
        </w:rPr>
        <w:t>to partially evaluate</w:t>
      </w:r>
      <w:proofErr w:type="gramEnd"/>
      <w:r w:rsidRPr="00936ED9">
        <w:rPr>
          <w:i/>
          <w:sz w:val="22"/>
          <w:szCs w:val="22"/>
        </w:rPr>
        <w:t xml:space="preserve"> mobility and accessibility in and around IFAM-CMC, focusing on the user experience under the priority of non-motorized transport, in accordance with the Urban Mobility Law. The exploratory methodology collected primary data through forms directed at the institutional community and analyzed peak hour traffic flow to understand the institution's influence on the roads. The quantitative-qualitative approach provided a comprehensive understanding. Preliminary results indicate the influence of IFAM-CMC on the surrounding traffic flow and point to difficulties in accessing public transport, the mode most used by those surveyed. It </w:t>
      </w:r>
      <w:proofErr w:type="gramStart"/>
      <w:r w:rsidRPr="00936ED9">
        <w:rPr>
          <w:i/>
          <w:sz w:val="22"/>
          <w:szCs w:val="22"/>
        </w:rPr>
        <w:t>is hoped</w:t>
      </w:r>
      <w:proofErr w:type="gramEnd"/>
      <w:r w:rsidRPr="00936ED9">
        <w:rPr>
          <w:i/>
          <w:sz w:val="22"/>
          <w:szCs w:val="22"/>
        </w:rPr>
        <w:t xml:space="preserve"> that the research will contribute to an understanding of IFAM-CMC as a travel-generating hub, with a view to improving infrastructure and public transport, promoting accessibility and spreading sustainable urban mobility in Manaus.</w:t>
      </w:r>
    </w:p>
    <w:p w14:paraId="2CCD8B8A" w14:textId="77777777" w:rsidR="00BF0F76" w:rsidRPr="00936ED9" w:rsidRDefault="00BF0F76" w:rsidP="00E97ED4">
      <w:pPr>
        <w:spacing w:after="120"/>
        <w:rPr>
          <w:color w:val="A6A6A6"/>
          <w:sz w:val="22"/>
          <w:szCs w:val="22"/>
        </w:rPr>
      </w:pPr>
    </w:p>
    <w:p w14:paraId="646EEC12" w14:textId="5A3A968E" w:rsidR="00827839" w:rsidRDefault="00141364" w:rsidP="00E65D3B">
      <w:pPr>
        <w:spacing w:after="120"/>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8405F1" w:rsidRPr="00911AD8">
        <w:rPr>
          <w:i/>
          <w:sz w:val="22"/>
          <w:szCs w:val="22"/>
        </w:rPr>
        <w:t>Mobility</w:t>
      </w:r>
      <w:r w:rsidR="006D00BB" w:rsidRPr="0049479C">
        <w:rPr>
          <w:i/>
          <w:sz w:val="22"/>
          <w:szCs w:val="22"/>
        </w:rPr>
        <w:t>;</w:t>
      </w:r>
      <w:r w:rsidR="00BF0F76" w:rsidRPr="0049479C">
        <w:rPr>
          <w:i/>
          <w:sz w:val="22"/>
          <w:szCs w:val="22"/>
        </w:rPr>
        <w:t xml:space="preserve"> </w:t>
      </w:r>
      <w:r w:rsidR="008405F1" w:rsidRPr="00911AD8">
        <w:rPr>
          <w:i/>
          <w:sz w:val="22"/>
          <w:szCs w:val="22"/>
        </w:rPr>
        <w:t>accessibility</w:t>
      </w:r>
      <w:r w:rsidR="006D00BB" w:rsidRPr="0049479C">
        <w:rPr>
          <w:i/>
          <w:sz w:val="22"/>
          <w:szCs w:val="22"/>
        </w:rPr>
        <w:t>;</w:t>
      </w:r>
      <w:r w:rsidR="00BF0F76" w:rsidRPr="0049479C">
        <w:rPr>
          <w:i/>
          <w:sz w:val="22"/>
          <w:szCs w:val="22"/>
        </w:rPr>
        <w:t xml:space="preserve"> </w:t>
      </w:r>
      <w:r w:rsidR="008405F1" w:rsidRPr="00911AD8">
        <w:rPr>
          <w:i/>
          <w:sz w:val="22"/>
          <w:szCs w:val="22"/>
        </w:rPr>
        <w:t>transportation</w:t>
      </w:r>
      <w:r w:rsidR="008405F1">
        <w:rPr>
          <w:i/>
          <w:sz w:val="22"/>
          <w:szCs w:val="22"/>
        </w:rPr>
        <w:t xml:space="preserve"> </w:t>
      </w:r>
      <w:r w:rsidR="008405F1" w:rsidRPr="008405F1">
        <w:rPr>
          <w:i/>
          <w:sz w:val="22"/>
          <w:szCs w:val="22"/>
        </w:rPr>
        <w:t xml:space="preserve"> </w:t>
      </w:r>
    </w:p>
    <w:p w14:paraId="337D14B8" w14:textId="77777777" w:rsidR="005E3C4E" w:rsidRPr="0049479C" w:rsidRDefault="005E3C4E" w:rsidP="00E65D3B">
      <w:pPr>
        <w:spacing w:after="120"/>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424F0A26" w14:textId="7B7A188B" w:rsidR="00F3486F" w:rsidRDefault="00956E87" w:rsidP="00421130">
      <w:pPr>
        <w:spacing w:after="120"/>
        <w:ind w:firstLine="284"/>
        <w:jc w:val="both"/>
        <w:rPr>
          <w:szCs w:val="24"/>
          <w:lang w:val="pt-BR"/>
        </w:rPr>
      </w:pPr>
      <w:r w:rsidRPr="00956E87">
        <w:rPr>
          <w:szCs w:val="24"/>
          <w:lang w:val="pt-BR"/>
        </w:rPr>
        <w:t xml:space="preserve">O Instituto Federal de Educação, Ciência e Tecnologia do Amazonas - Campus Manaus Centro representa um importante polo gerador de viagens na rede de mobilidade urbana de Manaus, pois concentra um fluxo considerável de estudantes, docentes e funcionários. </w:t>
      </w:r>
      <w:r w:rsidR="00F3486F" w:rsidRPr="00F3486F">
        <w:rPr>
          <w:szCs w:val="24"/>
          <w:lang w:val="pt-BR"/>
        </w:rPr>
        <w:t xml:space="preserve">A crescente demanda por transporte para acesso ao IFAM-CMC, instituição que oferece o serviço essencial de educação, aliada à complexidade enfrentada por estudantes e funcionários na escolha do modal mais adequado, </w:t>
      </w:r>
      <w:r w:rsidR="00F3486F" w:rsidRPr="00956E87">
        <w:rPr>
          <w:szCs w:val="24"/>
          <w:lang w:val="pt-BR"/>
        </w:rPr>
        <w:t>torna a análise das condições de mobilidade e acessibilidade neste local uma questão crucial.</w:t>
      </w:r>
    </w:p>
    <w:p w14:paraId="3648C434" w14:textId="78E5BF1E" w:rsidR="00174DA0" w:rsidRDefault="00174DA0" w:rsidP="00421130">
      <w:pPr>
        <w:spacing w:after="120"/>
        <w:ind w:firstLine="284"/>
        <w:jc w:val="both"/>
        <w:rPr>
          <w:szCs w:val="24"/>
          <w:lang w:val="pt-BR"/>
        </w:rPr>
      </w:pPr>
      <w:r w:rsidRPr="00174DA0">
        <w:rPr>
          <w:szCs w:val="24"/>
          <w:lang w:val="pt-BR"/>
        </w:rPr>
        <w:t>Para compreender essa dinâmica, o presente estudo avaliou parcialmente a mobilidade e a acessibilidade no IFAM-CMC e entorno, com foco na experiên</w:t>
      </w:r>
      <w:r>
        <w:rPr>
          <w:szCs w:val="24"/>
          <w:lang w:val="pt-BR"/>
        </w:rPr>
        <w:t>cia dos usuários</w:t>
      </w:r>
      <w:r w:rsidRPr="00174DA0">
        <w:rPr>
          <w:szCs w:val="24"/>
          <w:lang w:val="pt-BR"/>
        </w:rPr>
        <w:t>. Através de uma metodologia exploratória com coleta de dados primários e análise de fluxo de tráfego, buscou-se entender a influência da instituição e as dificuldades de acesso, utilizando uma abordagem quanti-qualitativa.</w:t>
      </w:r>
      <w:r>
        <w:rPr>
          <w:szCs w:val="24"/>
          <w:lang w:val="pt-BR"/>
        </w:rPr>
        <w:t xml:space="preserve"> </w:t>
      </w:r>
      <w:r w:rsidR="00D279A8" w:rsidRPr="00D279A8">
        <w:rPr>
          <w:szCs w:val="24"/>
          <w:lang w:val="pt-BR"/>
        </w:rPr>
        <w:t xml:space="preserve">Espera-se que a pesquisa contribua para o entendimento do IFAM-CMC como polo gerador de viagens, visando melhorias na infraestrutura e no transporte público, </w:t>
      </w:r>
      <w:r w:rsidRPr="00174DA0">
        <w:rPr>
          <w:szCs w:val="24"/>
          <w:lang w:val="pt-BR"/>
        </w:rPr>
        <w:t>para promover a acessibilidade e melhorar a qualidade de vida da comunidade acadêmica e dos moradores da região.</w:t>
      </w:r>
    </w:p>
    <w:p w14:paraId="2709DB60" w14:textId="3A9D6B9A" w:rsidR="00805184" w:rsidRPr="0049479C" w:rsidRDefault="00805184" w:rsidP="00805184">
      <w:pPr>
        <w:spacing w:after="120"/>
        <w:rPr>
          <w:color w:val="A6A6A6"/>
          <w:szCs w:val="24"/>
          <w:lang w:val="pt-BR"/>
        </w:rPr>
      </w:pPr>
    </w:p>
    <w:p w14:paraId="4031BFCD" w14:textId="5538605A" w:rsidR="00805184" w:rsidRPr="0058453D" w:rsidRDefault="00956E87" w:rsidP="0058453D">
      <w:pPr>
        <w:pStyle w:val="PargrafodaLista"/>
        <w:numPr>
          <w:ilvl w:val="0"/>
          <w:numId w:val="5"/>
        </w:numPr>
        <w:spacing w:after="120"/>
        <w:rPr>
          <w:b/>
          <w:szCs w:val="24"/>
          <w:lang w:val="pt-BR"/>
        </w:rPr>
      </w:pPr>
      <w:r>
        <w:rPr>
          <w:b/>
          <w:szCs w:val="24"/>
          <w:lang w:val="pt-BR"/>
        </w:rPr>
        <w:t>Fundamentação Teórica</w:t>
      </w:r>
    </w:p>
    <w:p w14:paraId="0D4956B2" w14:textId="77777777" w:rsidR="00F3486F" w:rsidRPr="00F3486F" w:rsidRDefault="00F3486F" w:rsidP="00421130">
      <w:pPr>
        <w:spacing w:after="120"/>
        <w:ind w:firstLine="360"/>
        <w:jc w:val="both"/>
        <w:rPr>
          <w:szCs w:val="24"/>
          <w:lang w:val="pt-BR"/>
        </w:rPr>
      </w:pPr>
      <w:r w:rsidRPr="00F3486F">
        <w:rPr>
          <w:szCs w:val="24"/>
          <w:lang w:val="pt-BR"/>
        </w:rPr>
        <w:t xml:space="preserve">Segundo Alves e Raia Jr (2009) a mobilidade urbana está relacionada com deslocamentos diários ou viagens de pessoas no espaço urbano. Morris et al (1979) considera a mobilidade urbana como capacidade do indivíduo de se locomover de um lugar ao outro e isso depende da disponibilidade de tipos de modos de transporte, inclusive a pé. Ainda no âmbito dos estudos sobre mobilidade urbana, </w:t>
      </w:r>
      <w:proofErr w:type="spellStart"/>
      <w:r w:rsidRPr="00F3486F">
        <w:rPr>
          <w:szCs w:val="24"/>
          <w:lang w:val="pt-BR"/>
        </w:rPr>
        <w:t>Litman</w:t>
      </w:r>
      <w:proofErr w:type="spellEnd"/>
      <w:r w:rsidRPr="00F3486F">
        <w:rPr>
          <w:szCs w:val="24"/>
          <w:lang w:val="pt-BR"/>
        </w:rPr>
        <w:t xml:space="preserve"> (2017) elucida a intrínseca relação entre mobilidade e acessibilidade, definindo a acessibilidade básica como a capacidade de alcançar atividades consideradas essenciais pela sociedade, a exemplo da educação e da saúde. Complementarmente, a mobilidade básica é conceituada como o deslocamento que viabiliza esse acesso fundamental. Essa distinção ressalta que a efetiva garantia da mobilidade vai além da simples possibilidade de movimento, abrangendo a capacidade de alcançar oportunidades e serviços vitais para a participação plena na vida social.</w:t>
      </w:r>
    </w:p>
    <w:p w14:paraId="518FA748" w14:textId="77777777" w:rsidR="00F3486F" w:rsidRPr="00F3486F" w:rsidRDefault="00F3486F" w:rsidP="00421130">
      <w:pPr>
        <w:spacing w:after="120"/>
        <w:ind w:firstLine="360"/>
        <w:jc w:val="both"/>
        <w:rPr>
          <w:szCs w:val="24"/>
          <w:lang w:val="pt-BR"/>
        </w:rPr>
      </w:pPr>
      <w:r w:rsidRPr="00F3486F">
        <w:rPr>
          <w:szCs w:val="24"/>
          <w:lang w:val="pt-BR"/>
        </w:rPr>
        <w:t xml:space="preserve">Para </w:t>
      </w:r>
      <w:proofErr w:type="spellStart"/>
      <w:r w:rsidRPr="00F3486F">
        <w:rPr>
          <w:szCs w:val="24"/>
          <w:lang w:val="pt-BR"/>
        </w:rPr>
        <w:t>Zegras</w:t>
      </w:r>
      <w:proofErr w:type="spellEnd"/>
      <w:r w:rsidRPr="00F3486F">
        <w:rPr>
          <w:szCs w:val="24"/>
          <w:lang w:val="pt-BR"/>
        </w:rPr>
        <w:t xml:space="preserve"> (2005), a acessibilidade significa proporcionar aos indivíduos facilidade de alcançar atividades e oportunidades, através dos sistemas de transporte, aprimorando as relações interpessoais e econômicas, sem impactar negativamente o meio ambiente. A acessibilidade é representada localmente pelas dimensões do ambiente construído, atuando como fatores orientadores da mobilidade praticada, como por exemplo relacionando o desenho urbano, disponibilidade de transporte público, destinos acessíveis, dimensões compatíveis, diversidade, segurança, inclusão, entre outros atributos.</w:t>
      </w:r>
    </w:p>
    <w:p w14:paraId="0F114CFA" w14:textId="77777777" w:rsidR="00F3486F" w:rsidRPr="00F3486F" w:rsidRDefault="00F3486F" w:rsidP="00421130">
      <w:pPr>
        <w:spacing w:after="120"/>
        <w:ind w:firstLine="360"/>
        <w:jc w:val="both"/>
        <w:rPr>
          <w:szCs w:val="24"/>
          <w:lang w:val="pt-BR"/>
        </w:rPr>
      </w:pPr>
      <w:r w:rsidRPr="00F3486F">
        <w:rPr>
          <w:szCs w:val="24"/>
          <w:lang w:val="pt-BR"/>
        </w:rPr>
        <w:t>Considerando o desenho urbano, a lei 12.587/12 (BRASIL, 2012), mais conhecida como a Política Nacional de Mobilidade Urbana preconiza que a prioridade deve ser concedida aos modos não motorizados, ou seja, a pé e bicicleta, em seguida o modo coletivo. Tendo em vista os acessos às edificações em geral, a Norma ABNT NBR 9050:2020 define acessibilidade como a possibilidade de utilização segura e autônoma de diferentes elementos do ambiente por pessoas com deficiência ou mobilidade reduzida, sendo a acessibilidade universal um princípio fundamental que busca projetar e construir ambientes, produtos e serviços que possam ser utilizados por todas as pessoas, na sua máxima extensão possível, sem necessidade de adaptação ou projeto específico (ABNT NBR 9050, 2020).</w:t>
      </w:r>
    </w:p>
    <w:p w14:paraId="25C2C1CD" w14:textId="77777777" w:rsidR="00F3486F" w:rsidRPr="00F3486F" w:rsidRDefault="00F3486F" w:rsidP="00421130">
      <w:pPr>
        <w:spacing w:after="120"/>
        <w:ind w:firstLine="360"/>
        <w:jc w:val="both"/>
        <w:rPr>
          <w:szCs w:val="24"/>
          <w:lang w:val="pt-BR"/>
        </w:rPr>
      </w:pPr>
      <w:r w:rsidRPr="00F3486F">
        <w:rPr>
          <w:szCs w:val="24"/>
          <w:lang w:val="pt-BR"/>
        </w:rPr>
        <w:t xml:space="preserve">O setor de transportes representa uma parcela considerável das emissões globais de gases de efeito estufa, com dados de Ferrer e Thomé (2023) indicando uma responsabilidade de 15% </w:t>
      </w:r>
      <w:r w:rsidRPr="00F3486F">
        <w:rPr>
          <w:szCs w:val="24"/>
          <w:lang w:val="pt-BR"/>
        </w:rPr>
        <w:lastRenderedPageBreak/>
        <w:t xml:space="preserve">dos GEE antropogênicos e 23% das emissões energéticas, equivalendo a 8,7 </w:t>
      </w:r>
      <w:proofErr w:type="spellStart"/>
      <w:r w:rsidRPr="00F3486F">
        <w:rPr>
          <w:szCs w:val="24"/>
          <w:lang w:val="pt-BR"/>
        </w:rPr>
        <w:t>Gt</w:t>
      </w:r>
      <w:proofErr w:type="spellEnd"/>
      <w:r w:rsidRPr="00F3486F">
        <w:rPr>
          <w:szCs w:val="24"/>
          <w:lang w:val="pt-BR"/>
        </w:rPr>
        <w:t xml:space="preserve"> de CO2. Nesse contexto, as escolas e universidades, ao gerarem a necessidade de deslocamento diário de estudantes, professores e funcionários para essas instituições, inserem-se indiretamente nesse cenário de emissões. Dessa forma, a adoção de modais de transporte mais sustentáveis para o acesso às escolas e universidades apresenta-se como uma via promissora para a redução dessas emissões e para o avanço em direção a um sistema de transporte mais ecológico.</w:t>
      </w:r>
    </w:p>
    <w:p w14:paraId="3B91AB0B" w14:textId="4A22D638" w:rsidR="00F3486F" w:rsidRPr="00F3486F" w:rsidRDefault="006E0FAC" w:rsidP="00421130">
      <w:pPr>
        <w:spacing w:after="120"/>
        <w:ind w:firstLine="360"/>
        <w:jc w:val="both"/>
        <w:rPr>
          <w:szCs w:val="24"/>
          <w:lang w:val="pt-BR"/>
        </w:rPr>
      </w:pPr>
      <w:proofErr w:type="spellStart"/>
      <w:r>
        <w:rPr>
          <w:szCs w:val="24"/>
          <w:lang w:val="pt-BR"/>
        </w:rPr>
        <w:t>Ghidini</w:t>
      </w:r>
      <w:proofErr w:type="spellEnd"/>
      <w:r w:rsidR="00F3486F" w:rsidRPr="00F3486F">
        <w:rPr>
          <w:szCs w:val="24"/>
          <w:lang w:val="pt-BR"/>
        </w:rPr>
        <w:t xml:space="preserve"> (2011) em seu artigo cita as “10 razões para promover o deslocamento a pé”, que nos relembra certas coisas que muitas vezes não são valorizadas: 1. Somos todos pedestres em deslocamentos obrigados ou ao passeio; 2. Tornam-se mais seguras as ruas com a presença de pessoas; 3. Muitos são obrigados a caminhar outros escolhem fazê-lo; 4. É barato; 5. É bom para os negócios (comércio turismo, etc.) 6. Qualquer outro modo de deslocamento exige caminhar; 7. É bom para o meio ambiente; 8. Pode reduzir a demanda de infraestruturas de transporte; 9. Pode melhorar a saúde das pessoas; 10. Melhora a qualidade de vida (independência, sociabilidade, etc.). A análise da relação entre discentes, docentes e funcionários do IFAM-CMC com o espaço urbano do entorno, enquanto pedestres que vivenciam dificuldades devido à incompatibilidade dos elementos presentes com os requisitos básicos de seus deslocamentos, revela uma oportunidade crucial para promover a caminhada como um pilar de um futuro mais sustentável e acessível.</w:t>
      </w:r>
    </w:p>
    <w:p w14:paraId="5E5B891B" w14:textId="77777777" w:rsidR="00F3486F" w:rsidRPr="00F3486F" w:rsidRDefault="00F3486F" w:rsidP="00421130">
      <w:pPr>
        <w:spacing w:after="120"/>
        <w:ind w:firstLine="360"/>
        <w:jc w:val="both"/>
        <w:rPr>
          <w:szCs w:val="24"/>
          <w:lang w:val="pt-BR"/>
        </w:rPr>
      </w:pPr>
      <w:r w:rsidRPr="00F3486F">
        <w:rPr>
          <w:szCs w:val="24"/>
          <w:lang w:val="pt-BR"/>
        </w:rPr>
        <w:t>A mobilidade e a acessibilidade urbana são conhecidas pelo uso prevalecente do transporte individual e particular, em detrimento do público e coletivo. Realizar decisões para melhorar a mobilidade urbana gera escolhas (</w:t>
      </w:r>
      <w:r w:rsidRPr="00994CAA">
        <w:rPr>
          <w:i/>
          <w:szCs w:val="24"/>
          <w:lang w:val="pt-BR"/>
        </w:rPr>
        <w:t>trade-</w:t>
      </w:r>
      <w:proofErr w:type="spellStart"/>
      <w:r w:rsidRPr="00994CAA">
        <w:rPr>
          <w:i/>
          <w:szCs w:val="24"/>
          <w:lang w:val="pt-BR"/>
        </w:rPr>
        <w:t>offs</w:t>
      </w:r>
      <w:proofErr w:type="spellEnd"/>
      <w:r w:rsidRPr="00F3486F">
        <w:rPr>
          <w:szCs w:val="24"/>
          <w:lang w:val="pt-BR"/>
        </w:rPr>
        <w:t>) entre esses fatores, como, por exemplo, uma melhoria nas rodovias pode beneficiar o acesso dos carros, porém pode dificultar o acesso por outros modos e reduzir o acesso dos pedestres e ciclistas (</w:t>
      </w:r>
      <w:proofErr w:type="spellStart"/>
      <w:r w:rsidRPr="00F3486F">
        <w:rPr>
          <w:szCs w:val="24"/>
          <w:lang w:val="pt-BR"/>
        </w:rPr>
        <w:t>Litman</w:t>
      </w:r>
      <w:proofErr w:type="spellEnd"/>
      <w:r w:rsidRPr="00F3486F">
        <w:rPr>
          <w:szCs w:val="24"/>
          <w:lang w:val="pt-BR"/>
        </w:rPr>
        <w:t>, 2014). Decisões que priorizam o transporte individual muitas vezes têm consequências negativas para o transporte público, a mobilidade ativa (pedestres e ciclistas) e, em última análise, para a sustentabilidade e a equidade do sistema de mobilidade como um todo.</w:t>
      </w:r>
    </w:p>
    <w:p w14:paraId="78A7AEEA" w14:textId="77777777" w:rsidR="00F3486F" w:rsidRPr="00F3486F" w:rsidRDefault="00F3486F" w:rsidP="00421130">
      <w:pPr>
        <w:spacing w:after="120"/>
        <w:ind w:firstLine="360"/>
        <w:jc w:val="both"/>
        <w:rPr>
          <w:szCs w:val="24"/>
          <w:lang w:val="pt-BR"/>
        </w:rPr>
      </w:pPr>
      <w:proofErr w:type="spellStart"/>
      <w:r w:rsidRPr="00F3486F">
        <w:rPr>
          <w:szCs w:val="24"/>
          <w:lang w:val="pt-BR"/>
        </w:rPr>
        <w:t>Geurs</w:t>
      </w:r>
      <w:proofErr w:type="spellEnd"/>
      <w:r w:rsidRPr="00F3486F">
        <w:rPr>
          <w:szCs w:val="24"/>
          <w:lang w:val="pt-BR"/>
        </w:rPr>
        <w:t xml:space="preserve"> e Van </w:t>
      </w:r>
      <w:proofErr w:type="spellStart"/>
      <w:r w:rsidRPr="00F3486F">
        <w:rPr>
          <w:szCs w:val="24"/>
          <w:lang w:val="pt-BR"/>
        </w:rPr>
        <w:t>Wee</w:t>
      </w:r>
      <w:proofErr w:type="spellEnd"/>
      <w:r w:rsidRPr="00F3486F">
        <w:rPr>
          <w:szCs w:val="24"/>
          <w:lang w:val="pt-BR"/>
        </w:rPr>
        <w:t xml:space="preserve"> (2004) propõem uma definição abrangente de acessibilidade, estruturada em quatro componentes inter-relacionados. O primeiro, uso do solo, engloba a oferta e demanda de atividades e serviços, considerando sua quantidade, qualidade, distribuição espacial e potenciais restrições de capacidade que podem gerar competição. O segundo componente, transporte, foca no sistema de deslocamento em si, analisando o tempo, o custo financeiro e o esforço despendido pelos indivíduos em suas viagens, variando conforme o modo de transporte, a origem e o destino. O terceiro componente, tempo, reconhece a influência das variações temporais nos deslocamentos, como as flutuações nos tempos de viagem ao longo do dia. Por fim, o componente indivíduo destaca as necessidades, habilidades e oportunidades específicas de cada usuário, e como esses fatores individuais modulam o acesso a diferentes modos de transporte, refletindo o nível de inclusão social.</w:t>
      </w:r>
    </w:p>
    <w:p w14:paraId="1504C531" w14:textId="15B7FBC8" w:rsidR="009B2EF9" w:rsidRDefault="00F3486F" w:rsidP="00421130">
      <w:pPr>
        <w:spacing w:after="120"/>
        <w:ind w:firstLine="360"/>
        <w:jc w:val="both"/>
        <w:rPr>
          <w:szCs w:val="24"/>
          <w:lang w:val="pt-BR"/>
        </w:rPr>
      </w:pPr>
      <w:r w:rsidRPr="00F3486F">
        <w:rPr>
          <w:szCs w:val="24"/>
          <w:lang w:val="pt-BR"/>
        </w:rPr>
        <w:t>Ferreira (2011) explana que a requalificação urbana consiste na revitalização da cidade para a realidade que nos cerca, representando algo mais do que uma forma de atuação, pelo fato de permanecer associada à cultura urbana e à capacidade de desenvolvimento sustentável dos territórios. Em essência, essa revitalização trata-se de um instrumento de planejamento e gestão urbana que visa aprimorar as condições de habitabilidade, funcionalidade e atr</w:t>
      </w:r>
      <w:r w:rsidR="00A20BB8">
        <w:rPr>
          <w:szCs w:val="24"/>
          <w:lang w:val="pt-BR"/>
        </w:rPr>
        <w:t>atividade das cidades (</w:t>
      </w:r>
      <w:proofErr w:type="spellStart"/>
      <w:r w:rsidR="00A20BB8">
        <w:rPr>
          <w:szCs w:val="24"/>
          <w:lang w:val="pt-BR"/>
        </w:rPr>
        <w:t>Konzen</w:t>
      </w:r>
      <w:proofErr w:type="spellEnd"/>
      <w:r w:rsidR="00A20BB8">
        <w:rPr>
          <w:szCs w:val="24"/>
          <w:lang w:val="pt-BR"/>
        </w:rPr>
        <w:t xml:space="preserve"> e </w:t>
      </w:r>
      <w:r w:rsidRPr="00F3486F">
        <w:rPr>
          <w:szCs w:val="24"/>
          <w:lang w:val="pt-BR"/>
        </w:rPr>
        <w:t xml:space="preserve">Vivian, 2020). </w:t>
      </w:r>
    </w:p>
    <w:p w14:paraId="4C0D2609" w14:textId="77777777" w:rsidR="00CD4A49" w:rsidRDefault="00CD4A49" w:rsidP="00CD4A49">
      <w:pPr>
        <w:spacing w:after="120"/>
        <w:ind w:firstLine="360"/>
        <w:rPr>
          <w:szCs w:val="24"/>
          <w:lang w:val="pt-BR"/>
        </w:rPr>
      </w:pPr>
    </w:p>
    <w:p w14:paraId="2F3235F0" w14:textId="77777777" w:rsidR="006E0FAC" w:rsidRDefault="006E0FAC" w:rsidP="00CD4A49">
      <w:pPr>
        <w:spacing w:after="120"/>
        <w:ind w:firstLine="360"/>
        <w:rPr>
          <w:szCs w:val="24"/>
          <w:lang w:val="pt-BR"/>
        </w:rPr>
      </w:pPr>
    </w:p>
    <w:p w14:paraId="344C0FEE" w14:textId="77777777" w:rsidR="006E0FAC" w:rsidRDefault="006E0FAC" w:rsidP="00CD4A49">
      <w:pPr>
        <w:spacing w:after="120"/>
        <w:ind w:firstLine="360"/>
        <w:rPr>
          <w:szCs w:val="24"/>
          <w:lang w:val="pt-BR"/>
        </w:rPr>
      </w:pPr>
    </w:p>
    <w:p w14:paraId="650BEBD6" w14:textId="77777777" w:rsidR="006E0FAC" w:rsidRPr="0049479C" w:rsidRDefault="006E0FAC" w:rsidP="00CD4A49">
      <w:pPr>
        <w:spacing w:after="120"/>
        <w:ind w:firstLine="360"/>
        <w:rPr>
          <w:szCs w:val="24"/>
          <w:lang w:val="pt-BR"/>
        </w:rPr>
      </w:pPr>
    </w:p>
    <w:p w14:paraId="6AC6F1C2" w14:textId="0A86E723" w:rsidR="00B63A35" w:rsidRPr="006E0FAC" w:rsidRDefault="00B63A35" w:rsidP="00B63A35">
      <w:pPr>
        <w:pStyle w:val="PargrafodaLista"/>
        <w:numPr>
          <w:ilvl w:val="0"/>
          <w:numId w:val="5"/>
        </w:numPr>
        <w:spacing w:after="120"/>
        <w:rPr>
          <w:b/>
          <w:szCs w:val="24"/>
          <w:lang w:val="pt-BR"/>
        </w:rPr>
      </w:pPr>
      <w:r w:rsidRPr="0049479C">
        <w:rPr>
          <w:b/>
          <w:szCs w:val="24"/>
          <w:lang w:val="pt-BR"/>
        </w:rPr>
        <w:lastRenderedPageBreak/>
        <w:t>Procedimentos Metodológicos</w:t>
      </w:r>
    </w:p>
    <w:p w14:paraId="60364787" w14:textId="77777777" w:rsidR="00956E87" w:rsidRPr="00956E87" w:rsidRDefault="00956E87" w:rsidP="00421130">
      <w:pPr>
        <w:spacing w:after="120"/>
        <w:ind w:firstLine="284"/>
        <w:jc w:val="both"/>
        <w:rPr>
          <w:szCs w:val="24"/>
          <w:lang w:val="pt-BR"/>
        </w:rPr>
      </w:pPr>
      <w:r w:rsidRPr="00956E87">
        <w:rPr>
          <w:szCs w:val="24"/>
          <w:lang w:val="pt-BR"/>
        </w:rPr>
        <w:t xml:space="preserve">A espacialização para os estudos de transportes pode envolver escalas: i) Microscópicas que envolvem o transporte não motorizados em que o uso do solo tem forma urbana; </w:t>
      </w:r>
      <w:proofErr w:type="spellStart"/>
      <w:r w:rsidRPr="00956E87">
        <w:rPr>
          <w:szCs w:val="24"/>
          <w:lang w:val="pt-BR"/>
        </w:rPr>
        <w:t>ii</w:t>
      </w:r>
      <w:proofErr w:type="spellEnd"/>
      <w:r w:rsidRPr="00956E87">
        <w:rPr>
          <w:szCs w:val="24"/>
          <w:lang w:val="pt-BR"/>
        </w:rPr>
        <w:t xml:space="preserve">) </w:t>
      </w:r>
      <w:proofErr w:type="spellStart"/>
      <w:r w:rsidRPr="00956E87">
        <w:rPr>
          <w:szCs w:val="24"/>
          <w:lang w:val="pt-BR"/>
        </w:rPr>
        <w:t>Mesoscópica</w:t>
      </w:r>
      <w:proofErr w:type="spellEnd"/>
      <w:r w:rsidRPr="00956E87">
        <w:rPr>
          <w:szCs w:val="24"/>
          <w:lang w:val="pt-BR"/>
        </w:rPr>
        <w:t xml:space="preserve"> que relaciona o transporte público de média capacidade que envolve o desenho urbano com foco no ambiente construído; </w:t>
      </w:r>
      <w:proofErr w:type="spellStart"/>
      <w:r w:rsidRPr="00956E87">
        <w:rPr>
          <w:szCs w:val="24"/>
          <w:lang w:val="pt-BR"/>
        </w:rPr>
        <w:t>iii</w:t>
      </w:r>
      <w:proofErr w:type="spellEnd"/>
      <w:r w:rsidRPr="00956E87">
        <w:rPr>
          <w:szCs w:val="24"/>
          <w:lang w:val="pt-BR"/>
        </w:rPr>
        <w:t>) Macroscópica que envolve o transporte público de alta capacidade que usa a estrutura urbana, com foco nas camadas de infraestrutura. Considerando as infraestruturas que atuam como plano de fundo ao transporte não-motorizado que neste contexto está associado à escala microscópica –, foram consideradas as ruas, calçadas e as ambiências que estas promovem, principalmente porque, nesta escala, transporte e uso do solo estão intimamente ligados e relacionados ao ambiente construído (Mello e Portugal, 2017).</w:t>
      </w:r>
    </w:p>
    <w:p w14:paraId="75A3CDBA" w14:textId="66CFFCAB" w:rsidR="00956E87" w:rsidRPr="00956E87" w:rsidRDefault="00EA661E" w:rsidP="00EA661E">
      <w:pPr>
        <w:spacing w:after="120"/>
        <w:rPr>
          <w:szCs w:val="24"/>
          <w:lang w:val="pt-BR"/>
        </w:rPr>
      </w:pPr>
      <w:r>
        <w:rPr>
          <w:noProof/>
          <w:szCs w:val="24"/>
          <w:lang w:val="pt-BR"/>
        </w:rPr>
        <w:drawing>
          <wp:inline distT="0" distB="0" distL="0" distR="0" wp14:anchorId="541D297A" wp14:editId="728124CD">
            <wp:extent cx="5707380" cy="2750820"/>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álise dos padrões de deslocamento da comunidade acadêmica.png"/>
                    <pic:cNvPicPr/>
                  </pic:nvPicPr>
                  <pic:blipFill rotWithShape="1">
                    <a:blip r:embed="rId8">
                      <a:extLst>
                        <a:ext uri="{28A0092B-C50C-407E-A947-70E740481C1C}">
                          <a14:useLocalDpi xmlns:a14="http://schemas.microsoft.com/office/drawing/2010/main" val="0"/>
                        </a:ext>
                      </a:extLst>
                    </a:blip>
                    <a:srcRect l="926" t="14270" r="1" b="17947"/>
                    <a:stretch/>
                  </pic:blipFill>
                  <pic:spPr bwMode="auto">
                    <a:xfrm>
                      <a:off x="0" y="0"/>
                      <a:ext cx="5707380" cy="2750820"/>
                    </a:xfrm>
                    <a:prstGeom prst="rect">
                      <a:avLst/>
                    </a:prstGeom>
                    <a:ln>
                      <a:noFill/>
                    </a:ln>
                    <a:extLst>
                      <a:ext uri="{53640926-AAD7-44D8-BBD7-CCE9431645EC}">
                        <a14:shadowObscured xmlns:a14="http://schemas.microsoft.com/office/drawing/2010/main"/>
                      </a:ext>
                    </a:extLst>
                  </pic:spPr>
                </pic:pic>
              </a:graphicData>
            </a:graphic>
          </wp:inline>
        </w:drawing>
      </w:r>
    </w:p>
    <w:p w14:paraId="3FD943AC" w14:textId="260E785A" w:rsidR="00956E87" w:rsidRPr="0049479C" w:rsidRDefault="00956E87" w:rsidP="00956E87">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Pr>
          <w:b/>
          <w:sz w:val="20"/>
          <w:lang w:val="pt-BR"/>
        </w:rPr>
        <w:t>: Etapas metodológicas para o estudo de acessibilidade e mobilidade no IFAM-CMC</w:t>
      </w:r>
      <w:r w:rsidRPr="0049479C">
        <w:rPr>
          <w:b/>
          <w:sz w:val="20"/>
          <w:lang w:val="pt-BR"/>
        </w:rPr>
        <w:t>. Fonte: elaborado pelos autores.</w:t>
      </w:r>
    </w:p>
    <w:p w14:paraId="47EA62EC" w14:textId="5CAAC026" w:rsidR="00956E87" w:rsidRPr="00956E87" w:rsidRDefault="00956E87" w:rsidP="00421130">
      <w:pPr>
        <w:spacing w:after="120"/>
        <w:ind w:firstLine="284"/>
        <w:jc w:val="both"/>
        <w:rPr>
          <w:szCs w:val="24"/>
          <w:lang w:val="pt-BR"/>
        </w:rPr>
      </w:pPr>
      <w:r w:rsidRPr="00956E87">
        <w:rPr>
          <w:szCs w:val="24"/>
          <w:lang w:val="pt-BR"/>
        </w:rPr>
        <w:t>A presente pesquisa, de natureza exploratória e abrangendo as escalas microscópica e mesoscópica, foi estruturada em duas etapas principais para a análise da mobilidade e acessibilidade no entorno do Instituto Federal de Educação, Ciência e Tecnologia do Amazonas (IFAM).  Inicialmente, realizou-se uma pesquisa bibliográfica, com o objetivo de consolidar o arcabouço teórico sobre mobilidade e acessibilidade, com foco nas normativas e nos estudos científicos relacionad</w:t>
      </w:r>
      <w:r w:rsidR="00A20BB8">
        <w:rPr>
          <w:szCs w:val="24"/>
          <w:lang w:val="pt-BR"/>
        </w:rPr>
        <w:t>os ao transporte não motorizado e desenho urbano</w:t>
      </w:r>
      <w:r w:rsidRPr="00956E87">
        <w:rPr>
          <w:szCs w:val="24"/>
          <w:lang w:val="pt-BR"/>
        </w:rPr>
        <w:t>.</w:t>
      </w:r>
    </w:p>
    <w:p w14:paraId="05E1D39A" w14:textId="77777777" w:rsidR="00956E87" w:rsidRPr="00956E87" w:rsidRDefault="00956E87" w:rsidP="00421130">
      <w:pPr>
        <w:spacing w:after="120"/>
        <w:ind w:firstLine="284"/>
        <w:jc w:val="both"/>
        <w:rPr>
          <w:szCs w:val="24"/>
          <w:lang w:val="pt-BR"/>
        </w:rPr>
      </w:pPr>
      <w:r w:rsidRPr="00956E87">
        <w:rPr>
          <w:szCs w:val="24"/>
          <w:lang w:val="pt-BR"/>
        </w:rPr>
        <w:t>Em seguida, procedeu-se à contagem visual de veículos nas principais vias de acesso ao IFAM – Avenida Sete de Setembro, Avenida Visconde de Porto Alegre e Avenida Duque de Caxias. Essa etapa teve como propósito estimar a geração de viagens do polo gerador de tráfego, permitindo avaliar a influência do IFAM no fluxo de veículos durante os horários de pico.</w:t>
      </w:r>
    </w:p>
    <w:p w14:paraId="437F6295" w14:textId="2E798DAF" w:rsidR="00956E87" w:rsidRPr="00956E87" w:rsidRDefault="00EA6BB7" w:rsidP="00EA6BB7">
      <w:pPr>
        <w:spacing w:after="120"/>
        <w:ind w:firstLine="284"/>
        <w:jc w:val="both"/>
        <w:rPr>
          <w:szCs w:val="24"/>
          <w:lang w:val="pt-BR"/>
        </w:rPr>
      </w:pPr>
      <w:r w:rsidRPr="00EA6BB7">
        <w:rPr>
          <w:szCs w:val="24"/>
          <w:lang w:val="pt-BR"/>
        </w:rPr>
        <w:t xml:space="preserve">Complementando a análise, realizou-se a coleta de dados por meio de formulário com perguntas fechadas, abrangendo uma pesquisa de Origem/Destino (O/D) que buscou identificar as principais zonas de residência dos </w:t>
      </w:r>
      <w:r w:rsidR="000C396B">
        <w:rPr>
          <w:szCs w:val="24"/>
          <w:lang w:val="pt-BR"/>
        </w:rPr>
        <w:t xml:space="preserve">indivíduos vinculados </w:t>
      </w:r>
      <w:r w:rsidR="000C396B">
        <w:rPr>
          <w:szCs w:val="24"/>
          <w:lang w:val="pt-BR"/>
        </w:rPr>
        <w:t xml:space="preserve">ao </w:t>
      </w:r>
      <w:r w:rsidRPr="00EA6BB7">
        <w:rPr>
          <w:szCs w:val="24"/>
          <w:lang w:val="pt-BR"/>
        </w:rPr>
        <w:t>IFAM</w:t>
      </w:r>
      <w:r w:rsidR="000C396B">
        <w:rPr>
          <w:szCs w:val="24"/>
          <w:lang w:val="pt-BR"/>
        </w:rPr>
        <w:t xml:space="preserve"> e seus padrões de deslocamento.</w:t>
      </w:r>
      <w:r>
        <w:rPr>
          <w:szCs w:val="24"/>
          <w:lang w:val="pt-BR"/>
        </w:rPr>
        <w:t xml:space="preserve"> </w:t>
      </w:r>
      <w:r w:rsidRPr="00EA6BB7">
        <w:rPr>
          <w:szCs w:val="24"/>
          <w:lang w:val="pt-BR"/>
        </w:rPr>
        <w:t>Em consonância com a Resolução nº 510/2016 do Conselho Nacional de Saúde, a coleta de dados por questionários desta etapa da pesquisa dispensou a avaliação pelo sistem</w:t>
      </w:r>
      <w:r w:rsidR="000C396B">
        <w:rPr>
          <w:szCs w:val="24"/>
          <w:lang w:val="pt-BR"/>
        </w:rPr>
        <w:t>a CEP/</w:t>
      </w:r>
      <w:proofErr w:type="spellStart"/>
      <w:r w:rsidR="000C396B">
        <w:rPr>
          <w:szCs w:val="24"/>
          <w:lang w:val="pt-BR"/>
        </w:rPr>
        <w:t>Conep</w:t>
      </w:r>
      <w:proofErr w:type="spellEnd"/>
      <w:r w:rsidR="000C396B">
        <w:rPr>
          <w:szCs w:val="24"/>
          <w:lang w:val="pt-BR"/>
        </w:rPr>
        <w:t>, por envolver somente</w:t>
      </w:r>
      <w:r w:rsidRPr="00EA6BB7">
        <w:rPr>
          <w:szCs w:val="24"/>
          <w:lang w:val="pt-BR"/>
        </w:rPr>
        <w:t xml:space="preserve"> o levantamento de dados objetivos sobre bairros de residência e meios de transporte, sem identificação dos participantes e sem abordar temas sensíveis ou de risco. Os dados coletados foram organizados em planilhas e gráficos, facilitando a análise e a interpretação dos resultados.</w:t>
      </w:r>
      <w:bookmarkStart w:id="1" w:name="_GoBack"/>
      <w:bookmarkEnd w:id="1"/>
    </w:p>
    <w:p w14:paraId="43FA74FD" w14:textId="77777777" w:rsidR="00EA661E" w:rsidRDefault="00956E87" w:rsidP="00421130">
      <w:pPr>
        <w:spacing w:after="120"/>
        <w:ind w:firstLine="284"/>
        <w:jc w:val="both"/>
        <w:rPr>
          <w:szCs w:val="24"/>
          <w:lang w:val="pt-BR"/>
        </w:rPr>
      </w:pPr>
      <w:r w:rsidRPr="00956E87">
        <w:rPr>
          <w:szCs w:val="24"/>
          <w:lang w:val="pt-BR"/>
        </w:rPr>
        <w:lastRenderedPageBreak/>
        <w:t>A segunda etapa, ainda em curso, concentra-se no diagnóstico detalhado do desenho urbano, que inclui a avaliação da qualidade dos elementos urbanos e a análise da acessibilidade interna, contemplando acessos, rampas, corredores e demais espaços do IFAM e seu entorno, em comparação com as normas vigentes, além de uma investigação qualitativa junto aos usuários, com o objetivo de compreender suas percepções e experiências sobre a acessibilidade e mobilidade.</w:t>
      </w:r>
      <w:r w:rsidR="00EA661E">
        <w:rPr>
          <w:szCs w:val="24"/>
          <w:lang w:val="pt-BR"/>
        </w:rPr>
        <w:t xml:space="preserve"> </w:t>
      </w:r>
    </w:p>
    <w:p w14:paraId="3A7E4784" w14:textId="77777777" w:rsidR="00B63A35" w:rsidRPr="0049479C" w:rsidRDefault="00B63A35" w:rsidP="00B63A35">
      <w:pPr>
        <w:spacing w:after="120"/>
        <w:ind w:firstLine="284"/>
        <w:rPr>
          <w:szCs w:val="24"/>
          <w:lang w:val="pt-BR"/>
        </w:rPr>
      </w:pPr>
    </w:p>
    <w:p w14:paraId="6AF02248" w14:textId="62C734D5" w:rsidR="00B63A35" w:rsidRPr="0049479C" w:rsidRDefault="00575335" w:rsidP="0058453D">
      <w:pPr>
        <w:pStyle w:val="PargrafodaLista"/>
        <w:numPr>
          <w:ilvl w:val="0"/>
          <w:numId w:val="5"/>
        </w:numPr>
        <w:spacing w:after="120"/>
        <w:rPr>
          <w:b/>
          <w:szCs w:val="24"/>
          <w:lang w:val="pt-BR"/>
        </w:rPr>
      </w:pPr>
      <w:r w:rsidRPr="0049479C">
        <w:rPr>
          <w:b/>
          <w:szCs w:val="24"/>
          <w:lang w:val="pt-BR"/>
        </w:rPr>
        <w:t>Resultados</w:t>
      </w:r>
      <w:r w:rsidR="009F1886">
        <w:rPr>
          <w:b/>
          <w:szCs w:val="24"/>
          <w:lang w:val="pt-BR"/>
        </w:rPr>
        <w:t xml:space="preserve"> e </w:t>
      </w:r>
      <w:r w:rsidR="009F1886" w:rsidRPr="0049479C">
        <w:rPr>
          <w:b/>
          <w:szCs w:val="24"/>
          <w:lang w:val="pt-BR"/>
        </w:rPr>
        <w:t>Discussões</w:t>
      </w:r>
    </w:p>
    <w:p w14:paraId="17FDF392" w14:textId="06FA26B6" w:rsidR="00B63A35" w:rsidRPr="0049479C" w:rsidRDefault="00EA661E" w:rsidP="00421130">
      <w:pPr>
        <w:spacing w:after="120"/>
        <w:ind w:firstLine="284"/>
        <w:jc w:val="both"/>
        <w:rPr>
          <w:szCs w:val="24"/>
          <w:lang w:val="pt-BR"/>
        </w:rPr>
      </w:pPr>
      <w:r w:rsidRPr="00EA661E">
        <w:rPr>
          <w:szCs w:val="24"/>
          <w:lang w:val="pt-BR"/>
        </w:rPr>
        <w:t>A presente seção detalha a análise dos dados coletados na primeira fase da pesquisa, que visou avaliar a influência do polo gerador de viagens (PGV) no tráfego local, a distribuição percentual dos alunos do IFAM por zona de Manaus e os padrões de deslocamento da comunidade acadêmica. Para tanto, realizaram-se estudos bibliográficos, contagem de veículos e aplicação de for</w:t>
      </w:r>
      <w:r w:rsidR="009A6FD7">
        <w:rPr>
          <w:szCs w:val="24"/>
          <w:lang w:val="pt-BR"/>
        </w:rPr>
        <w:t>mulários sobre Origem/Destino.</w:t>
      </w:r>
    </w:p>
    <w:p w14:paraId="0475D4B3" w14:textId="52399AE6" w:rsidR="00575335" w:rsidRPr="0049479C" w:rsidRDefault="00417865" w:rsidP="00417865">
      <w:pPr>
        <w:pStyle w:val="Subttulo"/>
        <w:rPr>
          <w:rFonts w:ascii="Times New Roman" w:hAnsi="Times New Roman"/>
        </w:rPr>
      </w:pPr>
      <w:r w:rsidRPr="00417865">
        <w:rPr>
          <w:rFonts w:ascii="Times New Roman" w:hAnsi="Times New Roman"/>
        </w:rPr>
        <w:t>Caracterização geral do local de estudo</w:t>
      </w:r>
    </w:p>
    <w:p w14:paraId="296882AB" w14:textId="1802E52C" w:rsidR="00417865" w:rsidRDefault="009A6FD7" w:rsidP="00421130">
      <w:pPr>
        <w:spacing w:after="120"/>
        <w:ind w:firstLine="284"/>
        <w:jc w:val="both"/>
        <w:rPr>
          <w:szCs w:val="24"/>
          <w:lang w:val="pt-BR"/>
        </w:rPr>
      </w:pPr>
      <w:r w:rsidRPr="009A6FD7">
        <w:rPr>
          <w:szCs w:val="24"/>
          <w:lang w:val="pt-BR"/>
        </w:rPr>
        <w:t xml:space="preserve">A Figura 2a permite visualizar a </w:t>
      </w:r>
      <w:r>
        <w:rPr>
          <w:szCs w:val="24"/>
          <w:lang w:val="pt-BR"/>
        </w:rPr>
        <w:t xml:space="preserve">fachada da principal entrada </w:t>
      </w:r>
      <w:r w:rsidRPr="009A6FD7">
        <w:rPr>
          <w:szCs w:val="24"/>
          <w:lang w:val="pt-BR"/>
        </w:rPr>
        <w:t>do Instituto Federal de Educação, Ciência e Tecnologia do Amazonas. As vias de acesso a essa localização, conforme mostrado na Figura 2b, são a Av. Sete de Setembro, Av. Duque de Caxias e Av. Visconde de Porto Alegre, respectivamente.</w:t>
      </w:r>
      <w:r>
        <w:rPr>
          <w:szCs w:val="24"/>
          <w:lang w:val="pt-BR"/>
        </w:rPr>
        <w:t xml:space="preserve"> </w:t>
      </w:r>
    </w:p>
    <w:p w14:paraId="7BD4FA4F" w14:textId="77777777" w:rsidR="009A6FD7" w:rsidRDefault="009A6FD7" w:rsidP="00417865">
      <w:pPr>
        <w:spacing w:after="120"/>
        <w:jc w:val="center"/>
        <w:rPr>
          <w:szCs w:val="24"/>
          <w:lang w:val="pt-BR"/>
        </w:rPr>
      </w:pPr>
    </w:p>
    <w:p w14:paraId="1982070F" w14:textId="77777777" w:rsidR="009A6FD7" w:rsidRDefault="009A6FD7" w:rsidP="00417865">
      <w:pPr>
        <w:spacing w:after="120"/>
        <w:jc w:val="center"/>
        <w:rPr>
          <w:szCs w:val="24"/>
          <w:lang w:val="pt-BR"/>
        </w:rPr>
        <w:sectPr w:rsidR="009A6FD7" w:rsidSect="00426C18">
          <w:headerReference w:type="default" r:id="rId9"/>
          <w:footerReference w:type="even" r:id="rId10"/>
          <w:footerReference w:type="default" r:id="rId11"/>
          <w:footerReference w:type="first" r:id="rId12"/>
          <w:endnotePr>
            <w:numFmt w:val="decimal"/>
          </w:endnotePr>
          <w:pgSz w:w="11907" w:h="16840" w:code="9"/>
          <w:pgMar w:top="1701" w:right="1134" w:bottom="1134" w:left="1701" w:header="57" w:footer="227" w:gutter="0"/>
          <w:pgNumType w:start="41"/>
          <w:cols w:space="284"/>
          <w:noEndnote/>
          <w:docGrid w:linePitch="326"/>
        </w:sectPr>
      </w:pPr>
    </w:p>
    <w:p w14:paraId="130F62D0" w14:textId="077703AF" w:rsidR="00417865" w:rsidRDefault="00417865" w:rsidP="00417865">
      <w:pPr>
        <w:spacing w:after="120"/>
        <w:jc w:val="center"/>
        <w:rPr>
          <w:szCs w:val="24"/>
          <w:lang w:val="pt-BR"/>
        </w:rPr>
      </w:pPr>
      <w:r w:rsidRPr="00BF4F2E">
        <w:rPr>
          <w:noProof/>
          <w:szCs w:val="24"/>
          <w:lang w:val="pt-BR"/>
        </w:rPr>
        <w:lastRenderedPageBreak/>
        <w:drawing>
          <wp:inline distT="0" distB="0" distL="0" distR="0" wp14:anchorId="1EE492EC" wp14:editId="41E52EEB">
            <wp:extent cx="2468880" cy="2506980"/>
            <wp:effectExtent l="0" t="0" r="7620"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m cmc.jpeg"/>
                    <pic:cNvPicPr/>
                  </pic:nvPicPr>
                  <pic:blipFill rotWithShape="1">
                    <a:blip r:embed="rId13">
                      <a:extLst>
                        <a:ext uri="{28A0092B-C50C-407E-A947-70E740481C1C}">
                          <a14:useLocalDpi xmlns:a14="http://schemas.microsoft.com/office/drawing/2010/main" val="0"/>
                        </a:ext>
                      </a:extLst>
                    </a:blip>
                    <a:srcRect l="10764" t="13265" r="6074"/>
                    <a:stretch/>
                  </pic:blipFill>
                  <pic:spPr bwMode="auto">
                    <a:xfrm>
                      <a:off x="0" y="0"/>
                      <a:ext cx="2494200" cy="2532691"/>
                    </a:xfrm>
                    <a:prstGeom prst="rect">
                      <a:avLst/>
                    </a:prstGeom>
                    <a:ln>
                      <a:noFill/>
                    </a:ln>
                    <a:extLst>
                      <a:ext uri="{53640926-AAD7-44D8-BBD7-CCE9431645EC}">
                        <a14:shadowObscured xmlns:a14="http://schemas.microsoft.com/office/drawing/2010/main"/>
                      </a:ext>
                    </a:extLst>
                  </pic:spPr>
                </pic:pic>
              </a:graphicData>
            </a:graphic>
          </wp:inline>
        </w:drawing>
      </w:r>
    </w:p>
    <w:p w14:paraId="5BD12CE5" w14:textId="223E747F" w:rsidR="00417865" w:rsidRPr="0049479C" w:rsidRDefault="00417865" w:rsidP="00417865">
      <w:pPr>
        <w:spacing w:after="120"/>
        <w:jc w:val="center"/>
        <w:rPr>
          <w:b/>
          <w:sz w:val="20"/>
          <w:lang w:val="pt-BR"/>
        </w:rPr>
      </w:pPr>
      <w:r w:rsidRPr="0049479C">
        <w:rPr>
          <w:b/>
          <w:sz w:val="20"/>
          <w:lang w:val="pt-BR"/>
        </w:rPr>
        <w:t xml:space="preserve">Figura </w:t>
      </w:r>
      <w:r w:rsidRPr="00936ED9">
        <w:rPr>
          <w:b/>
          <w:sz w:val="20"/>
          <w:lang w:val="pt-BR"/>
        </w:rPr>
        <w:t>2a</w:t>
      </w:r>
      <w:r>
        <w:rPr>
          <w:b/>
          <w:sz w:val="20"/>
          <w:lang w:val="pt-BR"/>
        </w:rPr>
        <w:t xml:space="preserve">: </w:t>
      </w:r>
      <w:r w:rsidRPr="00417865">
        <w:rPr>
          <w:b/>
          <w:sz w:val="20"/>
          <w:lang w:val="pt-BR"/>
        </w:rPr>
        <w:t>Entrada na Av. Sete de Setembro do PGV. Fonte: AM em Pauta, 2024</w:t>
      </w:r>
      <w:r>
        <w:rPr>
          <w:b/>
          <w:sz w:val="20"/>
          <w:lang w:val="pt-BR"/>
        </w:rPr>
        <w:t>.</w:t>
      </w:r>
    </w:p>
    <w:p w14:paraId="537AE075" w14:textId="792A0FD1" w:rsidR="00417865" w:rsidRDefault="00417865" w:rsidP="00417865">
      <w:pPr>
        <w:spacing w:after="120"/>
        <w:jc w:val="center"/>
        <w:rPr>
          <w:szCs w:val="24"/>
          <w:lang w:val="pt-BR"/>
        </w:rPr>
      </w:pPr>
      <w:r>
        <w:rPr>
          <w:noProof/>
          <w:szCs w:val="24"/>
          <w:lang w:val="pt-BR"/>
        </w:rPr>
        <w:lastRenderedPageBreak/>
        <w:drawing>
          <wp:inline distT="0" distB="0" distL="0" distR="0" wp14:anchorId="1C33E648" wp14:editId="43C1B42E">
            <wp:extent cx="2499360" cy="2505710"/>
            <wp:effectExtent l="0" t="0" r="0" b="889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360" cy="2505710"/>
                    </a:xfrm>
                    <a:prstGeom prst="rect">
                      <a:avLst/>
                    </a:prstGeom>
                    <a:noFill/>
                  </pic:spPr>
                </pic:pic>
              </a:graphicData>
            </a:graphic>
          </wp:inline>
        </w:drawing>
      </w:r>
    </w:p>
    <w:p w14:paraId="0B5C37C4" w14:textId="68B6DDBA" w:rsidR="00417865" w:rsidRPr="0049479C" w:rsidRDefault="00417865" w:rsidP="00417865">
      <w:pPr>
        <w:spacing w:after="120"/>
        <w:jc w:val="center"/>
        <w:rPr>
          <w:b/>
          <w:sz w:val="20"/>
          <w:lang w:val="pt-BR"/>
        </w:rPr>
      </w:pPr>
      <w:r w:rsidRPr="0049479C">
        <w:rPr>
          <w:b/>
          <w:sz w:val="20"/>
          <w:lang w:val="pt-BR"/>
        </w:rPr>
        <w:t xml:space="preserve">Figura </w:t>
      </w:r>
      <w:r w:rsidRPr="00936ED9">
        <w:rPr>
          <w:b/>
          <w:sz w:val="20"/>
          <w:lang w:val="pt-BR"/>
        </w:rPr>
        <w:t>2b</w:t>
      </w:r>
      <w:r>
        <w:rPr>
          <w:b/>
          <w:sz w:val="20"/>
          <w:lang w:val="pt-BR"/>
        </w:rPr>
        <w:t xml:space="preserve">: </w:t>
      </w:r>
      <w:r w:rsidRPr="00417865">
        <w:rPr>
          <w:b/>
          <w:sz w:val="20"/>
          <w:lang w:val="pt-BR"/>
        </w:rPr>
        <w:t xml:space="preserve">Localização do PGV. Fonte: Google </w:t>
      </w:r>
      <w:proofErr w:type="spellStart"/>
      <w:r w:rsidRPr="00417865">
        <w:rPr>
          <w:b/>
          <w:sz w:val="20"/>
          <w:lang w:val="pt-BR"/>
        </w:rPr>
        <w:t>Maps</w:t>
      </w:r>
      <w:proofErr w:type="spellEnd"/>
      <w:r w:rsidRPr="00417865">
        <w:rPr>
          <w:b/>
          <w:sz w:val="20"/>
          <w:lang w:val="pt-BR"/>
        </w:rPr>
        <w:t xml:space="preserve"> com edição do</w:t>
      </w:r>
      <w:r>
        <w:rPr>
          <w:b/>
          <w:sz w:val="20"/>
          <w:lang w:val="pt-BR"/>
        </w:rPr>
        <w:t>s</w:t>
      </w:r>
      <w:r w:rsidRPr="00417865">
        <w:rPr>
          <w:b/>
          <w:sz w:val="20"/>
          <w:lang w:val="pt-BR"/>
        </w:rPr>
        <w:t xml:space="preserve"> autor</w:t>
      </w:r>
      <w:r>
        <w:rPr>
          <w:b/>
          <w:sz w:val="20"/>
          <w:lang w:val="pt-BR"/>
        </w:rPr>
        <w:t>es</w:t>
      </w:r>
      <w:r w:rsidRPr="00417865">
        <w:rPr>
          <w:b/>
          <w:sz w:val="20"/>
          <w:lang w:val="pt-BR"/>
        </w:rPr>
        <w:t>, 2024.</w:t>
      </w:r>
    </w:p>
    <w:p w14:paraId="1D2B199B" w14:textId="77777777" w:rsidR="009A6FD7" w:rsidRDefault="009A6FD7" w:rsidP="00417865">
      <w:pPr>
        <w:spacing w:after="120"/>
        <w:jc w:val="center"/>
        <w:rPr>
          <w:szCs w:val="24"/>
          <w:lang w:val="pt-BR"/>
        </w:rPr>
        <w:sectPr w:rsidR="009A6FD7" w:rsidSect="009A6FD7">
          <w:endnotePr>
            <w:numFmt w:val="decimal"/>
          </w:endnotePr>
          <w:type w:val="continuous"/>
          <w:pgSz w:w="11907" w:h="16840" w:code="9"/>
          <w:pgMar w:top="1701" w:right="1134" w:bottom="1134" w:left="1701" w:header="57" w:footer="227" w:gutter="0"/>
          <w:pgNumType w:start="41"/>
          <w:cols w:num="2" w:space="284"/>
          <w:noEndnote/>
          <w:docGrid w:linePitch="326"/>
        </w:sectPr>
      </w:pPr>
    </w:p>
    <w:p w14:paraId="0A8C0C96" w14:textId="1F853ED4" w:rsidR="00936ED9" w:rsidRDefault="00936ED9">
      <w:pPr>
        <w:rPr>
          <w:szCs w:val="24"/>
          <w:lang w:val="pt-BR"/>
        </w:rPr>
      </w:pPr>
    </w:p>
    <w:p w14:paraId="01E2B778" w14:textId="4E933FD6" w:rsidR="00575335" w:rsidRPr="0049479C" w:rsidRDefault="00417865" w:rsidP="00417865">
      <w:pPr>
        <w:pStyle w:val="Subttulo"/>
        <w:rPr>
          <w:rFonts w:ascii="Times New Roman" w:hAnsi="Times New Roman"/>
        </w:rPr>
      </w:pPr>
      <w:r w:rsidRPr="00417865">
        <w:rPr>
          <w:rFonts w:ascii="Times New Roman" w:hAnsi="Times New Roman"/>
        </w:rPr>
        <w:t>Determinação do Fator Horário de Pico(FHP) e Análise do PGV</w:t>
      </w:r>
    </w:p>
    <w:p w14:paraId="61FA2912" w14:textId="55C817D1" w:rsidR="00943337" w:rsidRDefault="00417865" w:rsidP="00421130">
      <w:pPr>
        <w:spacing w:after="120"/>
        <w:ind w:firstLine="284"/>
        <w:jc w:val="both"/>
        <w:rPr>
          <w:szCs w:val="24"/>
          <w:lang w:val="pt-BR"/>
        </w:rPr>
      </w:pPr>
      <w:r w:rsidRPr="00417865">
        <w:rPr>
          <w:szCs w:val="24"/>
          <w:lang w:val="pt-BR"/>
        </w:rPr>
        <w:t>Através da contagem veicular das 3 vias de acesso ao IFAM-CMC, em horários definidos de pico, foi definido o volume de tráfego ou de fluxo. A coleta de dados foi realizada em intervalos de tempo específicos, sendo determinado pelo HCM (</w:t>
      </w:r>
      <w:proofErr w:type="spellStart"/>
      <w:r w:rsidRPr="00421130">
        <w:rPr>
          <w:i/>
          <w:szCs w:val="24"/>
          <w:lang w:val="pt-BR"/>
        </w:rPr>
        <w:t>Highway</w:t>
      </w:r>
      <w:proofErr w:type="spellEnd"/>
      <w:r w:rsidRPr="00421130">
        <w:rPr>
          <w:i/>
          <w:szCs w:val="24"/>
          <w:lang w:val="pt-BR"/>
        </w:rPr>
        <w:t xml:space="preserve"> </w:t>
      </w:r>
      <w:proofErr w:type="spellStart"/>
      <w:r w:rsidRPr="00421130">
        <w:rPr>
          <w:i/>
          <w:szCs w:val="24"/>
          <w:lang w:val="pt-BR"/>
        </w:rPr>
        <w:t>Capacity</w:t>
      </w:r>
      <w:proofErr w:type="spellEnd"/>
      <w:r w:rsidRPr="00421130">
        <w:rPr>
          <w:i/>
          <w:szCs w:val="24"/>
          <w:lang w:val="pt-BR"/>
        </w:rPr>
        <w:t xml:space="preserve"> Manual</w:t>
      </w:r>
      <w:r w:rsidRPr="00417865">
        <w:rPr>
          <w:szCs w:val="24"/>
          <w:lang w:val="pt-BR"/>
        </w:rPr>
        <w:t xml:space="preserve"> - 2000), a divisão da hora de pico em intervalos de 15 minutos. </w:t>
      </w:r>
    </w:p>
    <w:p w14:paraId="78468DBB" w14:textId="45B832D9" w:rsidR="00936ED9" w:rsidRDefault="00936ED9" w:rsidP="00421130">
      <w:pPr>
        <w:spacing w:after="120"/>
        <w:ind w:firstLine="284"/>
        <w:jc w:val="both"/>
        <w:rPr>
          <w:szCs w:val="24"/>
          <w:lang w:val="pt-BR"/>
        </w:rPr>
      </w:pPr>
    </w:p>
    <w:p w14:paraId="468388AC" w14:textId="77777777" w:rsidR="00936ED9" w:rsidRDefault="00936ED9" w:rsidP="00421130">
      <w:pPr>
        <w:spacing w:after="120"/>
        <w:ind w:firstLine="284"/>
        <w:jc w:val="both"/>
        <w:rPr>
          <w:szCs w:val="24"/>
          <w:lang w:val="pt-BR"/>
        </w:rPr>
      </w:pPr>
    </w:p>
    <w:p w14:paraId="1BE91FFE" w14:textId="4B0A3759" w:rsidR="00417865" w:rsidRPr="00936ED9" w:rsidRDefault="00943337" w:rsidP="00943337">
      <w:pPr>
        <w:spacing w:after="240"/>
        <w:jc w:val="center"/>
        <w:rPr>
          <w:sz w:val="20"/>
          <w:lang w:val="pt-BR"/>
        </w:rPr>
      </w:pPr>
      <w:r w:rsidRPr="00936ED9">
        <w:rPr>
          <w:sz w:val="20"/>
          <w:lang w:val="pt-BR"/>
        </w:rPr>
        <w:lastRenderedPageBreak/>
        <w:t>Tabela 1: Contagem veicular na AV. Sete de Setembro</w:t>
      </w:r>
    </w:p>
    <w:tbl>
      <w:tblPr>
        <w:tblStyle w:val="TabelaSimples2"/>
        <w:tblW w:w="7938" w:type="dxa"/>
        <w:jc w:val="center"/>
        <w:tblLook w:val="04A0" w:firstRow="1" w:lastRow="0" w:firstColumn="1" w:lastColumn="0" w:noHBand="0" w:noVBand="1"/>
      </w:tblPr>
      <w:tblGrid>
        <w:gridCol w:w="1540"/>
        <w:gridCol w:w="1500"/>
        <w:gridCol w:w="1199"/>
        <w:gridCol w:w="1674"/>
        <w:gridCol w:w="2025"/>
      </w:tblGrid>
      <w:tr w:rsidR="00417865" w:rsidRPr="00417865" w14:paraId="41D4661A" w14:textId="77777777" w:rsidTr="00936ED9">
        <w:trPr>
          <w:cnfStyle w:val="100000000000" w:firstRow="1" w:lastRow="0" w:firstColumn="0" w:lastColumn="0" w:oddVBand="0" w:evenVBand="0" w:oddHBand="0" w:evenHBand="0" w:firstRowFirstColumn="0" w:firstRowLastColumn="0" w:lastRowFirstColumn="0" w:lastRowLastColumn="0"/>
          <w:trHeight w:val="722"/>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18" w:space="0" w:color="000000" w:themeColor="text1"/>
              <w:bottom w:val="single" w:sz="18" w:space="0" w:color="000000" w:themeColor="text1"/>
            </w:tcBorders>
            <w:vAlign w:val="center"/>
            <w:hideMark/>
          </w:tcPr>
          <w:p w14:paraId="4490A2F4" w14:textId="77777777" w:rsidR="00417865" w:rsidRPr="00417865" w:rsidRDefault="00417865" w:rsidP="00417865">
            <w:pPr>
              <w:jc w:val="center"/>
              <w:rPr>
                <w:color w:val="000000"/>
                <w:sz w:val="20"/>
                <w:lang w:val="pt-BR"/>
              </w:rPr>
            </w:pPr>
            <w:proofErr w:type="spellStart"/>
            <w:r w:rsidRPr="00417865">
              <w:rPr>
                <w:color w:val="000000"/>
                <w:sz w:val="20"/>
              </w:rPr>
              <w:t>Horário</w:t>
            </w:r>
            <w:proofErr w:type="spellEnd"/>
            <w:r w:rsidRPr="00417865">
              <w:rPr>
                <w:color w:val="000000"/>
                <w:sz w:val="20"/>
              </w:rPr>
              <w:t xml:space="preserve"> a </w:t>
            </w:r>
            <w:proofErr w:type="spellStart"/>
            <w:r w:rsidRPr="00417865">
              <w:rPr>
                <w:color w:val="000000"/>
                <w:sz w:val="20"/>
              </w:rPr>
              <w:t>cada</w:t>
            </w:r>
            <w:proofErr w:type="spellEnd"/>
            <w:r w:rsidRPr="00417865">
              <w:rPr>
                <w:color w:val="000000"/>
                <w:sz w:val="20"/>
              </w:rPr>
              <w:t xml:space="preserve"> 15 min.</w:t>
            </w:r>
          </w:p>
        </w:tc>
        <w:tc>
          <w:tcPr>
            <w:tcW w:w="1500" w:type="dxa"/>
            <w:tcBorders>
              <w:top w:val="single" w:sz="18" w:space="0" w:color="000000" w:themeColor="text1"/>
              <w:bottom w:val="single" w:sz="18" w:space="0" w:color="000000" w:themeColor="text1"/>
            </w:tcBorders>
            <w:vAlign w:val="center"/>
            <w:hideMark/>
          </w:tcPr>
          <w:p w14:paraId="7BC8350B"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Contagem</w:t>
            </w:r>
            <w:proofErr w:type="spellEnd"/>
          </w:p>
        </w:tc>
        <w:tc>
          <w:tcPr>
            <w:tcW w:w="1199" w:type="dxa"/>
            <w:tcBorders>
              <w:top w:val="single" w:sz="18" w:space="0" w:color="000000" w:themeColor="text1"/>
              <w:bottom w:val="single" w:sz="18" w:space="0" w:color="000000" w:themeColor="text1"/>
            </w:tcBorders>
            <w:vAlign w:val="center"/>
            <w:hideMark/>
          </w:tcPr>
          <w:p w14:paraId="4AA7CEFF"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Parou</w:t>
            </w:r>
            <w:proofErr w:type="spellEnd"/>
          </w:p>
        </w:tc>
        <w:tc>
          <w:tcPr>
            <w:tcW w:w="1674" w:type="dxa"/>
            <w:tcBorders>
              <w:top w:val="single" w:sz="18" w:space="0" w:color="000000" w:themeColor="text1"/>
              <w:bottom w:val="single" w:sz="18" w:space="0" w:color="000000" w:themeColor="text1"/>
            </w:tcBorders>
            <w:vAlign w:val="center"/>
            <w:hideMark/>
          </w:tcPr>
          <w:p w14:paraId="22BCEAF9"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Estacionou</w:t>
            </w:r>
            <w:proofErr w:type="spellEnd"/>
          </w:p>
        </w:tc>
        <w:tc>
          <w:tcPr>
            <w:tcW w:w="2025" w:type="dxa"/>
            <w:tcBorders>
              <w:top w:val="single" w:sz="18" w:space="0" w:color="000000" w:themeColor="text1"/>
              <w:bottom w:val="single" w:sz="18" w:space="0" w:color="000000" w:themeColor="text1"/>
            </w:tcBorders>
            <w:vAlign w:val="center"/>
            <w:hideMark/>
          </w:tcPr>
          <w:p w14:paraId="448F203C"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Parou</w:t>
            </w:r>
            <w:proofErr w:type="spellEnd"/>
            <w:r w:rsidRPr="00417865">
              <w:rPr>
                <w:color w:val="000000"/>
                <w:sz w:val="20"/>
              </w:rPr>
              <w:t xml:space="preserve"> + </w:t>
            </w:r>
            <w:proofErr w:type="spellStart"/>
            <w:r w:rsidRPr="00417865">
              <w:rPr>
                <w:color w:val="000000"/>
                <w:sz w:val="20"/>
              </w:rPr>
              <w:t>Estacionou</w:t>
            </w:r>
            <w:proofErr w:type="spellEnd"/>
          </w:p>
        </w:tc>
      </w:tr>
      <w:tr w:rsidR="00417865" w:rsidRPr="00417865" w14:paraId="457E8305" w14:textId="77777777" w:rsidTr="00936ED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18" w:space="0" w:color="000000" w:themeColor="text1"/>
            </w:tcBorders>
            <w:noWrap/>
            <w:vAlign w:val="center"/>
            <w:hideMark/>
          </w:tcPr>
          <w:p w14:paraId="0C5DD827" w14:textId="77777777" w:rsidR="00417865" w:rsidRPr="00417865" w:rsidRDefault="00417865" w:rsidP="00417865">
            <w:pPr>
              <w:jc w:val="center"/>
              <w:rPr>
                <w:color w:val="000000"/>
                <w:sz w:val="20"/>
                <w:lang w:val="pt-BR"/>
              </w:rPr>
            </w:pPr>
            <w:r w:rsidRPr="00417865">
              <w:rPr>
                <w:color w:val="000000"/>
                <w:sz w:val="20"/>
                <w:lang w:val="pt-BR"/>
              </w:rPr>
              <w:t>18:15 - 18:30</w:t>
            </w:r>
          </w:p>
        </w:tc>
        <w:tc>
          <w:tcPr>
            <w:tcW w:w="1500" w:type="dxa"/>
            <w:tcBorders>
              <w:top w:val="single" w:sz="18" w:space="0" w:color="000000" w:themeColor="text1"/>
            </w:tcBorders>
            <w:noWrap/>
            <w:vAlign w:val="center"/>
            <w:hideMark/>
          </w:tcPr>
          <w:p w14:paraId="073A0871"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310</w:t>
            </w:r>
          </w:p>
        </w:tc>
        <w:tc>
          <w:tcPr>
            <w:tcW w:w="1199" w:type="dxa"/>
            <w:tcBorders>
              <w:top w:val="single" w:sz="18" w:space="0" w:color="000000" w:themeColor="text1"/>
            </w:tcBorders>
            <w:noWrap/>
            <w:vAlign w:val="center"/>
            <w:hideMark/>
          </w:tcPr>
          <w:p w14:paraId="58629A56"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17</w:t>
            </w:r>
          </w:p>
        </w:tc>
        <w:tc>
          <w:tcPr>
            <w:tcW w:w="1674" w:type="dxa"/>
            <w:tcBorders>
              <w:top w:val="single" w:sz="18" w:space="0" w:color="000000" w:themeColor="text1"/>
            </w:tcBorders>
            <w:noWrap/>
            <w:vAlign w:val="center"/>
            <w:hideMark/>
          </w:tcPr>
          <w:p w14:paraId="59C7B36D"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w:t>
            </w:r>
          </w:p>
        </w:tc>
        <w:tc>
          <w:tcPr>
            <w:tcW w:w="2025" w:type="dxa"/>
            <w:tcBorders>
              <w:top w:val="single" w:sz="18" w:space="0" w:color="000000" w:themeColor="text1"/>
            </w:tcBorders>
            <w:noWrap/>
            <w:vAlign w:val="center"/>
            <w:hideMark/>
          </w:tcPr>
          <w:p w14:paraId="5D3B42CC"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18</w:t>
            </w:r>
          </w:p>
        </w:tc>
      </w:tr>
      <w:tr w:rsidR="00417865" w:rsidRPr="00417865" w14:paraId="4EB2A8E8" w14:textId="77777777" w:rsidTr="00936ED9">
        <w:trPr>
          <w:trHeight w:val="288"/>
          <w:jc w:val="center"/>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14:paraId="21753AC6" w14:textId="77777777" w:rsidR="00417865" w:rsidRPr="00417865" w:rsidRDefault="00417865" w:rsidP="00417865">
            <w:pPr>
              <w:jc w:val="center"/>
              <w:rPr>
                <w:color w:val="000000"/>
                <w:sz w:val="20"/>
                <w:lang w:val="pt-BR"/>
              </w:rPr>
            </w:pPr>
            <w:r w:rsidRPr="00417865">
              <w:rPr>
                <w:color w:val="000000"/>
                <w:sz w:val="20"/>
                <w:lang w:val="pt-BR"/>
              </w:rPr>
              <w:t>18:30 - 18:45</w:t>
            </w:r>
          </w:p>
        </w:tc>
        <w:tc>
          <w:tcPr>
            <w:tcW w:w="1500" w:type="dxa"/>
            <w:noWrap/>
            <w:vAlign w:val="center"/>
            <w:hideMark/>
          </w:tcPr>
          <w:p w14:paraId="295C7D3F"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267</w:t>
            </w:r>
          </w:p>
        </w:tc>
        <w:tc>
          <w:tcPr>
            <w:tcW w:w="1199" w:type="dxa"/>
            <w:noWrap/>
            <w:vAlign w:val="center"/>
            <w:hideMark/>
          </w:tcPr>
          <w:p w14:paraId="5C3DA005"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14</w:t>
            </w:r>
          </w:p>
        </w:tc>
        <w:tc>
          <w:tcPr>
            <w:tcW w:w="1674" w:type="dxa"/>
            <w:noWrap/>
            <w:vAlign w:val="center"/>
            <w:hideMark/>
          </w:tcPr>
          <w:p w14:paraId="4330BA41"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0</w:t>
            </w:r>
          </w:p>
        </w:tc>
        <w:tc>
          <w:tcPr>
            <w:tcW w:w="2025" w:type="dxa"/>
            <w:noWrap/>
            <w:vAlign w:val="center"/>
            <w:hideMark/>
          </w:tcPr>
          <w:p w14:paraId="3F6632AB"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14</w:t>
            </w:r>
          </w:p>
        </w:tc>
      </w:tr>
      <w:tr w:rsidR="00417865" w:rsidRPr="00417865" w14:paraId="72A75568" w14:textId="77777777" w:rsidTr="00936ED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14:paraId="37069D81" w14:textId="77777777" w:rsidR="00417865" w:rsidRPr="00417865" w:rsidRDefault="00417865" w:rsidP="00417865">
            <w:pPr>
              <w:jc w:val="center"/>
              <w:rPr>
                <w:color w:val="000000"/>
                <w:sz w:val="20"/>
                <w:lang w:val="pt-BR"/>
              </w:rPr>
            </w:pPr>
            <w:r w:rsidRPr="00417865">
              <w:rPr>
                <w:color w:val="000000"/>
                <w:sz w:val="20"/>
                <w:lang w:val="pt-BR"/>
              </w:rPr>
              <w:t>18:45 - 19:00</w:t>
            </w:r>
          </w:p>
        </w:tc>
        <w:tc>
          <w:tcPr>
            <w:tcW w:w="1500" w:type="dxa"/>
            <w:noWrap/>
            <w:vAlign w:val="center"/>
            <w:hideMark/>
          </w:tcPr>
          <w:p w14:paraId="13D533CF"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245</w:t>
            </w:r>
          </w:p>
        </w:tc>
        <w:tc>
          <w:tcPr>
            <w:tcW w:w="1199" w:type="dxa"/>
            <w:noWrap/>
            <w:vAlign w:val="center"/>
            <w:hideMark/>
          </w:tcPr>
          <w:p w14:paraId="75314CC9"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13</w:t>
            </w:r>
          </w:p>
        </w:tc>
        <w:tc>
          <w:tcPr>
            <w:tcW w:w="1674" w:type="dxa"/>
            <w:noWrap/>
            <w:vAlign w:val="center"/>
            <w:hideMark/>
          </w:tcPr>
          <w:p w14:paraId="7F5BAAE2"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0</w:t>
            </w:r>
          </w:p>
        </w:tc>
        <w:tc>
          <w:tcPr>
            <w:tcW w:w="2025" w:type="dxa"/>
            <w:noWrap/>
            <w:vAlign w:val="center"/>
            <w:hideMark/>
          </w:tcPr>
          <w:p w14:paraId="7AB7A7A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13</w:t>
            </w:r>
          </w:p>
        </w:tc>
      </w:tr>
      <w:tr w:rsidR="00417865" w:rsidRPr="00417865" w14:paraId="409472B3" w14:textId="77777777" w:rsidTr="00936ED9">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14:paraId="18846959" w14:textId="77777777" w:rsidR="00417865" w:rsidRPr="00417865" w:rsidRDefault="00417865" w:rsidP="00417865">
            <w:pPr>
              <w:jc w:val="center"/>
              <w:rPr>
                <w:color w:val="000000"/>
                <w:sz w:val="20"/>
                <w:lang w:val="pt-BR"/>
              </w:rPr>
            </w:pPr>
            <w:r w:rsidRPr="00417865">
              <w:rPr>
                <w:color w:val="000000"/>
                <w:sz w:val="20"/>
                <w:lang w:val="pt-BR"/>
              </w:rPr>
              <w:t>19:00 - 19:15</w:t>
            </w:r>
          </w:p>
        </w:tc>
        <w:tc>
          <w:tcPr>
            <w:tcW w:w="1500" w:type="dxa"/>
            <w:noWrap/>
            <w:vAlign w:val="center"/>
            <w:hideMark/>
          </w:tcPr>
          <w:p w14:paraId="2ACA4AD5"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225</w:t>
            </w:r>
          </w:p>
        </w:tc>
        <w:tc>
          <w:tcPr>
            <w:tcW w:w="1199" w:type="dxa"/>
            <w:noWrap/>
            <w:vAlign w:val="center"/>
            <w:hideMark/>
          </w:tcPr>
          <w:p w14:paraId="2DA59C81"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7</w:t>
            </w:r>
          </w:p>
        </w:tc>
        <w:tc>
          <w:tcPr>
            <w:tcW w:w="1674" w:type="dxa"/>
            <w:noWrap/>
            <w:vAlign w:val="center"/>
            <w:hideMark/>
          </w:tcPr>
          <w:p w14:paraId="4571D382"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2</w:t>
            </w:r>
          </w:p>
        </w:tc>
        <w:tc>
          <w:tcPr>
            <w:tcW w:w="2025" w:type="dxa"/>
            <w:noWrap/>
            <w:vAlign w:val="center"/>
            <w:hideMark/>
          </w:tcPr>
          <w:p w14:paraId="3ACC097A"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9</w:t>
            </w:r>
          </w:p>
        </w:tc>
      </w:tr>
      <w:tr w:rsidR="00417865" w:rsidRPr="00417865" w14:paraId="5CEDE2E8" w14:textId="77777777" w:rsidTr="00936ED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14:paraId="1A010DA7" w14:textId="77777777" w:rsidR="00417865" w:rsidRPr="00417865" w:rsidRDefault="00417865" w:rsidP="00417865">
            <w:pPr>
              <w:jc w:val="center"/>
              <w:rPr>
                <w:color w:val="000000"/>
                <w:sz w:val="20"/>
                <w:lang w:val="pt-BR"/>
              </w:rPr>
            </w:pPr>
            <w:r w:rsidRPr="00417865">
              <w:rPr>
                <w:color w:val="000000"/>
                <w:sz w:val="20"/>
                <w:lang w:val="pt-BR"/>
              </w:rPr>
              <w:t>19:15 - 19:30</w:t>
            </w:r>
          </w:p>
        </w:tc>
        <w:tc>
          <w:tcPr>
            <w:tcW w:w="1500" w:type="dxa"/>
            <w:noWrap/>
            <w:vAlign w:val="center"/>
            <w:hideMark/>
          </w:tcPr>
          <w:p w14:paraId="3575843A"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173</w:t>
            </w:r>
          </w:p>
        </w:tc>
        <w:tc>
          <w:tcPr>
            <w:tcW w:w="1199" w:type="dxa"/>
            <w:noWrap/>
            <w:vAlign w:val="center"/>
            <w:hideMark/>
          </w:tcPr>
          <w:p w14:paraId="785E86A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15</w:t>
            </w:r>
          </w:p>
        </w:tc>
        <w:tc>
          <w:tcPr>
            <w:tcW w:w="1674" w:type="dxa"/>
            <w:noWrap/>
            <w:vAlign w:val="center"/>
            <w:hideMark/>
          </w:tcPr>
          <w:p w14:paraId="5D5F94FF"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0</w:t>
            </w:r>
          </w:p>
        </w:tc>
        <w:tc>
          <w:tcPr>
            <w:tcW w:w="2025" w:type="dxa"/>
            <w:noWrap/>
            <w:vAlign w:val="center"/>
            <w:hideMark/>
          </w:tcPr>
          <w:p w14:paraId="36E3D1A1"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15</w:t>
            </w:r>
          </w:p>
        </w:tc>
      </w:tr>
      <w:tr w:rsidR="00417865" w:rsidRPr="00417865" w14:paraId="4BDE9656" w14:textId="77777777" w:rsidTr="00936ED9">
        <w:trPr>
          <w:trHeight w:val="288"/>
          <w:jc w:val="center"/>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14:paraId="2D26BAD2" w14:textId="77777777" w:rsidR="00417865" w:rsidRPr="00417865" w:rsidRDefault="00417865" w:rsidP="00417865">
            <w:pPr>
              <w:jc w:val="center"/>
              <w:rPr>
                <w:color w:val="000000"/>
                <w:sz w:val="20"/>
                <w:lang w:val="pt-BR"/>
              </w:rPr>
            </w:pPr>
            <w:r w:rsidRPr="00417865">
              <w:rPr>
                <w:color w:val="000000"/>
                <w:sz w:val="20"/>
                <w:lang w:val="pt-BR"/>
              </w:rPr>
              <w:t>19:30 - 19:45</w:t>
            </w:r>
          </w:p>
        </w:tc>
        <w:tc>
          <w:tcPr>
            <w:tcW w:w="1500" w:type="dxa"/>
            <w:noWrap/>
            <w:vAlign w:val="center"/>
            <w:hideMark/>
          </w:tcPr>
          <w:p w14:paraId="41D9CA47"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159</w:t>
            </w:r>
          </w:p>
        </w:tc>
        <w:tc>
          <w:tcPr>
            <w:tcW w:w="1199" w:type="dxa"/>
            <w:noWrap/>
            <w:vAlign w:val="center"/>
            <w:hideMark/>
          </w:tcPr>
          <w:p w14:paraId="5B31E447"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10</w:t>
            </w:r>
          </w:p>
        </w:tc>
        <w:tc>
          <w:tcPr>
            <w:tcW w:w="1674" w:type="dxa"/>
            <w:noWrap/>
            <w:vAlign w:val="center"/>
            <w:hideMark/>
          </w:tcPr>
          <w:p w14:paraId="240F5382"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0</w:t>
            </w:r>
          </w:p>
        </w:tc>
        <w:tc>
          <w:tcPr>
            <w:tcW w:w="2025" w:type="dxa"/>
            <w:noWrap/>
            <w:vAlign w:val="center"/>
            <w:hideMark/>
          </w:tcPr>
          <w:p w14:paraId="7B036249"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10</w:t>
            </w:r>
          </w:p>
        </w:tc>
      </w:tr>
      <w:tr w:rsidR="00417865" w:rsidRPr="00417865" w14:paraId="79BEC210" w14:textId="77777777" w:rsidTr="00936ED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14:paraId="353A38FC" w14:textId="77777777" w:rsidR="00417865" w:rsidRPr="00417865" w:rsidRDefault="00417865" w:rsidP="00417865">
            <w:pPr>
              <w:jc w:val="center"/>
              <w:rPr>
                <w:color w:val="000000"/>
                <w:sz w:val="20"/>
                <w:lang w:val="pt-BR"/>
              </w:rPr>
            </w:pPr>
            <w:r w:rsidRPr="00417865">
              <w:rPr>
                <w:color w:val="000000"/>
                <w:sz w:val="20"/>
                <w:lang w:val="pt-BR"/>
              </w:rPr>
              <w:t>19:45 - 20:00</w:t>
            </w:r>
          </w:p>
        </w:tc>
        <w:tc>
          <w:tcPr>
            <w:tcW w:w="1500" w:type="dxa"/>
            <w:noWrap/>
            <w:vAlign w:val="center"/>
            <w:hideMark/>
          </w:tcPr>
          <w:p w14:paraId="15A8E9ED"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162</w:t>
            </w:r>
          </w:p>
        </w:tc>
        <w:tc>
          <w:tcPr>
            <w:tcW w:w="1199" w:type="dxa"/>
            <w:noWrap/>
            <w:vAlign w:val="center"/>
            <w:hideMark/>
          </w:tcPr>
          <w:p w14:paraId="0C22DC6D"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6</w:t>
            </w:r>
          </w:p>
        </w:tc>
        <w:tc>
          <w:tcPr>
            <w:tcW w:w="1674" w:type="dxa"/>
            <w:noWrap/>
            <w:vAlign w:val="center"/>
            <w:hideMark/>
          </w:tcPr>
          <w:p w14:paraId="306F0556"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0</w:t>
            </w:r>
          </w:p>
        </w:tc>
        <w:tc>
          <w:tcPr>
            <w:tcW w:w="2025" w:type="dxa"/>
            <w:noWrap/>
            <w:vAlign w:val="center"/>
            <w:hideMark/>
          </w:tcPr>
          <w:p w14:paraId="2E2C6F83"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6</w:t>
            </w:r>
          </w:p>
        </w:tc>
      </w:tr>
      <w:tr w:rsidR="00417865" w:rsidRPr="00417865" w14:paraId="30986EBE" w14:textId="77777777" w:rsidTr="00936ED9">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tcBorders>
              <w:bottom w:val="single" w:sz="18" w:space="0" w:color="000000" w:themeColor="text1"/>
            </w:tcBorders>
            <w:noWrap/>
            <w:vAlign w:val="center"/>
            <w:hideMark/>
          </w:tcPr>
          <w:p w14:paraId="2627D8F9" w14:textId="77777777" w:rsidR="00417865" w:rsidRPr="00417865" w:rsidRDefault="00417865" w:rsidP="00417865">
            <w:pPr>
              <w:jc w:val="center"/>
              <w:rPr>
                <w:color w:val="000000"/>
                <w:sz w:val="20"/>
                <w:lang w:val="pt-BR"/>
              </w:rPr>
            </w:pPr>
            <w:r w:rsidRPr="00417865">
              <w:rPr>
                <w:color w:val="000000"/>
                <w:sz w:val="20"/>
                <w:lang w:val="pt-BR"/>
              </w:rPr>
              <w:t>20:00 - 20:15</w:t>
            </w:r>
          </w:p>
        </w:tc>
        <w:tc>
          <w:tcPr>
            <w:tcW w:w="1500" w:type="dxa"/>
            <w:tcBorders>
              <w:bottom w:val="single" w:sz="18" w:space="0" w:color="000000" w:themeColor="text1"/>
            </w:tcBorders>
            <w:noWrap/>
            <w:vAlign w:val="center"/>
            <w:hideMark/>
          </w:tcPr>
          <w:p w14:paraId="61BB975B"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170</w:t>
            </w:r>
          </w:p>
        </w:tc>
        <w:tc>
          <w:tcPr>
            <w:tcW w:w="1199" w:type="dxa"/>
            <w:tcBorders>
              <w:bottom w:val="single" w:sz="18" w:space="0" w:color="000000" w:themeColor="text1"/>
            </w:tcBorders>
            <w:noWrap/>
            <w:vAlign w:val="center"/>
            <w:hideMark/>
          </w:tcPr>
          <w:p w14:paraId="74AA6229"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3</w:t>
            </w:r>
          </w:p>
        </w:tc>
        <w:tc>
          <w:tcPr>
            <w:tcW w:w="1674" w:type="dxa"/>
            <w:tcBorders>
              <w:bottom w:val="single" w:sz="18" w:space="0" w:color="000000" w:themeColor="text1"/>
            </w:tcBorders>
            <w:noWrap/>
            <w:vAlign w:val="center"/>
            <w:hideMark/>
          </w:tcPr>
          <w:p w14:paraId="4784B282"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0</w:t>
            </w:r>
          </w:p>
        </w:tc>
        <w:tc>
          <w:tcPr>
            <w:tcW w:w="2025" w:type="dxa"/>
            <w:tcBorders>
              <w:bottom w:val="single" w:sz="18" w:space="0" w:color="000000" w:themeColor="text1"/>
            </w:tcBorders>
            <w:noWrap/>
            <w:vAlign w:val="center"/>
            <w:hideMark/>
          </w:tcPr>
          <w:p w14:paraId="48C1098E"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3</w:t>
            </w:r>
          </w:p>
        </w:tc>
      </w:tr>
      <w:tr w:rsidR="00417865" w:rsidRPr="00417865" w14:paraId="2E8DEA09" w14:textId="77777777" w:rsidTr="00936ED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18" w:space="0" w:color="000000" w:themeColor="text1"/>
              <w:bottom w:val="single" w:sz="18" w:space="0" w:color="000000" w:themeColor="text1"/>
            </w:tcBorders>
            <w:noWrap/>
            <w:vAlign w:val="center"/>
            <w:hideMark/>
          </w:tcPr>
          <w:p w14:paraId="62DD46EA" w14:textId="77777777" w:rsidR="00417865" w:rsidRPr="00417865" w:rsidRDefault="00417865" w:rsidP="00417865">
            <w:pPr>
              <w:jc w:val="center"/>
              <w:rPr>
                <w:color w:val="000000"/>
                <w:sz w:val="20"/>
                <w:lang w:val="pt-BR"/>
              </w:rPr>
            </w:pPr>
            <w:r w:rsidRPr="00417865">
              <w:rPr>
                <w:color w:val="000000"/>
                <w:sz w:val="20"/>
                <w:lang w:val="pt-BR"/>
              </w:rPr>
              <w:t>TOTAL</w:t>
            </w:r>
          </w:p>
        </w:tc>
        <w:tc>
          <w:tcPr>
            <w:tcW w:w="1500" w:type="dxa"/>
            <w:tcBorders>
              <w:top w:val="single" w:sz="18" w:space="0" w:color="000000" w:themeColor="text1"/>
              <w:bottom w:val="single" w:sz="18" w:space="0" w:color="000000" w:themeColor="text1"/>
            </w:tcBorders>
            <w:noWrap/>
            <w:vAlign w:val="center"/>
            <w:hideMark/>
          </w:tcPr>
          <w:p w14:paraId="5DF65B51"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1711</w:t>
            </w:r>
          </w:p>
        </w:tc>
        <w:tc>
          <w:tcPr>
            <w:tcW w:w="1199" w:type="dxa"/>
            <w:tcBorders>
              <w:top w:val="single" w:sz="18" w:space="0" w:color="000000" w:themeColor="text1"/>
              <w:bottom w:val="single" w:sz="18" w:space="0" w:color="000000" w:themeColor="text1"/>
            </w:tcBorders>
            <w:noWrap/>
            <w:vAlign w:val="center"/>
            <w:hideMark/>
          </w:tcPr>
          <w:p w14:paraId="4F1A2A3C"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85</w:t>
            </w:r>
          </w:p>
        </w:tc>
        <w:tc>
          <w:tcPr>
            <w:tcW w:w="1674" w:type="dxa"/>
            <w:tcBorders>
              <w:top w:val="single" w:sz="18" w:space="0" w:color="000000" w:themeColor="text1"/>
              <w:bottom w:val="single" w:sz="18" w:space="0" w:color="000000" w:themeColor="text1"/>
            </w:tcBorders>
            <w:noWrap/>
            <w:vAlign w:val="center"/>
            <w:hideMark/>
          </w:tcPr>
          <w:p w14:paraId="39D32AA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3</w:t>
            </w:r>
          </w:p>
        </w:tc>
        <w:tc>
          <w:tcPr>
            <w:tcW w:w="2025" w:type="dxa"/>
            <w:tcBorders>
              <w:top w:val="single" w:sz="18" w:space="0" w:color="000000" w:themeColor="text1"/>
              <w:bottom w:val="single" w:sz="18" w:space="0" w:color="000000" w:themeColor="text1"/>
            </w:tcBorders>
            <w:noWrap/>
            <w:vAlign w:val="center"/>
            <w:hideMark/>
          </w:tcPr>
          <w:p w14:paraId="7517D687"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88</w:t>
            </w:r>
          </w:p>
        </w:tc>
      </w:tr>
    </w:tbl>
    <w:p w14:paraId="3BD65B27" w14:textId="7497C770" w:rsidR="00417865" w:rsidRPr="00CD4A49" w:rsidRDefault="00943337" w:rsidP="00943337">
      <w:pPr>
        <w:spacing w:after="120"/>
        <w:ind w:firstLine="709"/>
        <w:rPr>
          <w:sz w:val="20"/>
        </w:rPr>
      </w:pPr>
      <w:proofErr w:type="spellStart"/>
      <w:r w:rsidRPr="00CD4A49">
        <w:rPr>
          <w:sz w:val="20"/>
        </w:rPr>
        <w:t>Fonte</w:t>
      </w:r>
      <w:proofErr w:type="spellEnd"/>
      <w:r w:rsidRPr="00CD4A49">
        <w:rPr>
          <w:sz w:val="20"/>
        </w:rPr>
        <w:t xml:space="preserve">: </w:t>
      </w:r>
      <w:proofErr w:type="spellStart"/>
      <w:r w:rsidR="00CD4A49" w:rsidRPr="00CD4A49">
        <w:rPr>
          <w:sz w:val="20"/>
        </w:rPr>
        <w:t>elaborado</w:t>
      </w:r>
      <w:proofErr w:type="spellEnd"/>
      <w:r w:rsidR="00CD4A49" w:rsidRPr="00CD4A49">
        <w:rPr>
          <w:sz w:val="20"/>
        </w:rPr>
        <w:t xml:space="preserve"> </w:t>
      </w:r>
      <w:proofErr w:type="spellStart"/>
      <w:r w:rsidR="00CD4A49" w:rsidRPr="00CD4A49">
        <w:rPr>
          <w:sz w:val="20"/>
        </w:rPr>
        <w:t>pelos</w:t>
      </w:r>
      <w:proofErr w:type="spellEnd"/>
      <w:r w:rsidR="00CD4A49" w:rsidRPr="00CD4A49">
        <w:rPr>
          <w:sz w:val="20"/>
        </w:rPr>
        <w:t xml:space="preserve"> </w:t>
      </w:r>
      <w:proofErr w:type="spellStart"/>
      <w:r w:rsidR="00CD4A49" w:rsidRPr="00CD4A49">
        <w:rPr>
          <w:sz w:val="20"/>
        </w:rPr>
        <w:t>autores</w:t>
      </w:r>
      <w:proofErr w:type="spellEnd"/>
      <w:r w:rsidR="00CD4A49" w:rsidRPr="00CD4A49">
        <w:rPr>
          <w:sz w:val="20"/>
        </w:rPr>
        <w:t xml:space="preserve">. </w:t>
      </w:r>
    </w:p>
    <w:p w14:paraId="4634AC09" w14:textId="77777777" w:rsidR="00417865" w:rsidRPr="00936ED9" w:rsidRDefault="00417865" w:rsidP="00417865">
      <w:pPr>
        <w:spacing w:after="240"/>
        <w:jc w:val="center"/>
        <w:rPr>
          <w:sz w:val="20"/>
          <w:lang w:val="pt-BR"/>
        </w:rPr>
      </w:pPr>
      <w:r w:rsidRPr="00936ED9">
        <w:rPr>
          <w:sz w:val="20"/>
          <w:lang w:val="pt-BR"/>
        </w:rPr>
        <w:t>Tabela 2: Contagem veicular na Duque de Caxias</w:t>
      </w:r>
    </w:p>
    <w:tbl>
      <w:tblPr>
        <w:tblStyle w:val="TabelaSimples2"/>
        <w:tblW w:w="7797" w:type="dxa"/>
        <w:jc w:val="center"/>
        <w:tblLook w:val="04A0" w:firstRow="1" w:lastRow="0" w:firstColumn="1" w:lastColumn="0" w:noHBand="0" w:noVBand="1"/>
      </w:tblPr>
      <w:tblGrid>
        <w:gridCol w:w="1512"/>
        <w:gridCol w:w="1500"/>
        <w:gridCol w:w="1099"/>
        <w:gridCol w:w="1674"/>
        <w:gridCol w:w="2012"/>
      </w:tblGrid>
      <w:tr w:rsidR="00417865" w:rsidRPr="00417865" w14:paraId="57E007BC" w14:textId="77777777" w:rsidTr="00936ED9">
        <w:trPr>
          <w:cnfStyle w:val="100000000000" w:firstRow="1" w:lastRow="0" w:firstColumn="0" w:lastColumn="0" w:oddVBand="0" w:evenVBand="0" w:oddHBand="0" w:evenHBand="0" w:firstRowFirstColumn="0" w:firstRowLastColumn="0" w:lastRowFirstColumn="0" w:lastRowLastColumn="0"/>
          <w:trHeight w:val="718"/>
          <w:jc w:val="center"/>
        </w:trPr>
        <w:tc>
          <w:tcPr>
            <w:cnfStyle w:val="001000000000" w:firstRow="0" w:lastRow="0" w:firstColumn="1" w:lastColumn="0" w:oddVBand="0" w:evenVBand="0" w:oddHBand="0" w:evenHBand="0" w:firstRowFirstColumn="0" w:firstRowLastColumn="0" w:lastRowFirstColumn="0" w:lastRowLastColumn="0"/>
            <w:tcW w:w="1512" w:type="dxa"/>
            <w:tcBorders>
              <w:top w:val="single" w:sz="18" w:space="0" w:color="000000" w:themeColor="text1"/>
              <w:bottom w:val="single" w:sz="18" w:space="0" w:color="000000" w:themeColor="text1"/>
            </w:tcBorders>
            <w:vAlign w:val="center"/>
            <w:hideMark/>
          </w:tcPr>
          <w:p w14:paraId="6DB8BACB" w14:textId="77777777" w:rsidR="00417865" w:rsidRPr="00417865" w:rsidRDefault="00417865" w:rsidP="00417865">
            <w:pPr>
              <w:jc w:val="center"/>
              <w:rPr>
                <w:color w:val="000000"/>
                <w:sz w:val="20"/>
                <w:lang w:val="pt-BR"/>
              </w:rPr>
            </w:pPr>
            <w:proofErr w:type="spellStart"/>
            <w:r w:rsidRPr="00417865">
              <w:rPr>
                <w:color w:val="000000"/>
                <w:sz w:val="20"/>
              </w:rPr>
              <w:t>Horário</w:t>
            </w:r>
            <w:proofErr w:type="spellEnd"/>
            <w:r w:rsidRPr="00417865">
              <w:rPr>
                <w:color w:val="000000"/>
                <w:sz w:val="20"/>
              </w:rPr>
              <w:t xml:space="preserve"> a </w:t>
            </w:r>
            <w:proofErr w:type="spellStart"/>
            <w:r w:rsidRPr="00417865">
              <w:rPr>
                <w:color w:val="000000"/>
                <w:sz w:val="20"/>
              </w:rPr>
              <w:t>cada</w:t>
            </w:r>
            <w:proofErr w:type="spellEnd"/>
            <w:r w:rsidRPr="00417865">
              <w:rPr>
                <w:color w:val="000000"/>
                <w:sz w:val="20"/>
              </w:rPr>
              <w:t xml:space="preserve"> 15 min.</w:t>
            </w:r>
          </w:p>
        </w:tc>
        <w:tc>
          <w:tcPr>
            <w:tcW w:w="1500" w:type="dxa"/>
            <w:tcBorders>
              <w:top w:val="single" w:sz="18" w:space="0" w:color="000000" w:themeColor="text1"/>
              <w:bottom w:val="single" w:sz="18" w:space="0" w:color="000000" w:themeColor="text1"/>
            </w:tcBorders>
            <w:vAlign w:val="center"/>
            <w:hideMark/>
          </w:tcPr>
          <w:p w14:paraId="62E302AB"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Contagem</w:t>
            </w:r>
            <w:proofErr w:type="spellEnd"/>
          </w:p>
        </w:tc>
        <w:tc>
          <w:tcPr>
            <w:tcW w:w="1099" w:type="dxa"/>
            <w:tcBorders>
              <w:top w:val="single" w:sz="18" w:space="0" w:color="000000" w:themeColor="text1"/>
              <w:bottom w:val="single" w:sz="18" w:space="0" w:color="000000" w:themeColor="text1"/>
            </w:tcBorders>
            <w:vAlign w:val="center"/>
            <w:hideMark/>
          </w:tcPr>
          <w:p w14:paraId="39EA3CF4"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Parou</w:t>
            </w:r>
            <w:proofErr w:type="spellEnd"/>
          </w:p>
        </w:tc>
        <w:tc>
          <w:tcPr>
            <w:tcW w:w="1674" w:type="dxa"/>
            <w:tcBorders>
              <w:top w:val="single" w:sz="18" w:space="0" w:color="000000" w:themeColor="text1"/>
              <w:bottom w:val="single" w:sz="18" w:space="0" w:color="000000" w:themeColor="text1"/>
            </w:tcBorders>
            <w:vAlign w:val="center"/>
            <w:hideMark/>
          </w:tcPr>
          <w:p w14:paraId="6A312685"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Estacionou</w:t>
            </w:r>
            <w:proofErr w:type="spellEnd"/>
          </w:p>
        </w:tc>
        <w:tc>
          <w:tcPr>
            <w:tcW w:w="2012" w:type="dxa"/>
            <w:tcBorders>
              <w:top w:val="single" w:sz="18" w:space="0" w:color="000000" w:themeColor="text1"/>
              <w:bottom w:val="single" w:sz="18" w:space="0" w:color="000000" w:themeColor="text1"/>
            </w:tcBorders>
            <w:vAlign w:val="center"/>
            <w:hideMark/>
          </w:tcPr>
          <w:p w14:paraId="7A9F99E6"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lang w:val="pt-BR"/>
              </w:rPr>
            </w:pPr>
            <w:proofErr w:type="spellStart"/>
            <w:r w:rsidRPr="00417865">
              <w:rPr>
                <w:color w:val="000000"/>
                <w:sz w:val="20"/>
              </w:rPr>
              <w:t>Parou</w:t>
            </w:r>
            <w:proofErr w:type="spellEnd"/>
            <w:r w:rsidRPr="00417865">
              <w:rPr>
                <w:color w:val="000000"/>
                <w:sz w:val="20"/>
              </w:rPr>
              <w:t xml:space="preserve"> + </w:t>
            </w:r>
            <w:proofErr w:type="spellStart"/>
            <w:r w:rsidRPr="00417865">
              <w:rPr>
                <w:color w:val="000000"/>
                <w:sz w:val="20"/>
              </w:rPr>
              <w:t>Estacionou</w:t>
            </w:r>
            <w:proofErr w:type="spellEnd"/>
          </w:p>
        </w:tc>
      </w:tr>
      <w:tr w:rsidR="00417865" w:rsidRPr="00417865" w14:paraId="4D6D9CEB" w14:textId="77777777" w:rsidTr="00936ED9">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512" w:type="dxa"/>
            <w:tcBorders>
              <w:top w:val="single" w:sz="18" w:space="0" w:color="000000" w:themeColor="text1"/>
            </w:tcBorders>
            <w:noWrap/>
            <w:hideMark/>
          </w:tcPr>
          <w:p w14:paraId="4895A8D0" w14:textId="77777777" w:rsidR="00417865" w:rsidRPr="00417865" w:rsidRDefault="00417865" w:rsidP="00417865">
            <w:pPr>
              <w:jc w:val="center"/>
              <w:rPr>
                <w:color w:val="000000"/>
                <w:sz w:val="20"/>
                <w:lang w:val="pt-BR"/>
              </w:rPr>
            </w:pPr>
            <w:r w:rsidRPr="00417865">
              <w:rPr>
                <w:color w:val="000000"/>
                <w:sz w:val="20"/>
                <w:lang w:val="pt-BR"/>
              </w:rPr>
              <w:t>18:15 - 18:30</w:t>
            </w:r>
          </w:p>
        </w:tc>
        <w:tc>
          <w:tcPr>
            <w:tcW w:w="1500" w:type="dxa"/>
            <w:tcBorders>
              <w:top w:val="single" w:sz="18" w:space="0" w:color="000000" w:themeColor="text1"/>
            </w:tcBorders>
            <w:noWrap/>
            <w:hideMark/>
          </w:tcPr>
          <w:p w14:paraId="307A148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158</w:t>
            </w:r>
          </w:p>
        </w:tc>
        <w:tc>
          <w:tcPr>
            <w:tcW w:w="1099" w:type="dxa"/>
            <w:tcBorders>
              <w:top w:val="single" w:sz="18" w:space="0" w:color="000000" w:themeColor="text1"/>
            </w:tcBorders>
            <w:noWrap/>
            <w:hideMark/>
          </w:tcPr>
          <w:p w14:paraId="56720DCE"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13</w:t>
            </w:r>
          </w:p>
        </w:tc>
        <w:tc>
          <w:tcPr>
            <w:tcW w:w="1674" w:type="dxa"/>
            <w:tcBorders>
              <w:top w:val="single" w:sz="18" w:space="0" w:color="000000" w:themeColor="text1"/>
            </w:tcBorders>
            <w:noWrap/>
            <w:hideMark/>
          </w:tcPr>
          <w:p w14:paraId="7088695B"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22</w:t>
            </w:r>
          </w:p>
        </w:tc>
        <w:tc>
          <w:tcPr>
            <w:tcW w:w="2012" w:type="dxa"/>
            <w:tcBorders>
              <w:top w:val="single" w:sz="18" w:space="0" w:color="000000" w:themeColor="text1"/>
            </w:tcBorders>
            <w:noWrap/>
            <w:hideMark/>
          </w:tcPr>
          <w:p w14:paraId="3C3EB9E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35</w:t>
            </w:r>
          </w:p>
        </w:tc>
      </w:tr>
      <w:tr w:rsidR="00417865" w:rsidRPr="00417865" w14:paraId="1ECBA018" w14:textId="77777777" w:rsidTr="00936ED9">
        <w:trPr>
          <w:trHeight w:val="287"/>
          <w:jc w:val="center"/>
        </w:trPr>
        <w:tc>
          <w:tcPr>
            <w:cnfStyle w:val="001000000000" w:firstRow="0" w:lastRow="0" w:firstColumn="1" w:lastColumn="0" w:oddVBand="0" w:evenVBand="0" w:oddHBand="0" w:evenHBand="0" w:firstRowFirstColumn="0" w:firstRowLastColumn="0" w:lastRowFirstColumn="0" w:lastRowLastColumn="0"/>
            <w:tcW w:w="1512" w:type="dxa"/>
            <w:noWrap/>
            <w:hideMark/>
          </w:tcPr>
          <w:p w14:paraId="0129B559" w14:textId="77777777" w:rsidR="00417865" w:rsidRPr="00417865" w:rsidRDefault="00417865" w:rsidP="00417865">
            <w:pPr>
              <w:jc w:val="center"/>
              <w:rPr>
                <w:color w:val="000000"/>
                <w:sz w:val="20"/>
                <w:lang w:val="pt-BR"/>
              </w:rPr>
            </w:pPr>
            <w:r w:rsidRPr="00417865">
              <w:rPr>
                <w:color w:val="000000"/>
                <w:sz w:val="20"/>
                <w:lang w:val="pt-BR"/>
              </w:rPr>
              <w:t>18:30 - 18:45</w:t>
            </w:r>
          </w:p>
        </w:tc>
        <w:tc>
          <w:tcPr>
            <w:tcW w:w="1500" w:type="dxa"/>
            <w:noWrap/>
            <w:hideMark/>
          </w:tcPr>
          <w:p w14:paraId="381EBFDE"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140</w:t>
            </w:r>
          </w:p>
        </w:tc>
        <w:tc>
          <w:tcPr>
            <w:tcW w:w="1099" w:type="dxa"/>
            <w:noWrap/>
            <w:hideMark/>
          </w:tcPr>
          <w:p w14:paraId="0EB38BC2"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18</w:t>
            </w:r>
          </w:p>
        </w:tc>
        <w:tc>
          <w:tcPr>
            <w:tcW w:w="1674" w:type="dxa"/>
            <w:noWrap/>
            <w:hideMark/>
          </w:tcPr>
          <w:p w14:paraId="190543D5"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16</w:t>
            </w:r>
          </w:p>
        </w:tc>
        <w:tc>
          <w:tcPr>
            <w:tcW w:w="2012" w:type="dxa"/>
            <w:noWrap/>
            <w:hideMark/>
          </w:tcPr>
          <w:p w14:paraId="7A07F840"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34</w:t>
            </w:r>
          </w:p>
        </w:tc>
      </w:tr>
      <w:tr w:rsidR="00417865" w:rsidRPr="00417865" w14:paraId="44B810CC" w14:textId="77777777" w:rsidTr="00936ED9">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512" w:type="dxa"/>
            <w:noWrap/>
            <w:hideMark/>
          </w:tcPr>
          <w:p w14:paraId="04C9817A" w14:textId="77777777" w:rsidR="00417865" w:rsidRPr="00417865" w:rsidRDefault="00417865" w:rsidP="00417865">
            <w:pPr>
              <w:jc w:val="center"/>
              <w:rPr>
                <w:color w:val="000000"/>
                <w:sz w:val="20"/>
                <w:lang w:val="pt-BR"/>
              </w:rPr>
            </w:pPr>
            <w:r w:rsidRPr="00417865">
              <w:rPr>
                <w:color w:val="000000"/>
                <w:sz w:val="20"/>
                <w:lang w:val="pt-BR"/>
              </w:rPr>
              <w:t>18:45 - 19:00</w:t>
            </w:r>
          </w:p>
        </w:tc>
        <w:tc>
          <w:tcPr>
            <w:tcW w:w="1500" w:type="dxa"/>
            <w:noWrap/>
            <w:hideMark/>
          </w:tcPr>
          <w:p w14:paraId="4178E71C"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125</w:t>
            </w:r>
          </w:p>
        </w:tc>
        <w:tc>
          <w:tcPr>
            <w:tcW w:w="1099" w:type="dxa"/>
            <w:noWrap/>
            <w:hideMark/>
          </w:tcPr>
          <w:p w14:paraId="5646E314"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8</w:t>
            </w:r>
          </w:p>
        </w:tc>
        <w:tc>
          <w:tcPr>
            <w:tcW w:w="1674" w:type="dxa"/>
            <w:noWrap/>
            <w:hideMark/>
          </w:tcPr>
          <w:p w14:paraId="78826229"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11</w:t>
            </w:r>
          </w:p>
        </w:tc>
        <w:tc>
          <w:tcPr>
            <w:tcW w:w="2012" w:type="dxa"/>
            <w:noWrap/>
            <w:hideMark/>
          </w:tcPr>
          <w:p w14:paraId="3CFCAE5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19</w:t>
            </w:r>
          </w:p>
        </w:tc>
      </w:tr>
      <w:tr w:rsidR="00417865" w:rsidRPr="00417865" w14:paraId="348202D6" w14:textId="77777777" w:rsidTr="00936ED9">
        <w:trPr>
          <w:trHeight w:val="299"/>
          <w:jc w:val="center"/>
        </w:trPr>
        <w:tc>
          <w:tcPr>
            <w:cnfStyle w:val="001000000000" w:firstRow="0" w:lastRow="0" w:firstColumn="1" w:lastColumn="0" w:oddVBand="0" w:evenVBand="0" w:oddHBand="0" w:evenHBand="0" w:firstRowFirstColumn="0" w:firstRowLastColumn="0" w:lastRowFirstColumn="0" w:lastRowLastColumn="0"/>
            <w:tcW w:w="1512" w:type="dxa"/>
            <w:noWrap/>
            <w:hideMark/>
          </w:tcPr>
          <w:p w14:paraId="646944DD" w14:textId="77777777" w:rsidR="00417865" w:rsidRPr="00417865" w:rsidRDefault="00417865" w:rsidP="00417865">
            <w:pPr>
              <w:jc w:val="center"/>
              <w:rPr>
                <w:color w:val="000000"/>
                <w:sz w:val="20"/>
                <w:lang w:val="pt-BR"/>
              </w:rPr>
            </w:pPr>
            <w:r w:rsidRPr="00417865">
              <w:rPr>
                <w:color w:val="000000"/>
                <w:sz w:val="20"/>
                <w:lang w:val="pt-BR"/>
              </w:rPr>
              <w:t>19:00 - 19:15</w:t>
            </w:r>
          </w:p>
        </w:tc>
        <w:tc>
          <w:tcPr>
            <w:tcW w:w="1500" w:type="dxa"/>
            <w:noWrap/>
            <w:hideMark/>
          </w:tcPr>
          <w:p w14:paraId="3583BB8F"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113</w:t>
            </w:r>
          </w:p>
        </w:tc>
        <w:tc>
          <w:tcPr>
            <w:tcW w:w="1099" w:type="dxa"/>
            <w:noWrap/>
            <w:hideMark/>
          </w:tcPr>
          <w:p w14:paraId="19BF3EA9"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2</w:t>
            </w:r>
          </w:p>
        </w:tc>
        <w:tc>
          <w:tcPr>
            <w:tcW w:w="1674" w:type="dxa"/>
            <w:noWrap/>
            <w:hideMark/>
          </w:tcPr>
          <w:p w14:paraId="58D38779"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9</w:t>
            </w:r>
          </w:p>
        </w:tc>
        <w:tc>
          <w:tcPr>
            <w:tcW w:w="2012" w:type="dxa"/>
            <w:noWrap/>
            <w:hideMark/>
          </w:tcPr>
          <w:p w14:paraId="460121FF"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11</w:t>
            </w:r>
          </w:p>
        </w:tc>
      </w:tr>
      <w:tr w:rsidR="00417865" w:rsidRPr="00417865" w14:paraId="6DAAF32B" w14:textId="77777777" w:rsidTr="00936ED9">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512" w:type="dxa"/>
            <w:noWrap/>
            <w:hideMark/>
          </w:tcPr>
          <w:p w14:paraId="7AB3A55A" w14:textId="77777777" w:rsidR="00417865" w:rsidRPr="00417865" w:rsidRDefault="00417865" w:rsidP="00417865">
            <w:pPr>
              <w:jc w:val="center"/>
              <w:rPr>
                <w:color w:val="000000"/>
                <w:sz w:val="20"/>
                <w:lang w:val="pt-BR"/>
              </w:rPr>
            </w:pPr>
            <w:r w:rsidRPr="00417865">
              <w:rPr>
                <w:color w:val="000000"/>
                <w:sz w:val="20"/>
                <w:lang w:val="pt-BR"/>
              </w:rPr>
              <w:t>19:15 - 19:30</w:t>
            </w:r>
          </w:p>
        </w:tc>
        <w:tc>
          <w:tcPr>
            <w:tcW w:w="1500" w:type="dxa"/>
            <w:noWrap/>
            <w:hideMark/>
          </w:tcPr>
          <w:p w14:paraId="58DB773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80</w:t>
            </w:r>
          </w:p>
        </w:tc>
        <w:tc>
          <w:tcPr>
            <w:tcW w:w="1099" w:type="dxa"/>
            <w:noWrap/>
            <w:hideMark/>
          </w:tcPr>
          <w:p w14:paraId="76785243"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4</w:t>
            </w:r>
          </w:p>
        </w:tc>
        <w:tc>
          <w:tcPr>
            <w:tcW w:w="1674" w:type="dxa"/>
            <w:noWrap/>
            <w:hideMark/>
          </w:tcPr>
          <w:p w14:paraId="00F8CEC7"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7</w:t>
            </w:r>
          </w:p>
        </w:tc>
        <w:tc>
          <w:tcPr>
            <w:tcW w:w="2012" w:type="dxa"/>
            <w:noWrap/>
            <w:hideMark/>
          </w:tcPr>
          <w:p w14:paraId="64215446"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11</w:t>
            </w:r>
          </w:p>
        </w:tc>
      </w:tr>
      <w:tr w:rsidR="00417865" w:rsidRPr="00417865" w14:paraId="284E5256" w14:textId="77777777" w:rsidTr="00936ED9">
        <w:trPr>
          <w:trHeight w:val="287"/>
          <w:jc w:val="center"/>
        </w:trPr>
        <w:tc>
          <w:tcPr>
            <w:cnfStyle w:val="001000000000" w:firstRow="0" w:lastRow="0" w:firstColumn="1" w:lastColumn="0" w:oddVBand="0" w:evenVBand="0" w:oddHBand="0" w:evenHBand="0" w:firstRowFirstColumn="0" w:firstRowLastColumn="0" w:lastRowFirstColumn="0" w:lastRowLastColumn="0"/>
            <w:tcW w:w="1512" w:type="dxa"/>
            <w:noWrap/>
            <w:hideMark/>
          </w:tcPr>
          <w:p w14:paraId="523FB9F2" w14:textId="77777777" w:rsidR="00417865" w:rsidRPr="00417865" w:rsidRDefault="00417865" w:rsidP="00417865">
            <w:pPr>
              <w:jc w:val="center"/>
              <w:rPr>
                <w:color w:val="000000"/>
                <w:sz w:val="20"/>
                <w:lang w:val="pt-BR"/>
              </w:rPr>
            </w:pPr>
            <w:r w:rsidRPr="00417865">
              <w:rPr>
                <w:color w:val="000000"/>
                <w:sz w:val="20"/>
                <w:lang w:val="pt-BR"/>
              </w:rPr>
              <w:t>19:30 - 19:45</w:t>
            </w:r>
          </w:p>
        </w:tc>
        <w:tc>
          <w:tcPr>
            <w:tcW w:w="1500" w:type="dxa"/>
            <w:noWrap/>
            <w:hideMark/>
          </w:tcPr>
          <w:p w14:paraId="71CD6688"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111</w:t>
            </w:r>
          </w:p>
        </w:tc>
        <w:tc>
          <w:tcPr>
            <w:tcW w:w="1099" w:type="dxa"/>
            <w:noWrap/>
            <w:hideMark/>
          </w:tcPr>
          <w:p w14:paraId="6FE365A4"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4</w:t>
            </w:r>
          </w:p>
        </w:tc>
        <w:tc>
          <w:tcPr>
            <w:tcW w:w="1674" w:type="dxa"/>
            <w:noWrap/>
            <w:hideMark/>
          </w:tcPr>
          <w:p w14:paraId="01BF36B3"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7</w:t>
            </w:r>
          </w:p>
        </w:tc>
        <w:tc>
          <w:tcPr>
            <w:tcW w:w="2012" w:type="dxa"/>
            <w:noWrap/>
            <w:hideMark/>
          </w:tcPr>
          <w:p w14:paraId="1FA216B8"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11</w:t>
            </w:r>
          </w:p>
        </w:tc>
      </w:tr>
      <w:tr w:rsidR="00417865" w:rsidRPr="00417865" w14:paraId="445EED6A" w14:textId="77777777" w:rsidTr="00936ED9">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512" w:type="dxa"/>
            <w:noWrap/>
            <w:hideMark/>
          </w:tcPr>
          <w:p w14:paraId="5FB96E47" w14:textId="77777777" w:rsidR="00417865" w:rsidRPr="00417865" w:rsidRDefault="00417865" w:rsidP="00417865">
            <w:pPr>
              <w:jc w:val="center"/>
              <w:rPr>
                <w:color w:val="000000"/>
                <w:sz w:val="20"/>
                <w:lang w:val="pt-BR"/>
              </w:rPr>
            </w:pPr>
            <w:r w:rsidRPr="00417865">
              <w:rPr>
                <w:color w:val="000000"/>
                <w:sz w:val="20"/>
                <w:lang w:val="pt-BR"/>
              </w:rPr>
              <w:t>19:45 - 20:00</w:t>
            </w:r>
          </w:p>
        </w:tc>
        <w:tc>
          <w:tcPr>
            <w:tcW w:w="1500" w:type="dxa"/>
            <w:noWrap/>
            <w:hideMark/>
          </w:tcPr>
          <w:p w14:paraId="67C88D1B"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72</w:t>
            </w:r>
          </w:p>
        </w:tc>
        <w:tc>
          <w:tcPr>
            <w:tcW w:w="1099" w:type="dxa"/>
            <w:noWrap/>
            <w:hideMark/>
          </w:tcPr>
          <w:p w14:paraId="13DA338E"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4</w:t>
            </w:r>
          </w:p>
        </w:tc>
        <w:tc>
          <w:tcPr>
            <w:tcW w:w="1674" w:type="dxa"/>
            <w:noWrap/>
            <w:hideMark/>
          </w:tcPr>
          <w:p w14:paraId="34F893E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4</w:t>
            </w:r>
          </w:p>
        </w:tc>
        <w:tc>
          <w:tcPr>
            <w:tcW w:w="2012" w:type="dxa"/>
            <w:noWrap/>
            <w:hideMark/>
          </w:tcPr>
          <w:p w14:paraId="3F4E92B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8</w:t>
            </w:r>
          </w:p>
        </w:tc>
      </w:tr>
      <w:tr w:rsidR="00417865" w:rsidRPr="00417865" w14:paraId="39FFB45F" w14:textId="77777777" w:rsidTr="00936ED9">
        <w:trPr>
          <w:trHeight w:val="299"/>
          <w:jc w:val="center"/>
        </w:trPr>
        <w:tc>
          <w:tcPr>
            <w:cnfStyle w:val="001000000000" w:firstRow="0" w:lastRow="0" w:firstColumn="1" w:lastColumn="0" w:oddVBand="0" w:evenVBand="0" w:oddHBand="0" w:evenHBand="0" w:firstRowFirstColumn="0" w:firstRowLastColumn="0" w:lastRowFirstColumn="0" w:lastRowLastColumn="0"/>
            <w:tcW w:w="1512" w:type="dxa"/>
            <w:tcBorders>
              <w:bottom w:val="single" w:sz="18" w:space="0" w:color="000000" w:themeColor="text1"/>
            </w:tcBorders>
            <w:noWrap/>
            <w:hideMark/>
          </w:tcPr>
          <w:p w14:paraId="08C6D62D" w14:textId="77777777" w:rsidR="00417865" w:rsidRPr="00417865" w:rsidRDefault="00417865" w:rsidP="00417865">
            <w:pPr>
              <w:jc w:val="center"/>
              <w:rPr>
                <w:color w:val="000000"/>
                <w:sz w:val="20"/>
                <w:lang w:val="pt-BR"/>
              </w:rPr>
            </w:pPr>
            <w:r w:rsidRPr="00417865">
              <w:rPr>
                <w:color w:val="000000"/>
                <w:sz w:val="20"/>
                <w:lang w:val="pt-BR"/>
              </w:rPr>
              <w:t>20:00 - 20:15</w:t>
            </w:r>
          </w:p>
        </w:tc>
        <w:tc>
          <w:tcPr>
            <w:tcW w:w="1500" w:type="dxa"/>
            <w:tcBorders>
              <w:bottom w:val="single" w:sz="18" w:space="0" w:color="000000" w:themeColor="text1"/>
            </w:tcBorders>
            <w:noWrap/>
            <w:hideMark/>
          </w:tcPr>
          <w:p w14:paraId="4F132795"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87</w:t>
            </w:r>
          </w:p>
        </w:tc>
        <w:tc>
          <w:tcPr>
            <w:tcW w:w="1099" w:type="dxa"/>
            <w:tcBorders>
              <w:bottom w:val="single" w:sz="18" w:space="0" w:color="000000" w:themeColor="text1"/>
            </w:tcBorders>
            <w:noWrap/>
            <w:hideMark/>
          </w:tcPr>
          <w:p w14:paraId="2CE2518D"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11</w:t>
            </w:r>
          </w:p>
        </w:tc>
        <w:tc>
          <w:tcPr>
            <w:tcW w:w="1674" w:type="dxa"/>
            <w:tcBorders>
              <w:bottom w:val="single" w:sz="18" w:space="0" w:color="000000" w:themeColor="text1"/>
            </w:tcBorders>
            <w:noWrap/>
            <w:hideMark/>
          </w:tcPr>
          <w:p w14:paraId="015F6093"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3</w:t>
            </w:r>
          </w:p>
        </w:tc>
        <w:tc>
          <w:tcPr>
            <w:tcW w:w="2012" w:type="dxa"/>
            <w:tcBorders>
              <w:bottom w:val="single" w:sz="18" w:space="0" w:color="000000" w:themeColor="text1"/>
            </w:tcBorders>
            <w:noWrap/>
            <w:hideMark/>
          </w:tcPr>
          <w:p w14:paraId="43088C6B"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lang w:val="pt-BR"/>
              </w:rPr>
            </w:pPr>
            <w:r w:rsidRPr="00417865">
              <w:rPr>
                <w:color w:val="000000"/>
                <w:sz w:val="20"/>
                <w:lang w:val="pt-BR"/>
              </w:rPr>
              <w:t>14</w:t>
            </w:r>
          </w:p>
        </w:tc>
      </w:tr>
      <w:tr w:rsidR="00417865" w:rsidRPr="00417865" w14:paraId="293CEF64" w14:textId="77777777" w:rsidTr="00936ED9">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512" w:type="dxa"/>
            <w:tcBorders>
              <w:top w:val="single" w:sz="18" w:space="0" w:color="000000" w:themeColor="text1"/>
              <w:bottom w:val="single" w:sz="18" w:space="0" w:color="000000" w:themeColor="text1"/>
            </w:tcBorders>
            <w:noWrap/>
            <w:hideMark/>
          </w:tcPr>
          <w:p w14:paraId="21B77B1A" w14:textId="77777777" w:rsidR="00417865" w:rsidRPr="00417865" w:rsidRDefault="00417865" w:rsidP="00417865">
            <w:pPr>
              <w:jc w:val="center"/>
              <w:rPr>
                <w:color w:val="000000"/>
                <w:sz w:val="20"/>
                <w:lang w:val="pt-BR"/>
              </w:rPr>
            </w:pPr>
            <w:r w:rsidRPr="00417865">
              <w:rPr>
                <w:color w:val="000000"/>
                <w:sz w:val="20"/>
                <w:lang w:val="pt-BR"/>
              </w:rPr>
              <w:t>TOTAL</w:t>
            </w:r>
          </w:p>
        </w:tc>
        <w:tc>
          <w:tcPr>
            <w:tcW w:w="1500" w:type="dxa"/>
            <w:tcBorders>
              <w:top w:val="single" w:sz="18" w:space="0" w:color="000000" w:themeColor="text1"/>
              <w:bottom w:val="single" w:sz="18" w:space="0" w:color="000000" w:themeColor="text1"/>
            </w:tcBorders>
            <w:noWrap/>
            <w:hideMark/>
          </w:tcPr>
          <w:p w14:paraId="16FA5F14"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886</w:t>
            </w:r>
          </w:p>
        </w:tc>
        <w:tc>
          <w:tcPr>
            <w:tcW w:w="1099" w:type="dxa"/>
            <w:tcBorders>
              <w:top w:val="single" w:sz="18" w:space="0" w:color="000000" w:themeColor="text1"/>
              <w:bottom w:val="single" w:sz="18" w:space="0" w:color="000000" w:themeColor="text1"/>
            </w:tcBorders>
            <w:noWrap/>
            <w:hideMark/>
          </w:tcPr>
          <w:p w14:paraId="1E1E3272"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64</w:t>
            </w:r>
          </w:p>
        </w:tc>
        <w:tc>
          <w:tcPr>
            <w:tcW w:w="1674" w:type="dxa"/>
            <w:tcBorders>
              <w:top w:val="single" w:sz="18" w:space="0" w:color="000000" w:themeColor="text1"/>
              <w:bottom w:val="single" w:sz="18" w:space="0" w:color="000000" w:themeColor="text1"/>
            </w:tcBorders>
            <w:noWrap/>
            <w:hideMark/>
          </w:tcPr>
          <w:p w14:paraId="07821164"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79</w:t>
            </w:r>
          </w:p>
        </w:tc>
        <w:tc>
          <w:tcPr>
            <w:tcW w:w="2012" w:type="dxa"/>
            <w:tcBorders>
              <w:top w:val="single" w:sz="18" w:space="0" w:color="000000" w:themeColor="text1"/>
              <w:bottom w:val="single" w:sz="18" w:space="0" w:color="000000" w:themeColor="text1"/>
            </w:tcBorders>
            <w:noWrap/>
            <w:hideMark/>
          </w:tcPr>
          <w:p w14:paraId="23E1D1DE"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lang w:val="pt-BR"/>
              </w:rPr>
            </w:pPr>
            <w:r w:rsidRPr="00417865">
              <w:rPr>
                <w:color w:val="000000"/>
                <w:sz w:val="20"/>
                <w:lang w:val="pt-BR"/>
              </w:rPr>
              <w:t>143</w:t>
            </w:r>
          </w:p>
        </w:tc>
      </w:tr>
    </w:tbl>
    <w:p w14:paraId="51455DE8" w14:textId="1BE4C127" w:rsidR="00CD4A49" w:rsidRPr="00CD4A49" w:rsidRDefault="00CD4A49" w:rsidP="00CD4A49">
      <w:pPr>
        <w:spacing w:after="120"/>
        <w:ind w:firstLine="709"/>
        <w:rPr>
          <w:sz w:val="20"/>
        </w:rPr>
      </w:pPr>
      <w:proofErr w:type="spellStart"/>
      <w:r w:rsidRPr="00CD4A49">
        <w:rPr>
          <w:sz w:val="20"/>
        </w:rPr>
        <w:t>Fonte</w:t>
      </w:r>
      <w:proofErr w:type="spellEnd"/>
      <w:r w:rsidRPr="00CD4A49">
        <w:rPr>
          <w:sz w:val="20"/>
        </w:rPr>
        <w:t xml:space="preserve">: </w:t>
      </w:r>
      <w:proofErr w:type="spellStart"/>
      <w:r w:rsidRPr="00CD4A49">
        <w:rPr>
          <w:sz w:val="20"/>
        </w:rPr>
        <w:t>elaborado</w:t>
      </w:r>
      <w:proofErr w:type="spellEnd"/>
      <w:r w:rsidRPr="00CD4A49">
        <w:rPr>
          <w:sz w:val="20"/>
        </w:rPr>
        <w:t xml:space="preserve"> </w:t>
      </w:r>
      <w:proofErr w:type="spellStart"/>
      <w:r w:rsidRPr="00CD4A49">
        <w:rPr>
          <w:sz w:val="20"/>
        </w:rPr>
        <w:t>pelos</w:t>
      </w:r>
      <w:proofErr w:type="spellEnd"/>
      <w:r w:rsidRPr="00CD4A49">
        <w:rPr>
          <w:sz w:val="20"/>
        </w:rPr>
        <w:t xml:space="preserve"> </w:t>
      </w:r>
      <w:proofErr w:type="spellStart"/>
      <w:r w:rsidRPr="00CD4A49">
        <w:rPr>
          <w:sz w:val="20"/>
        </w:rPr>
        <w:t>autores</w:t>
      </w:r>
      <w:proofErr w:type="spellEnd"/>
      <w:r w:rsidRPr="00CD4A49">
        <w:rPr>
          <w:sz w:val="20"/>
        </w:rPr>
        <w:t xml:space="preserve">. </w:t>
      </w:r>
    </w:p>
    <w:p w14:paraId="5495A101" w14:textId="77777777" w:rsidR="00417865" w:rsidRPr="00417865" w:rsidRDefault="00417865" w:rsidP="00CD4A49">
      <w:pPr>
        <w:jc w:val="both"/>
        <w:rPr>
          <w:sz w:val="18"/>
          <w:szCs w:val="18"/>
        </w:rPr>
      </w:pPr>
    </w:p>
    <w:p w14:paraId="0B4E7F61" w14:textId="77777777" w:rsidR="00417865" w:rsidRPr="00936ED9" w:rsidRDefault="00417865" w:rsidP="00417865">
      <w:pPr>
        <w:spacing w:after="240"/>
        <w:jc w:val="center"/>
        <w:rPr>
          <w:sz w:val="20"/>
          <w:lang w:val="pt-BR"/>
        </w:rPr>
      </w:pPr>
      <w:r w:rsidRPr="00936ED9">
        <w:rPr>
          <w:sz w:val="20"/>
          <w:lang w:val="pt-BR"/>
        </w:rPr>
        <w:t>Tabela 3: Contagem veicular na Visconde de Porto Alegre</w:t>
      </w:r>
    </w:p>
    <w:tbl>
      <w:tblPr>
        <w:tblStyle w:val="TabelaSimples2"/>
        <w:tblW w:w="7938" w:type="dxa"/>
        <w:jc w:val="center"/>
        <w:tblLook w:val="04A0" w:firstRow="1" w:lastRow="0" w:firstColumn="1" w:lastColumn="0" w:noHBand="0" w:noVBand="1"/>
      </w:tblPr>
      <w:tblGrid>
        <w:gridCol w:w="1791"/>
        <w:gridCol w:w="1500"/>
        <w:gridCol w:w="954"/>
        <w:gridCol w:w="1674"/>
        <w:gridCol w:w="2019"/>
      </w:tblGrid>
      <w:tr w:rsidR="00417865" w:rsidRPr="00417865" w14:paraId="799546CD" w14:textId="77777777" w:rsidTr="00936ED9">
        <w:trPr>
          <w:cnfStyle w:val="100000000000" w:firstRow="1" w:lastRow="0" w:firstColumn="0" w:lastColumn="0" w:oddVBand="0" w:evenVBand="0" w:oddHBand="0" w:evenHBand="0" w:firstRowFirstColumn="0" w:firstRowLastColumn="0" w:lastRowFirstColumn="0" w:lastRowLastColumn="0"/>
          <w:trHeight w:val="785"/>
          <w:jc w:val="center"/>
        </w:trPr>
        <w:tc>
          <w:tcPr>
            <w:cnfStyle w:val="001000000000" w:firstRow="0" w:lastRow="0" w:firstColumn="1" w:lastColumn="0" w:oddVBand="0" w:evenVBand="0" w:oddHBand="0" w:evenHBand="0" w:firstRowFirstColumn="0" w:firstRowLastColumn="0" w:lastRowFirstColumn="0" w:lastRowLastColumn="0"/>
            <w:tcW w:w="1791" w:type="dxa"/>
            <w:tcBorders>
              <w:top w:val="single" w:sz="18" w:space="0" w:color="000000" w:themeColor="text1"/>
              <w:bottom w:val="single" w:sz="18" w:space="0" w:color="000000" w:themeColor="text1"/>
            </w:tcBorders>
            <w:vAlign w:val="center"/>
            <w:hideMark/>
          </w:tcPr>
          <w:p w14:paraId="5D7961CF" w14:textId="77777777" w:rsidR="00417865" w:rsidRPr="00417865" w:rsidRDefault="00417865" w:rsidP="00417865">
            <w:pPr>
              <w:jc w:val="center"/>
              <w:rPr>
                <w:color w:val="000000"/>
                <w:sz w:val="20"/>
              </w:rPr>
            </w:pPr>
            <w:proofErr w:type="spellStart"/>
            <w:r w:rsidRPr="00417865">
              <w:rPr>
                <w:color w:val="000000"/>
                <w:sz w:val="20"/>
              </w:rPr>
              <w:t>Horário</w:t>
            </w:r>
            <w:proofErr w:type="spellEnd"/>
            <w:r w:rsidRPr="00417865">
              <w:rPr>
                <w:color w:val="000000"/>
                <w:sz w:val="20"/>
              </w:rPr>
              <w:t xml:space="preserve"> a </w:t>
            </w:r>
            <w:proofErr w:type="spellStart"/>
            <w:r w:rsidRPr="00417865">
              <w:rPr>
                <w:color w:val="000000"/>
                <w:sz w:val="20"/>
              </w:rPr>
              <w:t>cada</w:t>
            </w:r>
            <w:proofErr w:type="spellEnd"/>
            <w:r w:rsidRPr="00417865">
              <w:rPr>
                <w:color w:val="000000"/>
                <w:sz w:val="20"/>
              </w:rPr>
              <w:t xml:space="preserve"> 15 min.</w:t>
            </w:r>
          </w:p>
        </w:tc>
        <w:tc>
          <w:tcPr>
            <w:tcW w:w="1500" w:type="dxa"/>
            <w:tcBorders>
              <w:top w:val="single" w:sz="18" w:space="0" w:color="000000" w:themeColor="text1"/>
              <w:bottom w:val="single" w:sz="18" w:space="0" w:color="000000" w:themeColor="text1"/>
            </w:tcBorders>
            <w:vAlign w:val="center"/>
            <w:hideMark/>
          </w:tcPr>
          <w:p w14:paraId="14AA3D89"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rPr>
            </w:pPr>
            <w:proofErr w:type="spellStart"/>
            <w:r w:rsidRPr="00417865">
              <w:rPr>
                <w:color w:val="000000"/>
                <w:sz w:val="20"/>
              </w:rPr>
              <w:t>Contagem</w:t>
            </w:r>
            <w:proofErr w:type="spellEnd"/>
          </w:p>
        </w:tc>
        <w:tc>
          <w:tcPr>
            <w:tcW w:w="954" w:type="dxa"/>
            <w:tcBorders>
              <w:top w:val="single" w:sz="18" w:space="0" w:color="000000" w:themeColor="text1"/>
              <w:bottom w:val="single" w:sz="18" w:space="0" w:color="000000" w:themeColor="text1"/>
            </w:tcBorders>
            <w:vAlign w:val="center"/>
            <w:hideMark/>
          </w:tcPr>
          <w:p w14:paraId="6207637F"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rPr>
            </w:pPr>
            <w:proofErr w:type="spellStart"/>
            <w:r w:rsidRPr="00417865">
              <w:rPr>
                <w:color w:val="000000"/>
                <w:sz w:val="20"/>
              </w:rPr>
              <w:t>Parou</w:t>
            </w:r>
            <w:proofErr w:type="spellEnd"/>
          </w:p>
        </w:tc>
        <w:tc>
          <w:tcPr>
            <w:tcW w:w="1674" w:type="dxa"/>
            <w:tcBorders>
              <w:top w:val="single" w:sz="18" w:space="0" w:color="000000" w:themeColor="text1"/>
              <w:bottom w:val="single" w:sz="18" w:space="0" w:color="000000" w:themeColor="text1"/>
            </w:tcBorders>
            <w:vAlign w:val="center"/>
            <w:hideMark/>
          </w:tcPr>
          <w:p w14:paraId="5080D7DA"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rPr>
            </w:pPr>
            <w:proofErr w:type="spellStart"/>
            <w:r w:rsidRPr="00417865">
              <w:rPr>
                <w:color w:val="000000"/>
                <w:sz w:val="20"/>
              </w:rPr>
              <w:t>Estacionou</w:t>
            </w:r>
            <w:proofErr w:type="spellEnd"/>
          </w:p>
        </w:tc>
        <w:tc>
          <w:tcPr>
            <w:tcW w:w="2019" w:type="dxa"/>
            <w:tcBorders>
              <w:top w:val="single" w:sz="18" w:space="0" w:color="000000" w:themeColor="text1"/>
              <w:bottom w:val="single" w:sz="18" w:space="0" w:color="000000" w:themeColor="text1"/>
            </w:tcBorders>
            <w:vAlign w:val="center"/>
            <w:hideMark/>
          </w:tcPr>
          <w:p w14:paraId="79E5A26E" w14:textId="77777777" w:rsidR="00417865" w:rsidRPr="00417865" w:rsidRDefault="00417865" w:rsidP="00417865">
            <w:pPr>
              <w:jc w:val="center"/>
              <w:cnfStyle w:val="100000000000" w:firstRow="1" w:lastRow="0" w:firstColumn="0" w:lastColumn="0" w:oddVBand="0" w:evenVBand="0" w:oddHBand="0" w:evenHBand="0" w:firstRowFirstColumn="0" w:firstRowLastColumn="0" w:lastRowFirstColumn="0" w:lastRowLastColumn="0"/>
              <w:rPr>
                <w:color w:val="000000"/>
                <w:sz w:val="20"/>
              </w:rPr>
            </w:pPr>
            <w:proofErr w:type="spellStart"/>
            <w:r w:rsidRPr="00417865">
              <w:rPr>
                <w:color w:val="000000"/>
                <w:sz w:val="20"/>
              </w:rPr>
              <w:t>Parou</w:t>
            </w:r>
            <w:proofErr w:type="spellEnd"/>
            <w:r w:rsidRPr="00417865">
              <w:rPr>
                <w:color w:val="000000"/>
                <w:sz w:val="20"/>
              </w:rPr>
              <w:t xml:space="preserve"> + </w:t>
            </w:r>
            <w:proofErr w:type="spellStart"/>
            <w:r w:rsidRPr="00417865">
              <w:rPr>
                <w:color w:val="000000"/>
                <w:sz w:val="20"/>
              </w:rPr>
              <w:t>Estacionou</w:t>
            </w:r>
            <w:proofErr w:type="spellEnd"/>
          </w:p>
        </w:tc>
      </w:tr>
      <w:tr w:rsidR="00417865" w:rsidRPr="00417865" w14:paraId="28586012" w14:textId="77777777" w:rsidTr="00936ED9">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791" w:type="dxa"/>
            <w:tcBorders>
              <w:top w:val="single" w:sz="18" w:space="0" w:color="000000" w:themeColor="text1"/>
            </w:tcBorders>
            <w:noWrap/>
            <w:hideMark/>
          </w:tcPr>
          <w:p w14:paraId="6ECA1597" w14:textId="77777777" w:rsidR="00417865" w:rsidRPr="00417865" w:rsidRDefault="00417865" w:rsidP="00417865">
            <w:pPr>
              <w:jc w:val="center"/>
              <w:rPr>
                <w:color w:val="000000"/>
                <w:sz w:val="20"/>
              </w:rPr>
            </w:pPr>
            <w:r w:rsidRPr="00417865">
              <w:rPr>
                <w:color w:val="000000"/>
                <w:sz w:val="20"/>
              </w:rPr>
              <w:t>18:15 - 18:30</w:t>
            </w:r>
          </w:p>
        </w:tc>
        <w:tc>
          <w:tcPr>
            <w:tcW w:w="1500" w:type="dxa"/>
            <w:tcBorders>
              <w:top w:val="single" w:sz="18" w:space="0" w:color="000000" w:themeColor="text1"/>
            </w:tcBorders>
            <w:noWrap/>
            <w:hideMark/>
          </w:tcPr>
          <w:p w14:paraId="59AB2A14"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79</w:t>
            </w:r>
          </w:p>
        </w:tc>
        <w:tc>
          <w:tcPr>
            <w:tcW w:w="954" w:type="dxa"/>
            <w:tcBorders>
              <w:top w:val="single" w:sz="18" w:space="0" w:color="000000" w:themeColor="text1"/>
            </w:tcBorders>
            <w:noWrap/>
            <w:hideMark/>
          </w:tcPr>
          <w:p w14:paraId="167A349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8</w:t>
            </w:r>
          </w:p>
        </w:tc>
        <w:tc>
          <w:tcPr>
            <w:tcW w:w="1674" w:type="dxa"/>
            <w:tcBorders>
              <w:top w:val="single" w:sz="18" w:space="0" w:color="000000" w:themeColor="text1"/>
            </w:tcBorders>
            <w:noWrap/>
            <w:hideMark/>
          </w:tcPr>
          <w:p w14:paraId="69400082"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3</w:t>
            </w:r>
          </w:p>
        </w:tc>
        <w:tc>
          <w:tcPr>
            <w:tcW w:w="2019" w:type="dxa"/>
            <w:tcBorders>
              <w:top w:val="single" w:sz="18" w:space="0" w:color="000000" w:themeColor="text1"/>
            </w:tcBorders>
            <w:noWrap/>
            <w:hideMark/>
          </w:tcPr>
          <w:p w14:paraId="576066E6"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11</w:t>
            </w:r>
          </w:p>
        </w:tc>
      </w:tr>
      <w:tr w:rsidR="00417865" w:rsidRPr="00417865" w14:paraId="492A2A93" w14:textId="77777777" w:rsidTr="00936ED9">
        <w:trPr>
          <w:trHeight w:val="314"/>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616A5633" w14:textId="77777777" w:rsidR="00417865" w:rsidRPr="00417865" w:rsidRDefault="00417865" w:rsidP="00417865">
            <w:pPr>
              <w:jc w:val="center"/>
              <w:rPr>
                <w:color w:val="000000"/>
                <w:sz w:val="20"/>
              </w:rPr>
            </w:pPr>
            <w:r w:rsidRPr="00417865">
              <w:rPr>
                <w:color w:val="000000"/>
                <w:sz w:val="20"/>
              </w:rPr>
              <w:t>18:30 - 18:45</w:t>
            </w:r>
          </w:p>
        </w:tc>
        <w:tc>
          <w:tcPr>
            <w:tcW w:w="1500" w:type="dxa"/>
            <w:noWrap/>
            <w:hideMark/>
          </w:tcPr>
          <w:p w14:paraId="4779BD31"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93</w:t>
            </w:r>
          </w:p>
        </w:tc>
        <w:tc>
          <w:tcPr>
            <w:tcW w:w="954" w:type="dxa"/>
            <w:noWrap/>
            <w:hideMark/>
          </w:tcPr>
          <w:p w14:paraId="245BD266"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17</w:t>
            </w:r>
          </w:p>
        </w:tc>
        <w:tc>
          <w:tcPr>
            <w:tcW w:w="1674" w:type="dxa"/>
            <w:noWrap/>
            <w:hideMark/>
          </w:tcPr>
          <w:p w14:paraId="71A36579"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13</w:t>
            </w:r>
          </w:p>
        </w:tc>
        <w:tc>
          <w:tcPr>
            <w:tcW w:w="2019" w:type="dxa"/>
            <w:noWrap/>
            <w:hideMark/>
          </w:tcPr>
          <w:p w14:paraId="2478CBAB"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30</w:t>
            </w:r>
          </w:p>
        </w:tc>
      </w:tr>
      <w:tr w:rsidR="00417865" w:rsidRPr="00417865" w14:paraId="72C4AAD0" w14:textId="77777777" w:rsidTr="00936ED9">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71B01FDE" w14:textId="77777777" w:rsidR="00417865" w:rsidRPr="00417865" w:rsidRDefault="00417865" w:rsidP="00417865">
            <w:pPr>
              <w:jc w:val="center"/>
              <w:rPr>
                <w:color w:val="000000"/>
                <w:sz w:val="20"/>
              </w:rPr>
            </w:pPr>
            <w:r w:rsidRPr="00417865">
              <w:rPr>
                <w:color w:val="000000"/>
                <w:sz w:val="20"/>
              </w:rPr>
              <w:t>18:45 - 19:00</w:t>
            </w:r>
          </w:p>
        </w:tc>
        <w:tc>
          <w:tcPr>
            <w:tcW w:w="1500" w:type="dxa"/>
            <w:noWrap/>
            <w:hideMark/>
          </w:tcPr>
          <w:p w14:paraId="0CC3790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71</w:t>
            </w:r>
          </w:p>
        </w:tc>
        <w:tc>
          <w:tcPr>
            <w:tcW w:w="954" w:type="dxa"/>
            <w:noWrap/>
            <w:hideMark/>
          </w:tcPr>
          <w:p w14:paraId="4206618C"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10</w:t>
            </w:r>
          </w:p>
        </w:tc>
        <w:tc>
          <w:tcPr>
            <w:tcW w:w="1674" w:type="dxa"/>
            <w:noWrap/>
            <w:hideMark/>
          </w:tcPr>
          <w:p w14:paraId="09D9229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6</w:t>
            </w:r>
          </w:p>
        </w:tc>
        <w:tc>
          <w:tcPr>
            <w:tcW w:w="2019" w:type="dxa"/>
            <w:noWrap/>
            <w:hideMark/>
          </w:tcPr>
          <w:p w14:paraId="6A0F9499"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16</w:t>
            </w:r>
          </w:p>
        </w:tc>
      </w:tr>
      <w:tr w:rsidR="00417865" w:rsidRPr="00417865" w14:paraId="0E4C19B3" w14:textId="77777777" w:rsidTr="00936ED9">
        <w:trPr>
          <w:trHeight w:val="327"/>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7DD9E9B7" w14:textId="77777777" w:rsidR="00417865" w:rsidRPr="00417865" w:rsidRDefault="00417865" w:rsidP="00417865">
            <w:pPr>
              <w:jc w:val="center"/>
              <w:rPr>
                <w:color w:val="000000"/>
                <w:sz w:val="20"/>
              </w:rPr>
            </w:pPr>
            <w:r w:rsidRPr="00417865">
              <w:rPr>
                <w:color w:val="000000"/>
                <w:sz w:val="20"/>
              </w:rPr>
              <w:t>19:00 - 19:15</w:t>
            </w:r>
          </w:p>
        </w:tc>
        <w:tc>
          <w:tcPr>
            <w:tcW w:w="1500" w:type="dxa"/>
            <w:noWrap/>
            <w:hideMark/>
          </w:tcPr>
          <w:p w14:paraId="2BE810EF"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170</w:t>
            </w:r>
          </w:p>
        </w:tc>
        <w:tc>
          <w:tcPr>
            <w:tcW w:w="954" w:type="dxa"/>
            <w:noWrap/>
            <w:hideMark/>
          </w:tcPr>
          <w:p w14:paraId="00DE799E"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8</w:t>
            </w:r>
          </w:p>
        </w:tc>
        <w:tc>
          <w:tcPr>
            <w:tcW w:w="1674" w:type="dxa"/>
            <w:noWrap/>
            <w:hideMark/>
          </w:tcPr>
          <w:p w14:paraId="71EC5F3D"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5</w:t>
            </w:r>
          </w:p>
        </w:tc>
        <w:tc>
          <w:tcPr>
            <w:tcW w:w="2019" w:type="dxa"/>
            <w:noWrap/>
            <w:hideMark/>
          </w:tcPr>
          <w:p w14:paraId="140E93E3"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13</w:t>
            </w:r>
          </w:p>
        </w:tc>
      </w:tr>
      <w:tr w:rsidR="00417865" w:rsidRPr="00417865" w14:paraId="61F132D6" w14:textId="77777777" w:rsidTr="00936ED9">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18829E47" w14:textId="77777777" w:rsidR="00417865" w:rsidRPr="00417865" w:rsidRDefault="00417865" w:rsidP="00417865">
            <w:pPr>
              <w:jc w:val="center"/>
              <w:rPr>
                <w:color w:val="000000"/>
                <w:sz w:val="20"/>
              </w:rPr>
            </w:pPr>
            <w:r w:rsidRPr="00417865">
              <w:rPr>
                <w:color w:val="000000"/>
                <w:sz w:val="20"/>
              </w:rPr>
              <w:t>19:15 - 19:30</w:t>
            </w:r>
          </w:p>
        </w:tc>
        <w:tc>
          <w:tcPr>
            <w:tcW w:w="1500" w:type="dxa"/>
            <w:noWrap/>
            <w:hideMark/>
          </w:tcPr>
          <w:p w14:paraId="65FED0C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47</w:t>
            </w:r>
          </w:p>
        </w:tc>
        <w:tc>
          <w:tcPr>
            <w:tcW w:w="954" w:type="dxa"/>
            <w:noWrap/>
            <w:hideMark/>
          </w:tcPr>
          <w:p w14:paraId="7B9B301C"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2</w:t>
            </w:r>
          </w:p>
        </w:tc>
        <w:tc>
          <w:tcPr>
            <w:tcW w:w="1674" w:type="dxa"/>
            <w:noWrap/>
            <w:hideMark/>
          </w:tcPr>
          <w:p w14:paraId="0B91A4A0"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4</w:t>
            </w:r>
          </w:p>
        </w:tc>
        <w:tc>
          <w:tcPr>
            <w:tcW w:w="2019" w:type="dxa"/>
            <w:noWrap/>
            <w:hideMark/>
          </w:tcPr>
          <w:p w14:paraId="6D654ABD"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6</w:t>
            </w:r>
          </w:p>
        </w:tc>
      </w:tr>
      <w:tr w:rsidR="00417865" w:rsidRPr="00417865" w14:paraId="43D487F4" w14:textId="77777777" w:rsidTr="00936ED9">
        <w:trPr>
          <w:trHeight w:val="314"/>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7D383772" w14:textId="77777777" w:rsidR="00417865" w:rsidRPr="00417865" w:rsidRDefault="00417865" w:rsidP="00417865">
            <w:pPr>
              <w:jc w:val="center"/>
              <w:rPr>
                <w:color w:val="000000"/>
                <w:sz w:val="20"/>
              </w:rPr>
            </w:pPr>
            <w:r w:rsidRPr="00417865">
              <w:rPr>
                <w:color w:val="000000"/>
                <w:sz w:val="20"/>
              </w:rPr>
              <w:t>19:30 - 19:45</w:t>
            </w:r>
          </w:p>
        </w:tc>
        <w:tc>
          <w:tcPr>
            <w:tcW w:w="1500" w:type="dxa"/>
            <w:noWrap/>
            <w:hideMark/>
          </w:tcPr>
          <w:p w14:paraId="70B40C58"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36</w:t>
            </w:r>
          </w:p>
        </w:tc>
        <w:tc>
          <w:tcPr>
            <w:tcW w:w="954" w:type="dxa"/>
            <w:noWrap/>
            <w:hideMark/>
          </w:tcPr>
          <w:p w14:paraId="464A7697"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2</w:t>
            </w:r>
          </w:p>
        </w:tc>
        <w:tc>
          <w:tcPr>
            <w:tcW w:w="1674" w:type="dxa"/>
            <w:noWrap/>
            <w:hideMark/>
          </w:tcPr>
          <w:p w14:paraId="31B46AFA"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4</w:t>
            </w:r>
          </w:p>
        </w:tc>
        <w:tc>
          <w:tcPr>
            <w:tcW w:w="2019" w:type="dxa"/>
            <w:noWrap/>
            <w:hideMark/>
          </w:tcPr>
          <w:p w14:paraId="7178D6C7"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6</w:t>
            </w:r>
          </w:p>
        </w:tc>
      </w:tr>
      <w:tr w:rsidR="00417865" w:rsidRPr="00417865" w14:paraId="402005F2" w14:textId="77777777" w:rsidTr="00936ED9">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4B7078A0" w14:textId="77777777" w:rsidR="00417865" w:rsidRPr="00417865" w:rsidRDefault="00417865" w:rsidP="00417865">
            <w:pPr>
              <w:jc w:val="center"/>
              <w:rPr>
                <w:color w:val="000000"/>
                <w:sz w:val="20"/>
              </w:rPr>
            </w:pPr>
            <w:r w:rsidRPr="00417865">
              <w:rPr>
                <w:color w:val="000000"/>
                <w:sz w:val="20"/>
              </w:rPr>
              <w:t>19:45 - 20:00</w:t>
            </w:r>
          </w:p>
        </w:tc>
        <w:tc>
          <w:tcPr>
            <w:tcW w:w="1500" w:type="dxa"/>
            <w:noWrap/>
            <w:hideMark/>
          </w:tcPr>
          <w:p w14:paraId="34D07BED"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52</w:t>
            </w:r>
          </w:p>
        </w:tc>
        <w:tc>
          <w:tcPr>
            <w:tcW w:w="954" w:type="dxa"/>
            <w:noWrap/>
            <w:hideMark/>
          </w:tcPr>
          <w:p w14:paraId="3D2EF8DB"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5</w:t>
            </w:r>
          </w:p>
        </w:tc>
        <w:tc>
          <w:tcPr>
            <w:tcW w:w="1674" w:type="dxa"/>
            <w:noWrap/>
            <w:hideMark/>
          </w:tcPr>
          <w:p w14:paraId="4E0DC785"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4</w:t>
            </w:r>
          </w:p>
        </w:tc>
        <w:tc>
          <w:tcPr>
            <w:tcW w:w="2019" w:type="dxa"/>
            <w:noWrap/>
            <w:hideMark/>
          </w:tcPr>
          <w:p w14:paraId="01AC0A9E"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9</w:t>
            </w:r>
          </w:p>
        </w:tc>
      </w:tr>
      <w:tr w:rsidR="00417865" w:rsidRPr="00417865" w14:paraId="18DE73D1" w14:textId="77777777" w:rsidTr="00936ED9">
        <w:trPr>
          <w:trHeight w:val="327"/>
          <w:jc w:val="center"/>
        </w:trPr>
        <w:tc>
          <w:tcPr>
            <w:cnfStyle w:val="001000000000" w:firstRow="0" w:lastRow="0" w:firstColumn="1" w:lastColumn="0" w:oddVBand="0" w:evenVBand="0" w:oddHBand="0" w:evenHBand="0" w:firstRowFirstColumn="0" w:firstRowLastColumn="0" w:lastRowFirstColumn="0" w:lastRowLastColumn="0"/>
            <w:tcW w:w="1791" w:type="dxa"/>
            <w:tcBorders>
              <w:bottom w:val="single" w:sz="18" w:space="0" w:color="000000" w:themeColor="text1"/>
            </w:tcBorders>
            <w:noWrap/>
            <w:hideMark/>
          </w:tcPr>
          <w:p w14:paraId="2790F7C0" w14:textId="77777777" w:rsidR="00417865" w:rsidRPr="00417865" w:rsidRDefault="00417865" w:rsidP="00417865">
            <w:pPr>
              <w:jc w:val="center"/>
              <w:rPr>
                <w:color w:val="000000"/>
                <w:sz w:val="20"/>
              </w:rPr>
            </w:pPr>
            <w:r w:rsidRPr="00417865">
              <w:rPr>
                <w:color w:val="000000"/>
                <w:sz w:val="20"/>
              </w:rPr>
              <w:t>20:00 - 20:15</w:t>
            </w:r>
          </w:p>
        </w:tc>
        <w:tc>
          <w:tcPr>
            <w:tcW w:w="1500" w:type="dxa"/>
            <w:tcBorders>
              <w:bottom w:val="single" w:sz="18" w:space="0" w:color="000000" w:themeColor="text1"/>
            </w:tcBorders>
            <w:noWrap/>
            <w:hideMark/>
          </w:tcPr>
          <w:p w14:paraId="7F7D3B44"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29</w:t>
            </w:r>
          </w:p>
        </w:tc>
        <w:tc>
          <w:tcPr>
            <w:tcW w:w="954" w:type="dxa"/>
            <w:tcBorders>
              <w:bottom w:val="single" w:sz="18" w:space="0" w:color="000000" w:themeColor="text1"/>
            </w:tcBorders>
            <w:noWrap/>
            <w:hideMark/>
          </w:tcPr>
          <w:p w14:paraId="02579A97"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3</w:t>
            </w:r>
          </w:p>
        </w:tc>
        <w:tc>
          <w:tcPr>
            <w:tcW w:w="1674" w:type="dxa"/>
            <w:tcBorders>
              <w:bottom w:val="single" w:sz="18" w:space="0" w:color="000000" w:themeColor="text1"/>
            </w:tcBorders>
            <w:noWrap/>
            <w:hideMark/>
          </w:tcPr>
          <w:p w14:paraId="75D24222"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2</w:t>
            </w:r>
          </w:p>
        </w:tc>
        <w:tc>
          <w:tcPr>
            <w:tcW w:w="2019" w:type="dxa"/>
            <w:tcBorders>
              <w:bottom w:val="single" w:sz="18" w:space="0" w:color="000000" w:themeColor="text1"/>
            </w:tcBorders>
            <w:noWrap/>
            <w:hideMark/>
          </w:tcPr>
          <w:p w14:paraId="1E4003CC" w14:textId="77777777" w:rsidR="00417865" w:rsidRPr="00417865" w:rsidRDefault="00417865" w:rsidP="0041786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417865">
              <w:rPr>
                <w:color w:val="000000"/>
                <w:sz w:val="20"/>
              </w:rPr>
              <w:t>5</w:t>
            </w:r>
          </w:p>
        </w:tc>
      </w:tr>
      <w:tr w:rsidR="00417865" w:rsidRPr="00417865" w14:paraId="71D2A2C6" w14:textId="77777777" w:rsidTr="00936ED9">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791" w:type="dxa"/>
            <w:tcBorders>
              <w:top w:val="single" w:sz="18" w:space="0" w:color="000000" w:themeColor="text1"/>
              <w:bottom w:val="single" w:sz="18" w:space="0" w:color="000000" w:themeColor="text1"/>
            </w:tcBorders>
            <w:noWrap/>
            <w:hideMark/>
          </w:tcPr>
          <w:p w14:paraId="290DD013" w14:textId="77777777" w:rsidR="00417865" w:rsidRPr="00417865" w:rsidRDefault="00417865" w:rsidP="00417865">
            <w:pPr>
              <w:jc w:val="center"/>
              <w:rPr>
                <w:color w:val="000000"/>
                <w:sz w:val="20"/>
              </w:rPr>
            </w:pPr>
            <w:r w:rsidRPr="00417865">
              <w:rPr>
                <w:color w:val="000000"/>
                <w:sz w:val="20"/>
              </w:rPr>
              <w:t>TOTAL</w:t>
            </w:r>
          </w:p>
        </w:tc>
        <w:tc>
          <w:tcPr>
            <w:tcW w:w="1500" w:type="dxa"/>
            <w:tcBorders>
              <w:top w:val="single" w:sz="18" w:space="0" w:color="000000" w:themeColor="text1"/>
              <w:bottom w:val="single" w:sz="18" w:space="0" w:color="000000" w:themeColor="text1"/>
            </w:tcBorders>
            <w:noWrap/>
            <w:hideMark/>
          </w:tcPr>
          <w:p w14:paraId="11F436C2"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577</w:t>
            </w:r>
          </w:p>
        </w:tc>
        <w:tc>
          <w:tcPr>
            <w:tcW w:w="954" w:type="dxa"/>
            <w:tcBorders>
              <w:top w:val="single" w:sz="18" w:space="0" w:color="000000" w:themeColor="text1"/>
              <w:bottom w:val="single" w:sz="18" w:space="0" w:color="000000" w:themeColor="text1"/>
            </w:tcBorders>
            <w:noWrap/>
            <w:hideMark/>
          </w:tcPr>
          <w:p w14:paraId="60E55963"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55</w:t>
            </w:r>
          </w:p>
        </w:tc>
        <w:tc>
          <w:tcPr>
            <w:tcW w:w="1674" w:type="dxa"/>
            <w:tcBorders>
              <w:top w:val="single" w:sz="18" w:space="0" w:color="000000" w:themeColor="text1"/>
              <w:bottom w:val="single" w:sz="18" w:space="0" w:color="000000" w:themeColor="text1"/>
            </w:tcBorders>
            <w:noWrap/>
            <w:hideMark/>
          </w:tcPr>
          <w:p w14:paraId="59A30B8C"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41</w:t>
            </w:r>
          </w:p>
        </w:tc>
        <w:tc>
          <w:tcPr>
            <w:tcW w:w="2019" w:type="dxa"/>
            <w:tcBorders>
              <w:top w:val="single" w:sz="18" w:space="0" w:color="000000" w:themeColor="text1"/>
              <w:bottom w:val="single" w:sz="18" w:space="0" w:color="000000" w:themeColor="text1"/>
            </w:tcBorders>
            <w:noWrap/>
            <w:hideMark/>
          </w:tcPr>
          <w:p w14:paraId="5EFED8DE" w14:textId="77777777" w:rsidR="00417865" w:rsidRPr="00417865" w:rsidRDefault="00417865" w:rsidP="00417865">
            <w:pPr>
              <w:jc w:val="center"/>
              <w:cnfStyle w:val="000000100000" w:firstRow="0" w:lastRow="0" w:firstColumn="0" w:lastColumn="0" w:oddVBand="0" w:evenVBand="0" w:oddHBand="1" w:evenHBand="0" w:firstRowFirstColumn="0" w:firstRowLastColumn="0" w:lastRowFirstColumn="0" w:lastRowLastColumn="0"/>
              <w:rPr>
                <w:color w:val="000000"/>
                <w:sz w:val="20"/>
              </w:rPr>
            </w:pPr>
            <w:r w:rsidRPr="00417865">
              <w:rPr>
                <w:color w:val="000000"/>
                <w:sz w:val="20"/>
              </w:rPr>
              <w:t>96</w:t>
            </w:r>
          </w:p>
        </w:tc>
      </w:tr>
    </w:tbl>
    <w:p w14:paraId="6D307F2B" w14:textId="0572D58D" w:rsidR="00CD4A49" w:rsidRDefault="00CD4A49" w:rsidP="00CD4A49">
      <w:pPr>
        <w:spacing w:after="120"/>
        <w:ind w:firstLine="709"/>
        <w:rPr>
          <w:sz w:val="20"/>
        </w:rPr>
      </w:pPr>
      <w:proofErr w:type="spellStart"/>
      <w:r w:rsidRPr="00CD4A49">
        <w:rPr>
          <w:sz w:val="20"/>
        </w:rPr>
        <w:t>Fonte</w:t>
      </w:r>
      <w:proofErr w:type="spellEnd"/>
      <w:r w:rsidRPr="00CD4A49">
        <w:rPr>
          <w:sz w:val="20"/>
        </w:rPr>
        <w:t xml:space="preserve">: </w:t>
      </w:r>
      <w:proofErr w:type="spellStart"/>
      <w:r w:rsidRPr="00CD4A49">
        <w:rPr>
          <w:sz w:val="20"/>
        </w:rPr>
        <w:t>elaborado</w:t>
      </w:r>
      <w:proofErr w:type="spellEnd"/>
      <w:r w:rsidRPr="00CD4A49">
        <w:rPr>
          <w:sz w:val="20"/>
        </w:rPr>
        <w:t xml:space="preserve"> </w:t>
      </w:r>
      <w:proofErr w:type="spellStart"/>
      <w:r w:rsidRPr="00CD4A49">
        <w:rPr>
          <w:sz w:val="20"/>
        </w:rPr>
        <w:t>pelos</w:t>
      </w:r>
      <w:proofErr w:type="spellEnd"/>
      <w:r w:rsidRPr="00CD4A49">
        <w:rPr>
          <w:sz w:val="20"/>
        </w:rPr>
        <w:t xml:space="preserve"> </w:t>
      </w:r>
      <w:proofErr w:type="spellStart"/>
      <w:r w:rsidRPr="00CD4A49">
        <w:rPr>
          <w:sz w:val="20"/>
        </w:rPr>
        <w:t>autores</w:t>
      </w:r>
      <w:proofErr w:type="spellEnd"/>
      <w:r w:rsidRPr="00CD4A49">
        <w:rPr>
          <w:sz w:val="20"/>
        </w:rPr>
        <w:t xml:space="preserve">. </w:t>
      </w:r>
    </w:p>
    <w:p w14:paraId="666D3E5F" w14:textId="77777777" w:rsidR="00994CAA" w:rsidRPr="00CD4A49" w:rsidRDefault="00994CAA" w:rsidP="00CD4A49">
      <w:pPr>
        <w:spacing w:after="120"/>
        <w:ind w:firstLine="709"/>
        <w:rPr>
          <w:sz w:val="20"/>
        </w:rPr>
      </w:pPr>
    </w:p>
    <w:p w14:paraId="6D0B442D" w14:textId="5CDA2DF2" w:rsidR="00417865" w:rsidRDefault="003240B9" w:rsidP="00421130">
      <w:pPr>
        <w:spacing w:after="120"/>
        <w:ind w:firstLine="284"/>
        <w:jc w:val="both"/>
        <w:rPr>
          <w:szCs w:val="24"/>
          <w:lang w:val="pt-BR"/>
        </w:rPr>
      </w:pPr>
      <w:r w:rsidRPr="003240B9">
        <w:rPr>
          <w:szCs w:val="24"/>
          <w:lang w:val="pt-BR"/>
        </w:rPr>
        <w:lastRenderedPageBreak/>
        <w:t>Com base na contagem de veículos, é possível obter o Fator Hora Pico (FHP), utilizado para estimar a demanda de tráfego em diferentes horários do dia. O primeiro passo para calcular o FHP é identificar o maior valor de contagem veicular nos intervalos de uma hora, esse valor representa o pico de demanda de tráfego. Em seguida, esse valor é multiplicado por quatro, elevando a contagem. Em conclusão, dividiu-se esse valor pela soma total das contagens no intervalo analisado. O FHP deve ser calculado através da Equação 1.</w:t>
      </w:r>
    </w:p>
    <w:p w14:paraId="5489FB58" w14:textId="77777777" w:rsidR="006E0FAC" w:rsidRDefault="006E0FAC" w:rsidP="00421130">
      <w:pPr>
        <w:spacing w:after="120"/>
        <w:ind w:firstLine="284"/>
        <w:jc w:val="both"/>
        <w:rPr>
          <w:szCs w:val="24"/>
          <w:lang w:val="pt-BR"/>
        </w:rPr>
      </w:pPr>
    </w:p>
    <w:tbl>
      <w:tblPr>
        <w:tblW w:w="0" w:type="auto"/>
        <w:tblLook w:val="04A0" w:firstRow="1" w:lastRow="0" w:firstColumn="1" w:lastColumn="0" w:noHBand="0" w:noVBand="1"/>
      </w:tblPr>
      <w:tblGrid>
        <w:gridCol w:w="8075"/>
        <w:gridCol w:w="510"/>
      </w:tblGrid>
      <w:tr w:rsidR="00575335" w:rsidRPr="0049479C" w14:paraId="7A7DD98D" w14:textId="77777777" w:rsidTr="00ED34E9">
        <w:tc>
          <w:tcPr>
            <w:tcW w:w="8075" w:type="dxa"/>
            <w:shd w:val="clear" w:color="auto" w:fill="auto"/>
          </w:tcPr>
          <w:tbl>
            <w:tblPr>
              <w:tblW w:w="0" w:type="auto"/>
              <w:tblLook w:val="04A0" w:firstRow="1" w:lastRow="0" w:firstColumn="1" w:lastColumn="0" w:noHBand="0" w:noVBand="1"/>
            </w:tblPr>
            <w:tblGrid>
              <w:gridCol w:w="5827"/>
              <w:gridCol w:w="1016"/>
              <w:gridCol w:w="1016"/>
            </w:tblGrid>
            <w:tr w:rsidR="006E0FAC" w:rsidRPr="003240B9" w14:paraId="7150FF54" w14:textId="3BC672DF" w:rsidTr="006E0FAC">
              <w:tc>
                <w:tcPr>
                  <w:tcW w:w="5827" w:type="dxa"/>
                  <w:shd w:val="clear" w:color="auto" w:fill="auto"/>
                </w:tcPr>
                <w:p w14:paraId="278C9426" w14:textId="77777777" w:rsidR="006E0FAC" w:rsidRPr="003240B9" w:rsidRDefault="006E0FAC" w:rsidP="003240B9">
                  <w:pPr>
                    <w:spacing w:line="360" w:lineRule="auto"/>
                    <w:ind w:firstLine="709"/>
                    <w:rPr>
                      <w:szCs w:val="24"/>
                    </w:rPr>
                  </w:pPr>
                  <m:oMathPara>
                    <m:oMathParaPr>
                      <m:jc m:val="left"/>
                    </m:oMathParaPr>
                    <m:oMath>
                      <m:r>
                        <w:rPr>
                          <w:rFonts w:ascii="Cambria Math" w:hAnsi="Cambria Math"/>
                          <w:szCs w:val="24"/>
                        </w:rPr>
                        <m:t>FHP=</m:t>
                      </m:r>
                      <m:f>
                        <m:fPr>
                          <m:ctrlPr>
                            <w:rPr>
                              <w:rFonts w:ascii="Cambria Math" w:hAnsi="Cambria Math"/>
                              <w:i/>
                              <w:szCs w:val="24"/>
                            </w:rPr>
                          </m:ctrlPr>
                        </m:fPr>
                        <m:num>
                          <m:r>
                            <w:rPr>
                              <w:rFonts w:ascii="Cambria Math" w:hAnsi="Cambria Math"/>
                              <w:szCs w:val="24"/>
                            </w:rPr>
                            <m:t>S</m:t>
                          </m:r>
                        </m:num>
                        <m:den>
                          <m:r>
                            <w:rPr>
                              <w:rFonts w:ascii="Cambria Math" w:hAnsi="Cambria Math"/>
                              <w:szCs w:val="24"/>
                            </w:rPr>
                            <m:t>4*</m:t>
                          </m:r>
                          <m:sSub>
                            <m:sSubPr>
                              <m:ctrlPr>
                                <w:rPr>
                                  <w:rFonts w:ascii="Cambria Math" w:hAnsi="Cambria Math"/>
                                  <w:i/>
                                  <w:szCs w:val="24"/>
                                  <w:lang w:val="pt-BR"/>
                                </w:rPr>
                              </m:ctrlPr>
                            </m:sSubPr>
                            <m:e>
                              <m:r>
                                <w:rPr>
                                  <w:rFonts w:ascii="Cambria Math" w:hAnsi="Cambria Math"/>
                                  <w:szCs w:val="24"/>
                                  <w:lang w:val="pt-BR"/>
                                </w:rPr>
                                <m:t>V</m:t>
                              </m:r>
                            </m:e>
                            <m:sub>
                              <m:r>
                                <w:rPr>
                                  <w:rFonts w:ascii="Cambria Math" w:hAnsi="Cambria Math"/>
                                  <w:szCs w:val="24"/>
                                  <w:lang w:val="pt-BR"/>
                                </w:rPr>
                                <m:t>15</m:t>
                              </m:r>
                            </m:sub>
                          </m:sSub>
                        </m:den>
                      </m:f>
                    </m:oMath>
                  </m:oMathPara>
                </w:p>
              </w:tc>
              <w:tc>
                <w:tcPr>
                  <w:tcW w:w="1016" w:type="dxa"/>
                  <w:shd w:val="clear" w:color="auto" w:fill="auto"/>
                  <w:vAlign w:val="center"/>
                </w:tcPr>
                <w:p w14:paraId="571C3CB0" w14:textId="6783F847" w:rsidR="006E0FAC" w:rsidRPr="003240B9" w:rsidRDefault="006E0FAC" w:rsidP="003240B9">
                  <w:pPr>
                    <w:spacing w:line="360" w:lineRule="auto"/>
                    <w:rPr>
                      <w:szCs w:val="24"/>
                    </w:rPr>
                  </w:pPr>
                </w:p>
              </w:tc>
              <w:tc>
                <w:tcPr>
                  <w:tcW w:w="1016" w:type="dxa"/>
                </w:tcPr>
                <w:p w14:paraId="47319766" w14:textId="77777777" w:rsidR="006E0FAC" w:rsidRPr="003240B9" w:rsidRDefault="006E0FAC" w:rsidP="003240B9">
                  <w:pPr>
                    <w:spacing w:line="360" w:lineRule="auto"/>
                    <w:rPr>
                      <w:szCs w:val="24"/>
                    </w:rPr>
                  </w:pPr>
                </w:p>
              </w:tc>
            </w:tr>
          </w:tbl>
          <w:p w14:paraId="070B6CCE" w14:textId="4EEAFA2E" w:rsidR="00575335" w:rsidRPr="002A3CB7" w:rsidRDefault="00575335" w:rsidP="00ED34E9">
            <w:pPr>
              <w:rPr>
                <w:szCs w:val="24"/>
              </w:rPr>
            </w:pPr>
          </w:p>
        </w:tc>
        <w:tc>
          <w:tcPr>
            <w:tcW w:w="510" w:type="dxa"/>
            <w:shd w:val="clear" w:color="auto" w:fill="auto"/>
            <w:vAlign w:val="center"/>
          </w:tcPr>
          <w:p w14:paraId="5C59C23F" w14:textId="77777777" w:rsidR="00575335" w:rsidRPr="0049479C" w:rsidRDefault="00575335" w:rsidP="00ED34E9">
            <w:pPr>
              <w:jc w:val="right"/>
              <w:rPr>
                <w:szCs w:val="24"/>
              </w:rPr>
            </w:pPr>
            <w:r w:rsidRPr="0049479C">
              <w:rPr>
                <w:szCs w:val="24"/>
              </w:rPr>
              <w:t>(1)</w:t>
            </w:r>
          </w:p>
        </w:tc>
      </w:tr>
    </w:tbl>
    <w:p w14:paraId="7342D834" w14:textId="77777777" w:rsidR="00994CAA" w:rsidRDefault="00994CAA" w:rsidP="003240B9">
      <w:pPr>
        <w:spacing w:after="120"/>
        <w:rPr>
          <w:szCs w:val="24"/>
          <w:lang w:val="pt-BR"/>
        </w:rPr>
      </w:pPr>
    </w:p>
    <w:p w14:paraId="38D2FDDA" w14:textId="77777777" w:rsidR="003240B9" w:rsidRPr="00994CAA" w:rsidRDefault="003240B9" w:rsidP="003240B9">
      <w:pPr>
        <w:spacing w:after="120"/>
        <w:rPr>
          <w:szCs w:val="24"/>
          <w:lang w:val="pt-BR"/>
        </w:rPr>
      </w:pPr>
      <w:r w:rsidRPr="00994CAA">
        <w:rPr>
          <w:szCs w:val="24"/>
          <w:lang w:val="pt-BR"/>
        </w:rPr>
        <w:t>FPH: fator de hora pico;</w:t>
      </w:r>
    </w:p>
    <w:p w14:paraId="116160DA" w14:textId="77777777" w:rsidR="003240B9" w:rsidRPr="00994CAA" w:rsidRDefault="003240B9" w:rsidP="003240B9">
      <w:pPr>
        <w:spacing w:after="120"/>
        <w:rPr>
          <w:szCs w:val="24"/>
          <w:lang w:val="pt-BR"/>
        </w:rPr>
      </w:pPr>
      <w:r w:rsidRPr="00994CAA">
        <w:rPr>
          <w:szCs w:val="24"/>
          <w:lang w:val="pt-BR"/>
        </w:rPr>
        <w:t>S: volume da hora de pico em veículos/hora;</w:t>
      </w:r>
    </w:p>
    <w:p w14:paraId="4910014A" w14:textId="12F3ABEA" w:rsidR="00575335" w:rsidRPr="00994CAA" w:rsidRDefault="004E4D48" w:rsidP="003240B9">
      <w:pPr>
        <w:spacing w:after="120"/>
        <w:rPr>
          <w:szCs w:val="24"/>
          <w:lang w:val="pt-BR"/>
        </w:rPr>
      </w:pPr>
      <m:oMath>
        <m:sSub>
          <m:sSubPr>
            <m:ctrlPr>
              <w:rPr>
                <w:rFonts w:ascii="Cambria Math" w:hAnsi="Cambria Math"/>
                <w:i/>
                <w:szCs w:val="24"/>
                <w:lang w:val="pt-BR"/>
              </w:rPr>
            </m:ctrlPr>
          </m:sSubPr>
          <m:e>
            <m:r>
              <w:rPr>
                <w:rFonts w:ascii="Cambria Math" w:hAnsi="Cambria Math"/>
                <w:szCs w:val="24"/>
                <w:lang w:val="pt-BR"/>
              </w:rPr>
              <m:t>V</m:t>
            </m:r>
          </m:e>
          <m:sub>
            <m:r>
              <w:rPr>
                <w:rFonts w:ascii="Cambria Math" w:hAnsi="Cambria Math"/>
                <w:szCs w:val="24"/>
                <w:lang w:val="pt-BR"/>
              </w:rPr>
              <m:t>15</m:t>
            </m:r>
          </m:sub>
        </m:sSub>
      </m:oMath>
      <w:r w:rsidR="003240B9" w:rsidRPr="00994CAA">
        <w:rPr>
          <w:szCs w:val="24"/>
          <w:lang w:val="pt-BR"/>
        </w:rPr>
        <w:t>: volume do intervalo de 15 minutos com maior volume dentro da hora de pico.</w:t>
      </w:r>
    </w:p>
    <w:p w14:paraId="3BCE1FAF" w14:textId="77777777" w:rsidR="005E4362" w:rsidRDefault="005E4362" w:rsidP="005E4362">
      <w:pPr>
        <w:ind w:firstLine="284"/>
        <w:rPr>
          <w:szCs w:val="24"/>
          <w:lang w:val="pt-BR"/>
        </w:rPr>
      </w:pPr>
    </w:p>
    <w:p w14:paraId="13C7DDB3" w14:textId="77777777" w:rsidR="005E4362" w:rsidRPr="005E4362" w:rsidRDefault="005E4362" w:rsidP="00421130">
      <w:pPr>
        <w:spacing w:after="120"/>
        <w:ind w:firstLine="284"/>
        <w:jc w:val="both"/>
        <w:rPr>
          <w:szCs w:val="24"/>
          <w:lang w:val="pt-BR"/>
        </w:rPr>
      </w:pPr>
      <w:r w:rsidRPr="005E4362">
        <w:rPr>
          <w:szCs w:val="24"/>
          <w:lang w:val="pt-BR"/>
        </w:rPr>
        <w:t xml:space="preserve">O valor máximo de FHP é 1,0, o que indica um fluxo de tráfego perfeitamente uniforme ao longo da hora, algo raro na prática (NETO, J. C 2016), permitindo o entendimento de como o tráfego se distribui durante a hora de pico e se há picos de congestionamento. Quanto mais próximo de 1,0 for o FHP, mais estável e uniforme será o fluxo contínuo, com menores oscilações no volume. Por outro lado, quanto mais distante de 1,0, mais concentrado e variável será o fluxo. </w:t>
      </w:r>
    </w:p>
    <w:p w14:paraId="7590C90E" w14:textId="77777777" w:rsidR="005E4362" w:rsidRPr="005E4362" w:rsidRDefault="005E4362" w:rsidP="00421130">
      <w:pPr>
        <w:spacing w:after="120"/>
        <w:ind w:firstLine="284"/>
        <w:jc w:val="both"/>
        <w:rPr>
          <w:szCs w:val="24"/>
          <w:lang w:val="pt-BR"/>
        </w:rPr>
      </w:pPr>
      <w:r w:rsidRPr="005E4362">
        <w:rPr>
          <w:szCs w:val="24"/>
          <w:lang w:val="pt-BR"/>
        </w:rPr>
        <w:t xml:space="preserve">Na Avenida Sete de Setembro e Duque de Caxias, o FHP de 0,85 indica um fluxo relativamente estável. Embora ocorram variações no volume, estas não são extremas, e o fluxo se mantém relativamente constante, conforme o </w:t>
      </w:r>
      <w:proofErr w:type="spellStart"/>
      <w:r w:rsidRPr="005E4362">
        <w:rPr>
          <w:i/>
          <w:szCs w:val="24"/>
          <w:lang w:val="pt-BR"/>
        </w:rPr>
        <w:t>Highway</w:t>
      </w:r>
      <w:proofErr w:type="spellEnd"/>
      <w:r w:rsidRPr="005E4362">
        <w:rPr>
          <w:i/>
          <w:szCs w:val="24"/>
          <w:lang w:val="pt-BR"/>
        </w:rPr>
        <w:t xml:space="preserve"> </w:t>
      </w:r>
      <w:proofErr w:type="spellStart"/>
      <w:r w:rsidRPr="005E4362">
        <w:rPr>
          <w:i/>
          <w:szCs w:val="24"/>
          <w:lang w:val="pt-BR"/>
        </w:rPr>
        <w:t>Capacity</w:t>
      </w:r>
      <w:proofErr w:type="spellEnd"/>
      <w:r w:rsidRPr="005E4362">
        <w:rPr>
          <w:i/>
          <w:szCs w:val="24"/>
          <w:lang w:val="pt-BR"/>
        </w:rPr>
        <w:t xml:space="preserve"> Manual</w:t>
      </w:r>
      <w:r w:rsidRPr="005E4362">
        <w:rPr>
          <w:szCs w:val="24"/>
          <w:lang w:val="pt-BR"/>
        </w:rPr>
        <w:t xml:space="preserve"> (HCM). Já na Rua Visconde de Porto Alegre, o FHP de 0,60 sugere um fluxo mais variável, com um intervalo de 15 minutos (das 19:00 às 19:15, conforme a tabela 3) onde o volume de veículos é significativamente maior que nos demais intervalos da hora de pico.</w:t>
      </w:r>
    </w:p>
    <w:p w14:paraId="4E7E24A8" w14:textId="77777777" w:rsidR="005E4362" w:rsidRPr="005E4362" w:rsidRDefault="005E4362" w:rsidP="00421130">
      <w:pPr>
        <w:spacing w:after="120"/>
        <w:ind w:firstLine="284"/>
        <w:jc w:val="both"/>
        <w:rPr>
          <w:szCs w:val="24"/>
          <w:lang w:val="pt-BR"/>
        </w:rPr>
      </w:pPr>
      <w:r w:rsidRPr="005E4362">
        <w:rPr>
          <w:szCs w:val="24"/>
          <w:lang w:val="pt-BR"/>
        </w:rPr>
        <w:t xml:space="preserve">Com a contagem visual dos veículos que pararam ou estacionaram no Campus IFAM – CMC, podemos estimar a geração de viagens influenciadas por esse polo gerador quanto aos fluxos veiculares, que é a quantidade de veículos que passam por uma seção de uma via em um determinado intervalo de tempo. </w:t>
      </w:r>
    </w:p>
    <w:p w14:paraId="3941040C" w14:textId="1D629A47" w:rsidR="009F1886" w:rsidRDefault="005E4362" w:rsidP="0016604B">
      <w:pPr>
        <w:spacing w:after="120"/>
        <w:ind w:firstLine="284"/>
        <w:jc w:val="both"/>
        <w:rPr>
          <w:szCs w:val="24"/>
          <w:lang w:val="pt-BR"/>
        </w:rPr>
      </w:pPr>
      <w:r w:rsidRPr="005E4362">
        <w:rPr>
          <w:szCs w:val="24"/>
          <w:lang w:val="pt-BR"/>
        </w:rPr>
        <w:t xml:space="preserve">No gráfico 1, podemos observar que somando o fluxo das 3 vias de acesso obtemos 3147 viagens veiculares na contagem de duas horas. Dessas viagens, relacionados aos veículos que pararam ou estacionaram no PGV, obtemos 223 na primeira hora e 104 na segunda hora. Ou seja, através da proporcionalidade, podemos definir a porcentagem que cada via influencia no fluxo na hora pico, que são 5% - Av. Sete de Setembro, 18,47% - Av. Duque de Caxias e 16% - Visconde de Porto Alegre. </w:t>
      </w:r>
    </w:p>
    <w:p w14:paraId="0E4511A9" w14:textId="77777777" w:rsidR="009F1886" w:rsidRDefault="009F1886" w:rsidP="0016604B">
      <w:pPr>
        <w:rPr>
          <w:szCs w:val="24"/>
          <w:lang w:val="pt-BR"/>
        </w:rPr>
      </w:pPr>
    </w:p>
    <w:p w14:paraId="4C7C5043" w14:textId="77777777" w:rsidR="006E0FAC" w:rsidRDefault="006E0FAC" w:rsidP="0016604B">
      <w:pPr>
        <w:rPr>
          <w:szCs w:val="24"/>
          <w:lang w:val="pt-BR"/>
        </w:rPr>
      </w:pPr>
    </w:p>
    <w:p w14:paraId="581FE664" w14:textId="77777777" w:rsidR="006E0FAC" w:rsidRDefault="006E0FAC" w:rsidP="0016604B">
      <w:pPr>
        <w:rPr>
          <w:szCs w:val="24"/>
          <w:lang w:val="pt-BR"/>
        </w:rPr>
      </w:pPr>
    </w:p>
    <w:p w14:paraId="5AD6722D" w14:textId="77777777" w:rsidR="006E0FAC" w:rsidRDefault="006E0FAC" w:rsidP="0016604B">
      <w:pPr>
        <w:rPr>
          <w:szCs w:val="24"/>
          <w:lang w:val="pt-BR"/>
        </w:rPr>
      </w:pPr>
    </w:p>
    <w:p w14:paraId="6FE71F1B" w14:textId="77777777" w:rsidR="006E0FAC" w:rsidRDefault="006E0FAC" w:rsidP="0016604B">
      <w:pPr>
        <w:rPr>
          <w:szCs w:val="24"/>
          <w:lang w:val="pt-BR"/>
        </w:rPr>
      </w:pPr>
    </w:p>
    <w:p w14:paraId="10A14B31" w14:textId="77777777" w:rsidR="006E0FAC" w:rsidRDefault="006E0FAC" w:rsidP="0016604B">
      <w:pPr>
        <w:rPr>
          <w:szCs w:val="24"/>
          <w:lang w:val="pt-BR"/>
        </w:rPr>
      </w:pPr>
    </w:p>
    <w:p w14:paraId="16CE5E5C" w14:textId="77777777" w:rsidR="006E0FAC" w:rsidRDefault="006E0FAC" w:rsidP="0016604B">
      <w:pPr>
        <w:rPr>
          <w:szCs w:val="24"/>
          <w:lang w:val="pt-BR"/>
        </w:rPr>
      </w:pPr>
    </w:p>
    <w:p w14:paraId="0606B4CF" w14:textId="77777777" w:rsidR="006E0FAC" w:rsidRDefault="006E0FAC" w:rsidP="0016604B">
      <w:pPr>
        <w:rPr>
          <w:szCs w:val="24"/>
          <w:lang w:val="pt-BR"/>
        </w:rPr>
      </w:pPr>
    </w:p>
    <w:p w14:paraId="4A532451" w14:textId="77777777" w:rsidR="006E0FAC" w:rsidRDefault="006E0FAC" w:rsidP="0016604B">
      <w:pPr>
        <w:rPr>
          <w:szCs w:val="24"/>
          <w:lang w:val="pt-BR"/>
        </w:rPr>
      </w:pPr>
    </w:p>
    <w:p w14:paraId="48A2D017" w14:textId="77777777" w:rsidR="005E4362" w:rsidRPr="005E4362" w:rsidRDefault="005E4362" w:rsidP="0016604B">
      <w:pPr>
        <w:spacing w:before="240" w:line="360" w:lineRule="auto"/>
        <w:jc w:val="center"/>
        <w:rPr>
          <w:sz w:val="20"/>
          <w:lang w:val="pt-BR"/>
        </w:rPr>
      </w:pPr>
      <w:r w:rsidRPr="005E4362">
        <w:rPr>
          <w:sz w:val="20"/>
          <w:lang w:val="pt-BR"/>
        </w:rPr>
        <w:lastRenderedPageBreak/>
        <w:t>Gráfico 1:  Influência do IFAM-CMC na geração de viagens nas vias de acesso</w:t>
      </w:r>
    </w:p>
    <w:p w14:paraId="2915D9B9" w14:textId="77777777" w:rsidR="005E4362" w:rsidRPr="005E4362" w:rsidRDefault="005E4362" w:rsidP="005E4362">
      <w:pPr>
        <w:jc w:val="center"/>
        <w:rPr>
          <w:szCs w:val="24"/>
          <w:lang w:val="pt-BR"/>
        </w:rPr>
      </w:pPr>
      <w:r w:rsidRPr="005E4362">
        <w:rPr>
          <w:noProof/>
          <w:lang w:val="pt-BR"/>
        </w:rPr>
        <w:drawing>
          <wp:inline distT="0" distB="0" distL="0" distR="0" wp14:anchorId="47C9B3BD" wp14:editId="38C7987A">
            <wp:extent cx="4221480" cy="2423160"/>
            <wp:effectExtent l="0" t="0" r="762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058308" w14:textId="66EF76D1" w:rsidR="003240B9" w:rsidRPr="00936ED9" w:rsidRDefault="005E4362" w:rsidP="005E4362">
      <w:pPr>
        <w:spacing w:after="120"/>
        <w:ind w:left="1134" w:firstLine="284"/>
        <w:rPr>
          <w:sz w:val="20"/>
          <w:lang w:val="pt-BR"/>
        </w:rPr>
      </w:pPr>
      <w:r w:rsidRPr="00936ED9">
        <w:rPr>
          <w:sz w:val="20"/>
          <w:lang w:val="pt-BR"/>
        </w:rPr>
        <w:t>Fonte: elaborado pelos autores.</w:t>
      </w:r>
    </w:p>
    <w:p w14:paraId="2FB0AAC1" w14:textId="77777777" w:rsidR="005E4362" w:rsidRPr="00936ED9" w:rsidRDefault="005E4362" w:rsidP="005E4362">
      <w:pPr>
        <w:spacing w:after="120"/>
        <w:rPr>
          <w:sz w:val="20"/>
          <w:lang w:val="pt-BR"/>
        </w:rPr>
      </w:pPr>
    </w:p>
    <w:p w14:paraId="07FEA98B" w14:textId="43C61C88" w:rsidR="00994CAA" w:rsidRPr="00E94C7B" w:rsidRDefault="00421130" w:rsidP="00421130">
      <w:pPr>
        <w:spacing w:after="120"/>
        <w:ind w:firstLine="284"/>
        <w:jc w:val="both"/>
        <w:rPr>
          <w:szCs w:val="24"/>
          <w:lang w:val="pt-BR"/>
        </w:rPr>
      </w:pPr>
      <w:r>
        <w:rPr>
          <w:szCs w:val="24"/>
          <w:lang w:val="pt-BR"/>
        </w:rPr>
        <w:t>Os Polo</w:t>
      </w:r>
      <w:r w:rsidR="005E4362" w:rsidRPr="005E4362">
        <w:rPr>
          <w:szCs w:val="24"/>
          <w:lang w:val="pt-BR"/>
        </w:rPr>
        <w:t>s</w:t>
      </w:r>
      <w:r>
        <w:rPr>
          <w:szCs w:val="24"/>
          <w:lang w:val="pt-BR"/>
        </w:rPr>
        <w:t xml:space="preserve"> Geradores de Viagem(</w:t>
      </w:r>
      <w:proofErr w:type="spellStart"/>
      <w:r>
        <w:rPr>
          <w:szCs w:val="24"/>
          <w:lang w:val="pt-BR"/>
        </w:rPr>
        <w:t>PGVs</w:t>
      </w:r>
      <w:proofErr w:type="spellEnd"/>
      <w:r>
        <w:rPr>
          <w:szCs w:val="24"/>
          <w:lang w:val="pt-BR"/>
        </w:rPr>
        <w:t>)</w:t>
      </w:r>
      <w:r w:rsidR="005E4362" w:rsidRPr="005E4362">
        <w:rPr>
          <w:szCs w:val="24"/>
          <w:lang w:val="pt-BR"/>
        </w:rPr>
        <w:t>, segundo a CET-SP, podem ser classificados de acordo com a intensidade dos prováveis impactos, ou dos fluxos veiculares, que são: Baixo (menos que 500 viagens veiculares na hora pico); Moderado (de 500 a 1000 viagens na hora pico); Alto (mais de 1000 viagens na hora pico). Dessa forma, o IFAM-CMC pode ser classificado como um PGV de baixo fluxo veicular, pois em sua hora pico (18:00 – 19:00), foram relatadas apenas 223 viagens.</w:t>
      </w:r>
    </w:p>
    <w:p w14:paraId="1A8E73D1" w14:textId="6B871B2C" w:rsidR="00575335" w:rsidRPr="0049479C" w:rsidRDefault="005E4362" w:rsidP="005E4362">
      <w:pPr>
        <w:pStyle w:val="Subttulo"/>
        <w:rPr>
          <w:rFonts w:ascii="Times New Roman" w:hAnsi="Times New Roman"/>
        </w:rPr>
      </w:pPr>
      <w:r w:rsidRPr="005E4362">
        <w:rPr>
          <w:rFonts w:ascii="Times New Roman" w:hAnsi="Times New Roman"/>
        </w:rPr>
        <w:t>Análise dos padrões de deslocamento da comunidade acadêmica</w:t>
      </w:r>
    </w:p>
    <w:p w14:paraId="69F86B60" w14:textId="2740AFEC" w:rsidR="00994CAA" w:rsidRPr="00994CAA" w:rsidRDefault="00994CAA" w:rsidP="009F1886">
      <w:pPr>
        <w:spacing w:after="120"/>
        <w:ind w:firstLine="284"/>
        <w:jc w:val="both"/>
        <w:rPr>
          <w:szCs w:val="24"/>
          <w:lang w:val="pt-BR"/>
        </w:rPr>
      </w:pPr>
      <w:r w:rsidRPr="00994CAA">
        <w:rPr>
          <w:szCs w:val="24"/>
          <w:lang w:val="pt-BR"/>
        </w:rPr>
        <w:t>A coleta de dados, para obtenção de matrizes O/D e estudo dos modais de transporte utilizados pelos indivíduos da instituição, foi realizada no Campus Manaus Centro do Instituto Federal de Educação, Ciência e Tecnologia do Amazonas (IFAM-CMC), localizado na zona sul de Manaus, bairro Centro. A coleta consistiu na aplicação de fo</w:t>
      </w:r>
      <w:r w:rsidR="009F1886">
        <w:rPr>
          <w:szCs w:val="24"/>
          <w:lang w:val="pt-BR"/>
        </w:rPr>
        <w:t>rmulário</w:t>
      </w:r>
      <w:r w:rsidRPr="00994CAA">
        <w:rPr>
          <w:szCs w:val="24"/>
          <w:lang w:val="pt-BR"/>
        </w:rPr>
        <w:t xml:space="preserve">, com uma amostra de </w:t>
      </w:r>
      <w:r w:rsidR="009F1886">
        <w:rPr>
          <w:szCs w:val="24"/>
          <w:lang w:val="pt-BR"/>
        </w:rPr>
        <w:t>10</w:t>
      </w:r>
      <w:r w:rsidRPr="00994CAA">
        <w:rPr>
          <w:szCs w:val="24"/>
          <w:lang w:val="pt-BR"/>
        </w:rPr>
        <w:t xml:space="preserve">9 indivíduos vinculados à </w:t>
      </w:r>
      <w:r w:rsidR="009F1886">
        <w:rPr>
          <w:szCs w:val="24"/>
          <w:lang w:val="pt-BR"/>
        </w:rPr>
        <w:t xml:space="preserve">instituição. </w:t>
      </w:r>
      <w:r w:rsidRPr="00994CAA">
        <w:rPr>
          <w:szCs w:val="24"/>
          <w:lang w:val="pt-BR"/>
        </w:rPr>
        <w:t>No entanto, pretende-se aumentar a amostra de indivíduos para obter resultados mais robustos e representa</w:t>
      </w:r>
      <w:r w:rsidR="009F1886">
        <w:rPr>
          <w:szCs w:val="24"/>
          <w:lang w:val="pt-BR"/>
        </w:rPr>
        <w:t xml:space="preserve">tivos. Os dados obtidos </w:t>
      </w:r>
      <w:r w:rsidRPr="00994CAA">
        <w:rPr>
          <w:szCs w:val="24"/>
          <w:lang w:val="pt-BR"/>
        </w:rPr>
        <w:t>serão apresentados a seguir.</w:t>
      </w:r>
    </w:p>
    <w:p w14:paraId="2D772782" w14:textId="4160335D" w:rsidR="00994CAA" w:rsidRDefault="00994CAA" w:rsidP="009F1886">
      <w:pPr>
        <w:spacing w:after="120"/>
        <w:ind w:firstLine="284"/>
        <w:jc w:val="both"/>
        <w:rPr>
          <w:szCs w:val="24"/>
          <w:lang w:val="pt-BR"/>
        </w:rPr>
      </w:pPr>
      <w:r w:rsidRPr="00994CAA">
        <w:rPr>
          <w:szCs w:val="24"/>
          <w:lang w:val="pt-BR"/>
        </w:rPr>
        <w:t xml:space="preserve">Com a </w:t>
      </w:r>
      <w:r w:rsidRPr="006E0FAC">
        <w:rPr>
          <w:szCs w:val="24"/>
          <w:lang w:val="pt-BR"/>
        </w:rPr>
        <w:t>Lei 1401/2010,</w:t>
      </w:r>
      <w:r w:rsidRPr="00994CAA">
        <w:rPr>
          <w:szCs w:val="24"/>
          <w:lang w:val="pt-BR"/>
        </w:rPr>
        <w:t xml:space="preserve"> a cidade foi dividida em zonas e setores, essa divisão leva em consideração as características únicas de cada região da cidade, como infraestrutura, densidade populacional e tipo de ocupação do solo. Desta forma, Manaus, capital do Amazonas, possui seis zonas administrativas tradicionais: Norte, Leste, Sul, Centro-Sul, Oeste e Centro-Oeste como podemos ver na figura 3. Estas zonas, por sua vez, são compostas por 63 bairros.</w:t>
      </w:r>
    </w:p>
    <w:p w14:paraId="229F4D54" w14:textId="77777777" w:rsidR="00994CAA" w:rsidRPr="005E4362" w:rsidRDefault="00994CAA" w:rsidP="00994CAA">
      <w:pPr>
        <w:ind w:firstLine="284"/>
        <w:rPr>
          <w:szCs w:val="24"/>
          <w:lang w:val="pt-BR"/>
        </w:rPr>
      </w:pPr>
    </w:p>
    <w:p w14:paraId="61301D9B" w14:textId="77777777" w:rsidR="00994CAA" w:rsidRPr="00994CAA" w:rsidRDefault="00994CAA" w:rsidP="00421130">
      <w:pPr>
        <w:spacing w:afterLines="60" w:after="144"/>
        <w:jc w:val="center"/>
        <w:rPr>
          <w:b/>
          <w:sz w:val="20"/>
          <w:lang w:val="pt-BR"/>
        </w:rPr>
      </w:pPr>
      <w:r w:rsidRPr="00994CAA">
        <w:rPr>
          <w:b/>
          <w:noProof/>
          <w:sz w:val="20"/>
          <w:lang w:val="pt-BR"/>
        </w:rPr>
        <w:lastRenderedPageBreak/>
        <w:drawing>
          <wp:inline distT="0" distB="0" distL="0" distR="0" wp14:anchorId="264DF44B" wp14:editId="2869C618">
            <wp:extent cx="4838700" cy="3421545"/>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 - ZONAS MANAUSS.png"/>
                    <pic:cNvPicPr/>
                  </pic:nvPicPr>
                  <pic:blipFill>
                    <a:blip r:embed="rId16">
                      <a:extLst>
                        <a:ext uri="{28A0092B-C50C-407E-A947-70E740481C1C}">
                          <a14:useLocalDpi xmlns:a14="http://schemas.microsoft.com/office/drawing/2010/main" val="0"/>
                        </a:ext>
                      </a:extLst>
                    </a:blip>
                    <a:stretch>
                      <a:fillRect/>
                    </a:stretch>
                  </pic:blipFill>
                  <pic:spPr>
                    <a:xfrm>
                      <a:off x="0" y="0"/>
                      <a:ext cx="4844151" cy="3425399"/>
                    </a:xfrm>
                    <a:prstGeom prst="rect">
                      <a:avLst/>
                    </a:prstGeom>
                  </pic:spPr>
                </pic:pic>
              </a:graphicData>
            </a:graphic>
          </wp:inline>
        </w:drawing>
      </w:r>
    </w:p>
    <w:p w14:paraId="775828DF" w14:textId="0C24F338" w:rsidR="009F1886" w:rsidRPr="00936ED9" w:rsidRDefault="00994CAA" w:rsidP="009F1886">
      <w:pPr>
        <w:spacing w:afterLines="120" w:after="288"/>
        <w:jc w:val="center"/>
        <w:rPr>
          <w:sz w:val="20"/>
          <w:lang w:val="pt-BR"/>
        </w:rPr>
      </w:pPr>
      <w:r w:rsidRPr="00994CAA">
        <w:rPr>
          <w:b/>
          <w:sz w:val="20"/>
          <w:lang w:val="pt-BR"/>
        </w:rPr>
        <w:t xml:space="preserve">Figura 3: Divisão da área urbana de Manaus. </w:t>
      </w:r>
      <w:r w:rsidRPr="00936ED9">
        <w:rPr>
          <w:b/>
          <w:sz w:val="20"/>
          <w:lang w:val="pt-BR"/>
        </w:rPr>
        <w:t>Fonte: elaborado pelos autores</w:t>
      </w:r>
      <w:r w:rsidRPr="00936ED9">
        <w:rPr>
          <w:sz w:val="20"/>
          <w:lang w:val="pt-BR"/>
        </w:rPr>
        <w:t xml:space="preserve">. </w:t>
      </w:r>
    </w:p>
    <w:p w14:paraId="2F72FDEE" w14:textId="05A79D30" w:rsidR="009F1886" w:rsidRPr="009F1886" w:rsidRDefault="00613503" w:rsidP="009F1886">
      <w:pPr>
        <w:spacing w:after="120"/>
        <w:ind w:firstLine="284"/>
        <w:jc w:val="both"/>
        <w:rPr>
          <w:szCs w:val="24"/>
          <w:lang w:val="pt-BR"/>
        </w:rPr>
      </w:pPr>
      <w:r w:rsidRPr="00613503">
        <w:rPr>
          <w:szCs w:val="24"/>
          <w:lang w:val="pt-BR"/>
        </w:rPr>
        <w:t>Seguindo a divisão de Manaus em zonas, o gráfico 3 mostra a distribuição percentual dos alunos do IFAM por zona de Manaus, segundo dados obtidos com formulário. Cada fatia do gráfico representa a proporção de estudantes que residem em uma determinada zona e frequentam a Instituição do estudo em questão está localizado na Zona Sul.</w:t>
      </w:r>
    </w:p>
    <w:p w14:paraId="4CA69D94" w14:textId="37A9502E" w:rsidR="00613503" w:rsidRPr="00613503" w:rsidRDefault="00613503" w:rsidP="009F1886">
      <w:pPr>
        <w:spacing w:before="240" w:after="120"/>
        <w:jc w:val="center"/>
        <w:rPr>
          <w:sz w:val="20"/>
          <w:lang w:val="pt-BR"/>
        </w:rPr>
      </w:pPr>
      <w:r>
        <w:rPr>
          <w:sz w:val="20"/>
          <w:lang w:val="pt-BR"/>
        </w:rPr>
        <w:t>Gráfico 2</w:t>
      </w:r>
      <w:r w:rsidRPr="00613503">
        <w:rPr>
          <w:sz w:val="20"/>
          <w:lang w:val="pt-BR"/>
        </w:rPr>
        <w:t>: Comparativo entre a quantidade de pessoas que acessam o PGV por zona</w:t>
      </w:r>
    </w:p>
    <w:p w14:paraId="2EF82450" w14:textId="77777777" w:rsidR="00613503" w:rsidRPr="00613503" w:rsidRDefault="00613503" w:rsidP="00613503">
      <w:pPr>
        <w:jc w:val="center"/>
        <w:rPr>
          <w:b/>
          <w:sz w:val="20"/>
          <w:lang w:val="pt-BR"/>
        </w:rPr>
      </w:pPr>
      <w:r w:rsidRPr="00613503">
        <w:rPr>
          <w:noProof/>
          <w:lang w:val="pt-BR"/>
        </w:rPr>
        <w:drawing>
          <wp:inline distT="0" distB="0" distL="0" distR="0" wp14:anchorId="0FD7CED2" wp14:editId="65260BF4">
            <wp:extent cx="4693920" cy="2316480"/>
            <wp:effectExtent l="0" t="0" r="11430" b="762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52A56D" w14:textId="7F269178" w:rsidR="00613503" w:rsidRPr="00936ED9" w:rsidRDefault="00613503" w:rsidP="009F1886">
      <w:pPr>
        <w:spacing w:after="120"/>
        <w:ind w:left="851"/>
        <w:rPr>
          <w:sz w:val="20"/>
          <w:lang w:val="pt-BR"/>
        </w:rPr>
      </w:pPr>
      <w:r w:rsidRPr="00936ED9">
        <w:rPr>
          <w:sz w:val="20"/>
          <w:lang w:val="pt-BR"/>
        </w:rPr>
        <w:t>Fonte: elaborado pelos autores.</w:t>
      </w:r>
    </w:p>
    <w:p w14:paraId="13EA6727" w14:textId="77777777" w:rsidR="00421130" w:rsidRPr="00421130" w:rsidRDefault="00421130" w:rsidP="009F1886">
      <w:pPr>
        <w:spacing w:before="240" w:after="120"/>
        <w:ind w:firstLine="284"/>
        <w:jc w:val="both"/>
        <w:rPr>
          <w:szCs w:val="24"/>
          <w:lang w:val="pt-BR"/>
        </w:rPr>
      </w:pPr>
      <w:r w:rsidRPr="00421130">
        <w:rPr>
          <w:szCs w:val="24"/>
          <w:lang w:val="pt-BR"/>
        </w:rPr>
        <w:t>A Zona Norte é a que mais contribui com alunos para o IFAM, com 24%, em seguida temos as Zonas Sul, Leste e Oeste que também apresentam uma participação significativa, indicando que o IFAM atrai alunos de diversas regiões da cidade. A menor participação é da Zona Rural, que pode estar relacionada com a distância e fatores socioeconômicos.</w:t>
      </w:r>
    </w:p>
    <w:p w14:paraId="2283F1B3" w14:textId="77777777" w:rsidR="00421130" w:rsidRPr="00421130" w:rsidRDefault="00421130" w:rsidP="00421130">
      <w:pPr>
        <w:spacing w:after="120"/>
        <w:ind w:firstLine="284"/>
        <w:jc w:val="both"/>
        <w:rPr>
          <w:szCs w:val="24"/>
          <w:lang w:val="pt-BR"/>
        </w:rPr>
      </w:pPr>
      <w:r w:rsidRPr="00421130">
        <w:rPr>
          <w:szCs w:val="24"/>
          <w:lang w:val="pt-BR"/>
        </w:rPr>
        <w:t xml:space="preserve">A escolha do meio de transporte é influenciada por diversos fatores, como distância, tempo de viagem, custo, disponibilidade, segurança, conforto e hábitos de cada indivíduo (ANTP, 2017). Além disso, fatores externos como a qualidade do transporte público, a infraestrutura </w:t>
      </w:r>
      <w:r w:rsidRPr="00421130">
        <w:rPr>
          <w:szCs w:val="24"/>
          <w:lang w:val="pt-BR"/>
        </w:rPr>
        <w:lastRenderedPageBreak/>
        <w:t xml:space="preserve">viária e as políticas de mobilidade urbana também desempenham um papel importante. No gráfico 2 podemos observar um panorama sobre os meios de transporte utilizados pelos indivíduos que frequentam o IFAM-CMC. </w:t>
      </w:r>
    </w:p>
    <w:p w14:paraId="3ADC3226" w14:textId="77777777" w:rsidR="00421130" w:rsidRPr="00421130" w:rsidRDefault="00421130" w:rsidP="00421130">
      <w:pPr>
        <w:spacing w:after="120"/>
        <w:ind w:firstLine="284"/>
        <w:jc w:val="both"/>
        <w:rPr>
          <w:szCs w:val="24"/>
          <w:lang w:val="pt-BR"/>
        </w:rPr>
      </w:pPr>
      <w:r w:rsidRPr="00421130">
        <w:rPr>
          <w:szCs w:val="24"/>
          <w:lang w:val="pt-BR"/>
        </w:rPr>
        <w:t xml:space="preserve">Das 109 pessoas que responderam aos formulários, o ônibus se destaca como o meio de transporte mais utilizado para chegar ao Instituto, com 65 pessoas optando por esse modal. Isso sugere que o transporte público coletivo desempenha um papel crucial na mobilidade dos estudantes e funcionários da instituição. Posteriormente, temos o carro particular, é a segunda opção mais popular, com 26 pessoas utilizando esse meio de transporte. Essa preferência pode estar relacionada a diversos fatores, como distância percorrida e questões de comodidade. </w:t>
      </w:r>
    </w:p>
    <w:p w14:paraId="7868ADEB" w14:textId="2AA0FCC2" w:rsidR="00613503" w:rsidRPr="00421130" w:rsidRDefault="00421130" w:rsidP="009F1886">
      <w:pPr>
        <w:spacing w:after="120"/>
        <w:ind w:firstLine="284"/>
        <w:jc w:val="both"/>
        <w:rPr>
          <w:szCs w:val="24"/>
          <w:lang w:val="pt-BR"/>
        </w:rPr>
      </w:pPr>
      <w:r w:rsidRPr="00421130">
        <w:rPr>
          <w:szCs w:val="24"/>
          <w:lang w:val="pt-BR"/>
        </w:rPr>
        <w:t>A motocicleta aparece em terceiro lugar, com 16 pessoas a utilizando. Esse meio de transporte pode ser atrativo devido à agilidade e facilidade de estacionamento, especialmente em áreas com poucas opções de estacionamento, como o IFAM-CMC. E uma opção minoritária, onde apenas 3 pessoas afirmaram utilizar, é chegar a pé a instituição. Essa baixa adesão pode estar relacionada à distância entre a residência e a instituição, condições das vias e segurança. Além disso, uma das pessoas da amostra utiliza dois meios de transportes que são carro particular e ônibus.</w:t>
      </w:r>
    </w:p>
    <w:p w14:paraId="4FF5880D" w14:textId="1ACB8FEA" w:rsidR="00421130" w:rsidRPr="00613503" w:rsidRDefault="00613503" w:rsidP="009F1886">
      <w:pPr>
        <w:spacing w:before="240" w:after="120"/>
        <w:jc w:val="center"/>
        <w:rPr>
          <w:sz w:val="20"/>
          <w:lang w:val="pt-BR"/>
        </w:rPr>
      </w:pPr>
      <w:r w:rsidRPr="00BF4F2E">
        <w:rPr>
          <w:b/>
          <w:noProof/>
          <w:szCs w:val="24"/>
          <w:lang w:val="pt-BR"/>
        </w:rPr>
        <w:drawing>
          <wp:inline distT="0" distB="0" distL="0" distR="0" wp14:anchorId="0E5CCF3D" wp14:editId="680510B0">
            <wp:extent cx="4793305" cy="3276600"/>
            <wp:effectExtent l="0" t="0" r="762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sign sem nome (3).png"/>
                    <pic:cNvPicPr/>
                  </pic:nvPicPr>
                  <pic:blipFill rotWithShape="1">
                    <a:blip r:embed="rId18">
                      <a:extLst>
                        <a:ext uri="{28A0092B-C50C-407E-A947-70E740481C1C}">
                          <a14:useLocalDpi xmlns:a14="http://schemas.microsoft.com/office/drawing/2010/main" val="0"/>
                        </a:ext>
                      </a:extLst>
                    </a:blip>
                    <a:srcRect l="1" t="6350" r="926" b="3352"/>
                    <a:stretch/>
                  </pic:blipFill>
                  <pic:spPr bwMode="auto">
                    <a:xfrm>
                      <a:off x="0" y="0"/>
                      <a:ext cx="4875776" cy="3332975"/>
                    </a:xfrm>
                    <a:prstGeom prst="rect">
                      <a:avLst/>
                    </a:prstGeom>
                    <a:ln>
                      <a:noFill/>
                    </a:ln>
                    <a:extLst>
                      <a:ext uri="{53640926-AAD7-44D8-BBD7-CCE9431645EC}">
                        <a14:shadowObscured xmlns:a14="http://schemas.microsoft.com/office/drawing/2010/main"/>
                      </a:ext>
                    </a:extLst>
                  </pic:spPr>
                </pic:pic>
              </a:graphicData>
            </a:graphic>
          </wp:inline>
        </w:drawing>
      </w:r>
    </w:p>
    <w:p w14:paraId="277BA42B" w14:textId="6AE9329C" w:rsidR="00421130" w:rsidRPr="009F1886" w:rsidRDefault="00613503" w:rsidP="009F1886">
      <w:pPr>
        <w:spacing w:afterLines="120" w:after="288"/>
        <w:jc w:val="center"/>
        <w:rPr>
          <w:b/>
          <w:sz w:val="20"/>
          <w:lang w:val="pt-BR"/>
        </w:rPr>
      </w:pPr>
      <w:r>
        <w:rPr>
          <w:b/>
          <w:sz w:val="20"/>
          <w:lang w:val="pt-BR"/>
        </w:rPr>
        <w:t>Figura</w:t>
      </w:r>
      <w:r w:rsidRPr="00613503">
        <w:rPr>
          <w:b/>
          <w:sz w:val="20"/>
          <w:lang w:val="pt-BR"/>
        </w:rPr>
        <w:t xml:space="preserve"> 4: Comparativo entre modais de transport</w:t>
      </w:r>
      <w:r w:rsidR="009F1886">
        <w:rPr>
          <w:b/>
          <w:sz w:val="20"/>
          <w:lang w:val="pt-BR"/>
        </w:rPr>
        <w:t>e utilizado</w:t>
      </w:r>
      <w:r w:rsidRPr="00613503">
        <w:rPr>
          <w:b/>
          <w:sz w:val="20"/>
          <w:lang w:val="pt-BR"/>
        </w:rPr>
        <w:t xml:space="preserve">. </w:t>
      </w:r>
      <w:r w:rsidR="00421130" w:rsidRPr="00613503">
        <w:rPr>
          <w:b/>
          <w:sz w:val="20"/>
          <w:lang w:val="pt-BR"/>
        </w:rPr>
        <w:t>Fon</w:t>
      </w:r>
      <w:r w:rsidRPr="00613503">
        <w:rPr>
          <w:b/>
          <w:sz w:val="20"/>
          <w:lang w:val="pt-BR"/>
        </w:rPr>
        <w:t xml:space="preserve">te: </w:t>
      </w:r>
      <w:r w:rsidRPr="00936ED9">
        <w:rPr>
          <w:b/>
          <w:sz w:val="20"/>
          <w:lang w:val="pt-BR"/>
        </w:rPr>
        <w:t xml:space="preserve">elaborado pelos autores. </w:t>
      </w:r>
    </w:p>
    <w:p w14:paraId="4D55BF04" w14:textId="77777777" w:rsidR="00421130" w:rsidRPr="00421130" w:rsidRDefault="00421130" w:rsidP="00613503">
      <w:pPr>
        <w:spacing w:after="120"/>
        <w:ind w:firstLine="284"/>
        <w:jc w:val="both"/>
        <w:rPr>
          <w:szCs w:val="24"/>
          <w:lang w:val="pt-BR"/>
        </w:rPr>
      </w:pPr>
      <w:r w:rsidRPr="00421130">
        <w:rPr>
          <w:szCs w:val="24"/>
          <w:lang w:val="pt-BR"/>
        </w:rPr>
        <w:t xml:space="preserve">A partir das estimativas da matriz OD e diante da constatação, que o transporte público, especificamente o ônibus, foi o meio de locomoção predominante entre os entrevistados para o acesso ao Instituto Federal do Amazonas - Centro. Realizou-se uma análise das rotas de ônibus disponíveis para a Instituição utilizando-se como ferramentas de pesquisa o </w:t>
      </w:r>
      <w:r w:rsidRPr="009F1886">
        <w:rPr>
          <w:i/>
          <w:szCs w:val="24"/>
          <w:lang w:val="pt-BR"/>
        </w:rPr>
        <w:t xml:space="preserve">Google </w:t>
      </w:r>
      <w:proofErr w:type="spellStart"/>
      <w:r w:rsidRPr="009F1886">
        <w:rPr>
          <w:i/>
          <w:szCs w:val="24"/>
          <w:lang w:val="pt-BR"/>
        </w:rPr>
        <w:t>Maps</w:t>
      </w:r>
      <w:proofErr w:type="spellEnd"/>
      <w:r w:rsidRPr="00421130">
        <w:rPr>
          <w:szCs w:val="24"/>
          <w:lang w:val="pt-BR"/>
        </w:rPr>
        <w:t xml:space="preserve"> e o aplicativo "Cadê Meu Ônibus", desenvolvido para otimizar a experiência dos usuários do transporte público na cidade de Manaus. </w:t>
      </w:r>
    </w:p>
    <w:p w14:paraId="6D8DDB89" w14:textId="77777777" w:rsidR="00421130" w:rsidRPr="00421130" w:rsidRDefault="00421130" w:rsidP="00613503">
      <w:pPr>
        <w:spacing w:after="120"/>
        <w:ind w:firstLine="284"/>
        <w:jc w:val="both"/>
        <w:rPr>
          <w:szCs w:val="24"/>
          <w:lang w:val="pt-BR"/>
        </w:rPr>
      </w:pPr>
      <w:r w:rsidRPr="00421130">
        <w:rPr>
          <w:szCs w:val="24"/>
          <w:lang w:val="pt-BR"/>
        </w:rPr>
        <w:t xml:space="preserve">A partir das informações obtidas, elaborou-se um mapa, utilizando o software </w:t>
      </w:r>
      <w:proofErr w:type="spellStart"/>
      <w:r w:rsidRPr="009F1886">
        <w:rPr>
          <w:i/>
          <w:szCs w:val="24"/>
          <w:lang w:val="pt-BR"/>
        </w:rPr>
        <w:t>ArcGIS</w:t>
      </w:r>
      <w:proofErr w:type="spellEnd"/>
      <w:r w:rsidRPr="00421130">
        <w:rPr>
          <w:szCs w:val="24"/>
          <w:lang w:val="pt-BR"/>
        </w:rPr>
        <w:t xml:space="preserve">, que representa visualmente as rotas de ônibus relevantes no espaço urbano, facilitando a compreensão e o planejamento do deslocamento para a instituição. A metodologia adotada, para a geração das rotas, consiste na seleção de um terminal de ônibus representativo para cada zona da cidade, com exceção das zonas Centro-Oeste e Centro-Sul, que não dispõem de terminais. </w:t>
      </w:r>
      <w:r w:rsidRPr="00421130">
        <w:rPr>
          <w:szCs w:val="24"/>
          <w:lang w:val="pt-BR"/>
        </w:rPr>
        <w:lastRenderedPageBreak/>
        <w:t>A partir dessa seleção, foram identificadas as rotas mais eficientes para acesso ao IFAM, considerando tanto a rapidez quanto a praticidade para os usuários. O mapa, que segue abaixo, ilustra essas rotas de ônibus relevantes.</w:t>
      </w:r>
    </w:p>
    <w:p w14:paraId="119D211C" w14:textId="60324DF4" w:rsidR="00421130" w:rsidRPr="00421130" w:rsidRDefault="009F1886" w:rsidP="009F1886">
      <w:pPr>
        <w:rPr>
          <w:szCs w:val="24"/>
          <w:lang w:val="pt-BR"/>
        </w:rPr>
      </w:pPr>
      <w:r>
        <w:rPr>
          <w:noProof/>
          <w:lang w:val="pt-BR"/>
        </w:rPr>
        <w:drawing>
          <wp:inline distT="0" distB="0" distL="0" distR="0" wp14:anchorId="04E564AF" wp14:editId="6F543549">
            <wp:extent cx="5679001" cy="4015740"/>
            <wp:effectExtent l="57150" t="57150" r="112395" b="1181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ROTAS-PARA-O-IFA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9667" cy="4016211"/>
                    </a:xfrm>
                    <a:prstGeom prst="rect">
                      <a:avLst/>
                    </a:prstGeom>
                    <a:ln w="3175" cap="sq">
                      <a:solidFill>
                        <a:srgbClr val="E7E6E6">
                          <a:lumMod val="50000"/>
                        </a:srgbClr>
                      </a:solidFill>
                      <a:miter lim="800000"/>
                    </a:ln>
                    <a:effectLst>
                      <a:outerShdw blurRad="57150" dist="50800" dir="2700000" algn="tl" rotWithShape="0">
                        <a:srgbClr val="000000">
                          <a:alpha val="40000"/>
                        </a:srgbClr>
                      </a:outerShdw>
                    </a:effectLst>
                  </pic:spPr>
                </pic:pic>
              </a:graphicData>
            </a:graphic>
          </wp:inline>
        </w:drawing>
      </w:r>
    </w:p>
    <w:p w14:paraId="60B9C095" w14:textId="435C0C4E" w:rsidR="00421130" w:rsidRPr="009F1886" w:rsidRDefault="00230747" w:rsidP="009F1886">
      <w:pPr>
        <w:spacing w:after="120"/>
        <w:ind w:firstLine="284"/>
        <w:jc w:val="center"/>
        <w:rPr>
          <w:b/>
          <w:sz w:val="20"/>
          <w:lang w:val="pt-BR"/>
        </w:rPr>
      </w:pPr>
      <w:r>
        <w:rPr>
          <w:b/>
          <w:sz w:val="20"/>
          <w:lang w:val="pt-BR"/>
        </w:rPr>
        <w:t>Figura 5</w:t>
      </w:r>
      <w:r w:rsidR="00421130" w:rsidRPr="00230747">
        <w:rPr>
          <w:b/>
          <w:sz w:val="20"/>
          <w:lang w:val="pt-BR"/>
        </w:rPr>
        <w:t>: Mapas das rotas de ônibus para chegar ao IFAM-CMC</w:t>
      </w:r>
      <w:r w:rsidRPr="00230747">
        <w:rPr>
          <w:b/>
          <w:sz w:val="20"/>
          <w:lang w:val="pt-BR"/>
        </w:rPr>
        <w:t xml:space="preserve">. </w:t>
      </w:r>
      <w:r w:rsidR="00421130" w:rsidRPr="00230747">
        <w:rPr>
          <w:b/>
          <w:sz w:val="20"/>
          <w:lang w:val="pt-BR"/>
        </w:rPr>
        <w:t xml:space="preserve">Fonte: </w:t>
      </w:r>
      <w:r w:rsidRPr="00230747">
        <w:rPr>
          <w:b/>
          <w:sz w:val="20"/>
          <w:lang w:val="pt-BR"/>
        </w:rPr>
        <w:t xml:space="preserve">elaborado pelos </w:t>
      </w:r>
      <w:r w:rsidR="00421130" w:rsidRPr="00230747">
        <w:rPr>
          <w:b/>
          <w:sz w:val="20"/>
          <w:lang w:val="pt-BR"/>
        </w:rPr>
        <w:t>autor</w:t>
      </w:r>
      <w:r w:rsidRPr="00230747">
        <w:rPr>
          <w:b/>
          <w:sz w:val="20"/>
          <w:lang w:val="pt-BR"/>
        </w:rPr>
        <w:t>es.</w:t>
      </w:r>
    </w:p>
    <w:p w14:paraId="511E068B" w14:textId="77777777" w:rsidR="00421130" w:rsidRPr="00421130" w:rsidRDefault="00421130" w:rsidP="009F1886">
      <w:pPr>
        <w:spacing w:before="240" w:after="120"/>
        <w:ind w:firstLine="284"/>
        <w:jc w:val="both"/>
        <w:rPr>
          <w:szCs w:val="24"/>
          <w:lang w:val="pt-BR"/>
        </w:rPr>
      </w:pPr>
      <w:r w:rsidRPr="00421130">
        <w:rPr>
          <w:szCs w:val="24"/>
          <w:lang w:val="pt-BR"/>
        </w:rPr>
        <w:t>A análise inicial concentra-se nos terminais com opções de deslocamento direto. Para os usuários provenientes do Terminal 2 (Zona Sul), as linhas de ônibus 677, 680 e 715, operando no sentido centro, destacam-se pela sua eficiência em termos de tempo, com uma estimativa de viagem de apenas 5 minutos. Em contrapartida, as linhas 515 e 650, no sentido centro, apresentam um tempo de percurso significativamente maior.</w:t>
      </w:r>
    </w:p>
    <w:p w14:paraId="07EDEA5A" w14:textId="77777777" w:rsidR="00421130" w:rsidRPr="00421130" w:rsidRDefault="00421130" w:rsidP="00613503">
      <w:pPr>
        <w:spacing w:after="120"/>
        <w:ind w:firstLine="284"/>
        <w:jc w:val="both"/>
        <w:rPr>
          <w:szCs w:val="24"/>
          <w:lang w:val="pt-BR"/>
        </w:rPr>
      </w:pPr>
      <w:r w:rsidRPr="00421130">
        <w:rPr>
          <w:szCs w:val="24"/>
          <w:lang w:val="pt-BR"/>
        </w:rPr>
        <w:t>No que concerne aos demais terminais com rotas diretas identificadas, a partir do Terminal 3(Zona Norte), as linhas 304, 415 e 359, com destino específico ao IFAM-CMC, demonstram uma eficiência notável, com um tempo de percurso estimado em aproximadamente 45 minutos para uma distância de 16 km. Similarmente, para os usuários do Terminal 5(Zona Leste), as linhas 650 e 651 apresentam-se como opções eficientes, com um tempo de viagem estimado em 48 minutos, cobrindo uma distância de 17 km.</w:t>
      </w:r>
    </w:p>
    <w:p w14:paraId="4D4428BB" w14:textId="77777777" w:rsidR="00421130" w:rsidRPr="00421130" w:rsidRDefault="00421130" w:rsidP="00613503">
      <w:pPr>
        <w:spacing w:after="120"/>
        <w:ind w:firstLine="284"/>
        <w:jc w:val="both"/>
        <w:rPr>
          <w:szCs w:val="24"/>
          <w:lang w:val="pt-BR"/>
        </w:rPr>
      </w:pPr>
      <w:r w:rsidRPr="00421130">
        <w:rPr>
          <w:szCs w:val="24"/>
          <w:lang w:val="pt-BR"/>
        </w:rPr>
        <w:t>Em relação ao Terminal 7(Zona Oeste), a análise das rotas disponíveis revelou a inexistência de opções de deslocamento direto para o IFAM-CMC. Contudo, considerando a otimização do tempo de viagem e a proximidade da instituição, propõe-se a utilização das linhas de ônibus 011 e 341, com desembarque na Plataforma Paz, sentido Centro. Neste ponto, o usuário deverá realizar uma baldeação para a linha 415, que possui como destino o IFAM-CMC. Estima-se que o tempo total de deslocamento, incluindo a baldeação, seja de aproximadamente 54 minutos, abrangendo uma distância de 19 km.</w:t>
      </w:r>
    </w:p>
    <w:p w14:paraId="4ADB63F3" w14:textId="77777777" w:rsidR="00421130" w:rsidRDefault="00421130" w:rsidP="00613503">
      <w:pPr>
        <w:spacing w:after="120"/>
        <w:ind w:firstLine="284"/>
        <w:jc w:val="both"/>
        <w:rPr>
          <w:szCs w:val="24"/>
          <w:lang w:val="pt-BR"/>
        </w:rPr>
      </w:pPr>
      <w:r w:rsidRPr="00421130">
        <w:rPr>
          <w:szCs w:val="24"/>
          <w:lang w:val="pt-BR"/>
        </w:rPr>
        <w:t xml:space="preserve">Ressalta-se que os dados de tempo e quilometragem apresentados nesta análise são estimativas e não foram rigorosamente apurados, complementando as informações precisas </w:t>
      </w:r>
      <w:r w:rsidRPr="00421130">
        <w:rPr>
          <w:szCs w:val="24"/>
          <w:lang w:val="pt-BR"/>
        </w:rPr>
        <w:lastRenderedPageBreak/>
        <w:t>exibidas nos mapas. O objetivo deste guia é fornecer um panorama prático e informativo para os usuários do transporte público, auxiliando no acesso ao IFAM-CMC e na otimização do tempo de deslocamento.</w:t>
      </w:r>
    </w:p>
    <w:p w14:paraId="1AD284EF" w14:textId="7BBD8B1E" w:rsidR="009F1886" w:rsidRPr="009F1886" w:rsidRDefault="009F1886" w:rsidP="009F1886">
      <w:pPr>
        <w:spacing w:after="120"/>
        <w:ind w:firstLine="284"/>
        <w:jc w:val="both"/>
        <w:rPr>
          <w:szCs w:val="24"/>
          <w:lang w:val="pt-BR"/>
        </w:rPr>
      </w:pPr>
      <w:r w:rsidRPr="009F1886">
        <w:rPr>
          <w:szCs w:val="24"/>
          <w:lang w:val="pt-BR"/>
        </w:rPr>
        <w:t xml:space="preserve">A análise preliminar das linhas de transporte público com acesso ao Instituto Federal de Educação, Ciência e Tecnologia do Amazonas – Campus Manaus Centro (IFAM-CMC) demonstra uma heterogeneidade na disponibilização de recursos de acessibilidade. A análise da interface do aplicativo de monitoramento veicular "Cadê Meu Ônibus" sugere que, embora algumas linhas </w:t>
      </w:r>
      <w:r>
        <w:rPr>
          <w:szCs w:val="24"/>
          <w:lang w:val="pt-BR"/>
        </w:rPr>
        <w:t xml:space="preserve">possuam veículos </w:t>
      </w:r>
      <w:r w:rsidR="007D1CAB">
        <w:rPr>
          <w:szCs w:val="24"/>
          <w:lang w:val="pt-BR"/>
        </w:rPr>
        <w:t>adaptados</w:t>
      </w:r>
      <w:r w:rsidRPr="009F1886">
        <w:rPr>
          <w:szCs w:val="24"/>
          <w:lang w:val="pt-BR"/>
        </w:rPr>
        <w:t xml:space="preserve"> para usuários com mobilidade reduzida, esta funcionalidade não é consistentemente indicada para todas as viagens ou veículos. A carência de informações </w:t>
      </w:r>
      <w:r>
        <w:rPr>
          <w:szCs w:val="24"/>
          <w:lang w:val="pt-BR"/>
        </w:rPr>
        <w:t xml:space="preserve">mais </w:t>
      </w:r>
      <w:r w:rsidRPr="009F1886">
        <w:rPr>
          <w:szCs w:val="24"/>
          <w:lang w:val="pt-BR"/>
        </w:rPr>
        <w:t>detalhadas impossibilita a dedução de dados precisos concernentes à acessibilidade veicular, demandando, portanto, uma análise sistemática e aprofundada para uma avaliação conclusiva.</w:t>
      </w:r>
    </w:p>
    <w:p w14:paraId="783BC9CD" w14:textId="78467DFB" w:rsidR="009F1886" w:rsidRDefault="009F1886" w:rsidP="009F1886">
      <w:pPr>
        <w:spacing w:after="120"/>
        <w:ind w:firstLine="284"/>
        <w:jc w:val="both"/>
        <w:rPr>
          <w:szCs w:val="24"/>
          <w:lang w:val="pt-BR"/>
        </w:rPr>
      </w:pPr>
      <w:r w:rsidRPr="009F1886">
        <w:rPr>
          <w:szCs w:val="24"/>
          <w:lang w:val="pt-BR"/>
        </w:rPr>
        <w:t>Em relação à acessibilidade da informação para pessoas com deficiência visual, uma decisão judicial significativa ocorrida em Manaus no final de 2024, noticiada pelo portal G1 Amazonas, demonstra a grande necessidade de melhorias no sistema de transporte público. Essa decisão condenou a Prefeitura Municipal, o Instituto Municipal de Mobilidade Urbana (IMMU) e as empresas responsáveis pelos ônibus devido a problemas na comunicação e na falta de recursos de acessibilidade. A Justiça determinou que esses órgãos e empresas devem implementar sinalização adequada e fornecer informações acessíveis, como o sistema braile, nos principais terminais de ônibus e pontos de parada. Essa situação realça a urgência de tornar a comunicação do transporte público mais acessível, garantindo que todas as pessoas, incluindo aquelas com deficiência visual, possam utilizar o serviço com autonomia e segurança.</w:t>
      </w:r>
    </w:p>
    <w:p w14:paraId="58245929" w14:textId="77777777" w:rsidR="009F1886" w:rsidRPr="0049479C" w:rsidRDefault="009F1886" w:rsidP="009F1886">
      <w:pPr>
        <w:spacing w:after="120"/>
        <w:rPr>
          <w:szCs w:val="24"/>
          <w:lang w:val="pt-BR"/>
        </w:rPr>
      </w:pPr>
    </w:p>
    <w:p w14:paraId="63F9FA93" w14:textId="6659E27F" w:rsidR="0049479C" w:rsidRDefault="0049479C" w:rsidP="0049479C">
      <w:pPr>
        <w:pStyle w:val="PargrafodaLista"/>
        <w:numPr>
          <w:ilvl w:val="0"/>
          <w:numId w:val="5"/>
        </w:numPr>
        <w:spacing w:after="120"/>
        <w:rPr>
          <w:b/>
          <w:szCs w:val="24"/>
          <w:lang w:val="pt-BR"/>
        </w:rPr>
      </w:pPr>
      <w:r w:rsidRPr="0049479C">
        <w:rPr>
          <w:b/>
          <w:szCs w:val="24"/>
          <w:lang w:val="pt-BR"/>
        </w:rPr>
        <w:t>Considerações Finais</w:t>
      </w:r>
    </w:p>
    <w:p w14:paraId="21531C0C" w14:textId="77777777" w:rsidR="00E51A09" w:rsidRPr="00E51A09" w:rsidRDefault="00E51A09" w:rsidP="00E51A09">
      <w:pPr>
        <w:pStyle w:val="PargrafodaLista"/>
        <w:spacing w:after="120"/>
        <w:rPr>
          <w:b/>
          <w:szCs w:val="24"/>
          <w:lang w:val="pt-BR"/>
        </w:rPr>
      </w:pPr>
    </w:p>
    <w:p w14:paraId="6ABE33F1" w14:textId="34EA5C3D" w:rsidR="009F1886" w:rsidRPr="009F1886" w:rsidRDefault="009F1886" w:rsidP="009F1886">
      <w:pPr>
        <w:spacing w:after="120"/>
        <w:ind w:firstLine="284"/>
        <w:jc w:val="both"/>
        <w:rPr>
          <w:szCs w:val="24"/>
          <w:lang w:val="pt-BR"/>
        </w:rPr>
      </w:pPr>
      <w:r w:rsidRPr="009F1886">
        <w:rPr>
          <w:szCs w:val="24"/>
          <w:lang w:val="pt-BR"/>
        </w:rPr>
        <w:t xml:space="preserve">O presente estudo científico, em sua etapa inicial, fundamentou-se em uma revisão bibliográfica abrangente acerca das </w:t>
      </w:r>
      <w:r w:rsidR="00E51A09">
        <w:rPr>
          <w:szCs w:val="24"/>
          <w:lang w:val="pt-BR"/>
        </w:rPr>
        <w:t xml:space="preserve">temáticas da mobilidade urbana e </w:t>
      </w:r>
      <w:r w:rsidRPr="009F1886">
        <w:rPr>
          <w:szCs w:val="24"/>
          <w:lang w:val="pt-BR"/>
        </w:rPr>
        <w:t xml:space="preserve">acessibilidade, com ênfase nas discussões contemporâneas sobre a priorização do transporte não motorizado e a inclusão de indivíduos com mobilidade reduzida. Este estudo teórico permitiu contextualizar a problemática da acessibilidade no âmbito do Instituto Federal do Amazonas – Campus Manaus Centro e seu entorno, </w:t>
      </w:r>
      <w:r w:rsidR="00E51A09">
        <w:rPr>
          <w:szCs w:val="24"/>
          <w:lang w:val="pt-BR"/>
        </w:rPr>
        <w:t xml:space="preserve">e </w:t>
      </w:r>
      <w:r w:rsidRPr="009F1886">
        <w:rPr>
          <w:szCs w:val="24"/>
          <w:lang w:val="pt-BR"/>
        </w:rPr>
        <w:t>dire</w:t>
      </w:r>
      <w:r w:rsidR="00E51A09">
        <w:rPr>
          <w:szCs w:val="24"/>
          <w:lang w:val="pt-BR"/>
        </w:rPr>
        <w:t>cionar</w:t>
      </w:r>
      <w:r w:rsidRPr="009F1886">
        <w:rPr>
          <w:szCs w:val="24"/>
          <w:lang w:val="pt-BR"/>
        </w:rPr>
        <w:t xml:space="preserve"> o desenvolvimento da etapa empírica da pesquisa.</w:t>
      </w:r>
    </w:p>
    <w:p w14:paraId="1DDB9C4A" w14:textId="43218FBB" w:rsidR="009F1886" w:rsidRPr="009F1886" w:rsidRDefault="009F1886" w:rsidP="009F1886">
      <w:pPr>
        <w:spacing w:after="120"/>
        <w:ind w:firstLine="284"/>
        <w:jc w:val="both"/>
        <w:rPr>
          <w:szCs w:val="24"/>
          <w:lang w:val="pt-BR"/>
        </w:rPr>
      </w:pPr>
      <w:r w:rsidRPr="009F1886">
        <w:rPr>
          <w:szCs w:val="24"/>
          <w:lang w:val="pt-BR"/>
        </w:rPr>
        <w:t>A metodologia empregada nesta fase exploratória caracterizou-se pela coleta de dados primários por meio da aplicação de formulários a discentes e servido</w:t>
      </w:r>
      <w:r w:rsidR="00E51A09">
        <w:rPr>
          <w:szCs w:val="24"/>
          <w:lang w:val="pt-BR"/>
        </w:rPr>
        <w:t>res do IFAM-CMC (Apêndices A</w:t>
      </w:r>
      <w:r w:rsidRPr="009F1886">
        <w:rPr>
          <w:szCs w:val="24"/>
          <w:lang w:val="pt-BR"/>
        </w:rPr>
        <w:t>). Adicionalmente, realizou-se uma pesquisa de fluxo de tráfego com análise do cálculo da hora de pico, visando compreender a fluidez do tráfego. Os mesmos dados foram utilizados para identificar a influência da instituição no fluxo das vi</w:t>
      </w:r>
      <w:r w:rsidR="00E51A09">
        <w:rPr>
          <w:szCs w:val="24"/>
          <w:lang w:val="pt-BR"/>
        </w:rPr>
        <w:t xml:space="preserve">as adjacentes. A articulação da </w:t>
      </w:r>
      <w:r w:rsidRPr="009F1886">
        <w:rPr>
          <w:szCs w:val="24"/>
          <w:lang w:val="pt-BR"/>
        </w:rPr>
        <w:t>abordag</w:t>
      </w:r>
      <w:r w:rsidR="00E51A09">
        <w:rPr>
          <w:szCs w:val="24"/>
          <w:lang w:val="pt-BR"/>
        </w:rPr>
        <w:t>em quantitativa</w:t>
      </w:r>
      <w:r w:rsidRPr="009F1886">
        <w:rPr>
          <w:szCs w:val="24"/>
          <w:lang w:val="pt-BR"/>
        </w:rPr>
        <w:t xml:space="preserve"> </w:t>
      </w:r>
      <w:r w:rsidR="00E51A09">
        <w:rPr>
          <w:szCs w:val="24"/>
          <w:lang w:val="pt-BR"/>
        </w:rPr>
        <w:t xml:space="preserve">possibilitou uma compreensão </w:t>
      </w:r>
      <w:r w:rsidRPr="009F1886">
        <w:rPr>
          <w:szCs w:val="24"/>
          <w:lang w:val="pt-BR"/>
        </w:rPr>
        <w:t>abrangente das condições de mobilidade e acessibilidade experimentadas pela comunidade acadêmica.</w:t>
      </w:r>
    </w:p>
    <w:p w14:paraId="734848F5" w14:textId="73A7637C" w:rsidR="0067183D" w:rsidRDefault="00525534" w:rsidP="0067183D">
      <w:pPr>
        <w:spacing w:after="120"/>
        <w:ind w:firstLine="284"/>
        <w:jc w:val="both"/>
        <w:rPr>
          <w:szCs w:val="24"/>
          <w:lang w:val="pt-BR"/>
        </w:rPr>
      </w:pPr>
      <w:r w:rsidRPr="00525534">
        <w:rPr>
          <w:szCs w:val="24"/>
          <w:lang w:val="pt-BR"/>
        </w:rPr>
        <w:t xml:space="preserve">Os resultados preliminares desta pesquisa indicam que a análise do tráfego revelou um volume considerável de veículos influenciado pela instituição, embora esta se caracterize como um polo gerador </w:t>
      </w:r>
      <w:r>
        <w:rPr>
          <w:szCs w:val="24"/>
          <w:lang w:val="pt-BR"/>
        </w:rPr>
        <w:t>de viagens de baixa fluxo</w:t>
      </w:r>
      <w:r w:rsidR="009F1886" w:rsidRPr="009F1886">
        <w:rPr>
          <w:szCs w:val="24"/>
          <w:lang w:val="pt-BR"/>
        </w:rPr>
        <w:t xml:space="preserve">. A pesquisa de origem e destino revelou o fluxo de discentes provenientes de diversas zonas da cidade, com maior concentração na Zona Norte, e um perfil de mobilidade diversificado, com predominância do ônibus, seguido por veículos particulares e um baixo índice de utilização de </w:t>
      </w:r>
      <w:r w:rsidR="00E51A09">
        <w:rPr>
          <w:szCs w:val="24"/>
          <w:lang w:val="pt-BR"/>
        </w:rPr>
        <w:t>transportes não motorizados</w:t>
      </w:r>
      <w:r w:rsidR="009F1886" w:rsidRPr="009F1886">
        <w:rPr>
          <w:szCs w:val="24"/>
          <w:lang w:val="pt-BR"/>
        </w:rPr>
        <w:t xml:space="preserve">. </w:t>
      </w:r>
      <w:r w:rsidR="0067183D" w:rsidRPr="0067183D">
        <w:rPr>
          <w:szCs w:val="24"/>
          <w:lang w:val="pt-BR"/>
        </w:rPr>
        <w:t xml:space="preserve">A análise das rotas de ônibus revelou variações na eficiência dependendo do terminal de origem e, principalmente, a necessidade urgente de aprimorar a acessibilidade informacional e física. Essa carência se manifesta na insuficiência de informações consistentes sobre a acessibilidade para pessoas com </w:t>
      </w:r>
      <w:r w:rsidR="0067183D" w:rsidRPr="0067183D">
        <w:rPr>
          <w:szCs w:val="24"/>
          <w:lang w:val="pt-BR"/>
        </w:rPr>
        <w:lastRenderedPageBreak/>
        <w:t>mobilidade reduzida em toda a frota e na falta de sinalização acessível nos pontos de parada e em alguns terminais.</w:t>
      </w:r>
    </w:p>
    <w:p w14:paraId="17F30A5A" w14:textId="3723CE20" w:rsidR="005B099A" w:rsidRPr="00525534" w:rsidRDefault="009F1886" w:rsidP="00525534">
      <w:pPr>
        <w:spacing w:after="120"/>
        <w:ind w:firstLine="284"/>
        <w:jc w:val="both"/>
        <w:rPr>
          <w:szCs w:val="24"/>
          <w:lang w:val="pt-BR"/>
        </w:rPr>
      </w:pPr>
      <w:r w:rsidRPr="009F1886">
        <w:rPr>
          <w:szCs w:val="24"/>
          <w:lang w:val="pt-BR"/>
        </w:rPr>
        <w:t>Dando seguimento à presente investigação, a próxima etapa do estudo contemplará a análise de espacialização aplicada aos estudos de transporte em escala microscópica. Esta fase envolverá a obtenção de dados primários complementares</w:t>
      </w:r>
      <w:r w:rsidR="007D1CAB">
        <w:rPr>
          <w:szCs w:val="24"/>
          <w:lang w:val="pt-BR"/>
        </w:rPr>
        <w:t xml:space="preserve">, </w:t>
      </w:r>
      <w:r w:rsidR="007D1CAB" w:rsidRPr="009F1886">
        <w:rPr>
          <w:szCs w:val="24"/>
          <w:lang w:val="pt-BR"/>
        </w:rPr>
        <w:t>por meio de formulários</w:t>
      </w:r>
      <w:r w:rsidR="007D1CAB">
        <w:rPr>
          <w:szCs w:val="24"/>
          <w:lang w:val="pt-BR"/>
        </w:rPr>
        <w:t xml:space="preserve"> qualitativos</w:t>
      </w:r>
      <w:r w:rsidR="007D1CAB" w:rsidRPr="009F1886">
        <w:rPr>
          <w:szCs w:val="24"/>
          <w:lang w:val="pt-BR"/>
        </w:rPr>
        <w:t>, observação sistemática</w:t>
      </w:r>
      <w:r w:rsidR="007D1CAB">
        <w:rPr>
          <w:szCs w:val="24"/>
          <w:lang w:val="pt-BR"/>
        </w:rPr>
        <w:t xml:space="preserve"> in loco</w:t>
      </w:r>
      <w:r w:rsidR="007D1CAB" w:rsidRPr="009F1886">
        <w:rPr>
          <w:szCs w:val="24"/>
          <w:lang w:val="pt-BR"/>
        </w:rPr>
        <w:t xml:space="preserve"> e levantamentos métricos</w:t>
      </w:r>
      <w:r w:rsidR="007D1CAB">
        <w:rPr>
          <w:szCs w:val="24"/>
          <w:lang w:val="pt-BR"/>
        </w:rPr>
        <w:t>,</w:t>
      </w:r>
      <w:r w:rsidR="007D1CAB" w:rsidRPr="009F1886">
        <w:rPr>
          <w:szCs w:val="24"/>
          <w:lang w:val="pt-BR"/>
        </w:rPr>
        <w:t xml:space="preserve"> </w:t>
      </w:r>
      <w:r w:rsidRPr="009F1886">
        <w:rPr>
          <w:szCs w:val="24"/>
          <w:lang w:val="pt-BR"/>
        </w:rPr>
        <w:t xml:space="preserve">e a elaboração do diagnóstico completo do IFAM-CMC e seu entorno. </w:t>
      </w:r>
      <w:r w:rsidR="0067183D" w:rsidRPr="0067183D">
        <w:rPr>
          <w:szCs w:val="24"/>
          <w:lang w:val="pt-BR"/>
        </w:rPr>
        <w:t>A partir da coleta de dados, será possível construir um panorama detalhado dos elementos constituintes do desenho urbano, como calçadas, travessias de pedestres e pontos de parada do sistema de transporte coletivo. Com isso, elaboraremos um documento referencial com mapas e desenhos técnicos para identificar pontos críticos, o qual servirá de base para a proposição de intervenções que visem a melhoria da mobilidade e acessibilidade no campus e seu entorno</w:t>
      </w:r>
      <w:r w:rsidR="0067183D">
        <w:rPr>
          <w:szCs w:val="24"/>
          <w:lang w:val="pt-BR"/>
        </w:rPr>
        <w:t>.</w:t>
      </w:r>
      <w:r>
        <w:rPr>
          <w:szCs w:val="24"/>
          <w:lang w:val="pt-BR"/>
        </w:rPr>
        <w:t xml:space="preserve"> </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3AC46938" w14:textId="77777777" w:rsidR="003960F9" w:rsidRDefault="003960F9" w:rsidP="006B0FD7">
      <w:pPr>
        <w:spacing w:after="120"/>
        <w:ind w:left="708" w:right="28" w:hanging="708"/>
        <w:rPr>
          <w:szCs w:val="24"/>
          <w:lang w:val="pt-BR"/>
        </w:rPr>
      </w:pPr>
    </w:p>
    <w:p w14:paraId="31598C09" w14:textId="77777777" w:rsidR="005566F8" w:rsidRPr="0016604B" w:rsidRDefault="005566F8" w:rsidP="003960F9">
      <w:pPr>
        <w:spacing w:after="120"/>
        <w:ind w:right="28"/>
        <w:rPr>
          <w:szCs w:val="24"/>
          <w:lang w:val="pt-BR"/>
        </w:rPr>
      </w:pPr>
      <w:r w:rsidRPr="0016604B">
        <w:rPr>
          <w:szCs w:val="24"/>
          <w:lang w:val="pt-BR"/>
        </w:rPr>
        <w:t>ABNT (2020) NBR 9050 – Acessibilidade a edificações, mobiliário, espaços e equipamentos urbanos. Associação Brasileira de N</w:t>
      </w:r>
      <w:r>
        <w:rPr>
          <w:szCs w:val="24"/>
          <w:lang w:val="pt-BR"/>
        </w:rPr>
        <w:t>ormas Técnicas, Rio de Janeiro.</w:t>
      </w:r>
    </w:p>
    <w:p w14:paraId="535E0478" w14:textId="77777777" w:rsidR="005566F8" w:rsidRPr="0016604B" w:rsidRDefault="005566F8" w:rsidP="003960F9">
      <w:pPr>
        <w:spacing w:after="120"/>
        <w:ind w:right="28"/>
        <w:rPr>
          <w:szCs w:val="24"/>
          <w:lang w:val="pt-BR"/>
        </w:rPr>
      </w:pPr>
      <w:r w:rsidRPr="0016604B">
        <w:rPr>
          <w:szCs w:val="24"/>
          <w:lang w:val="pt-BR"/>
        </w:rPr>
        <w:t>ALVES, P., RAIA Jr.(2009) Mobilidade e acessibilidade urbanas sustentáveis. São Carlos: In: VI Congresso de Meio Ambiente AUGM. PPGEU – UFSCAR.</w:t>
      </w:r>
    </w:p>
    <w:p w14:paraId="58DE4935" w14:textId="4B380B1D" w:rsidR="005566F8" w:rsidRPr="0016604B" w:rsidRDefault="005566F8" w:rsidP="003960F9">
      <w:pPr>
        <w:spacing w:after="120"/>
        <w:ind w:right="28"/>
        <w:rPr>
          <w:szCs w:val="24"/>
          <w:lang w:val="pt-BR"/>
        </w:rPr>
      </w:pPr>
      <w:r w:rsidRPr="0016604B">
        <w:rPr>
          <w:szCs w:val="24"/>
          <w:lang w:val="pt-BR"/>
        </w:rPr>
        <w:t>ANTP (2017</w:t>
      </w:r>
      <w:proofErr w:type="gramStart"/>
      <w:r w:rsidRPr="0016604B">
        <w:rPr>
          <w:szCs w:val="24"/>
          <w:lang w:val="pt-BR"/>
        </w:rPr>
        <w:t>)  –</w:t>
      </w:r>
      <w:proofErr w:type="gramEnd"/>
      <w:r w:rsidRPr="0016604B">
        <w:rPr>
          <w:szCs w:val="24"/>
          <w:lang w:val="pt-BR"/>
        </w:rPr>
        <w:t xml:space="preserve"> Associação Nacional dos transportes Públicos - Mobilidade humana para um Brasil urbano. Luiz Carlos </w:t>
      </w:r>
      <w:proofErr w:type="spellStart"/>
      <w:r w:rsidRPr="0016604B">
        <w:rPr>
          <w:szCs w:val="24"/>
          <w:lang w:val="pt-BR"/>
        </w:rPr>
        <w:t>M</w:t>
      </w:r>
      <w:r>
        <w:rPr>
          <w:szCs w:val="24"/>
          <w:lang w:val="pt-BR"/>
        </w:rPr>
        <w:t>Z</w:t>
      </w:r>
      <w:r w:rsidRPr="0016604B">
        <w:rPr>
          <w:szCs w:val="24"/>
          <w:lang w:val="pt-BR"/>
        </w:rPr>
        <w:t>antovani</w:t>
      </w:r>
      <w:proofErr w:type="spellEnd"/>
      <w:r w:rsidRPr="0016604B">
        <w:rPr>
          <w:szCs w:val="24"/>
          <w:lang w:val="pt-BR"/>
        </w:rPr>
        <w:t xml:space="preserve"> </w:t>
      </w:r>
      <w:proofErr w:type="spellStart"/>
      <w:proofErr w:type="gramStart"/>
      <w:r w:rsidRPr="0016604B">
        <w:rPr>
          <w:szCs w:val="24"/>
          <w:lang w:val="pt-BR"/>
        </w:rPr>
        <w:t>Néspoli</w:t>
      </w:r>
      <w:proofErr w:type="spellEnd"/>
      <w:r w:rsidRPr="0016604B">
        <w:rPr>
          <w:szCs w:val="24"/>
          <w:lang w:val="pt-BR"/>
        </w:rPr>
        <w:t xml:space="preserve">  (</w:t>
      </w:r>
      <w:proofErr w:type="gramEnd"/>
      <w:r w:rsidRPr="0016604B">
        <w:rPr>
          <w:szCs w:val="24"/>
          <w:lang w:val="pt-BR"/>
        </w:rPr>
        <w:t>coordenação geral). Eduardo Alcântara de Vasconcellos (coordenação técnica). Apresentação: Ailton Brasiliense Pires e Luiz Carlos Man</w:t>
      </w:r>
      <w:r>
        <w:rPr>
          <w:szCs w:val="24"/>
          <w:lang w:val="pt-BR"/>
        </w:rPr>
        <w:t xml:space="preserve">tovani </w:t>
      </w:r>
      <w:proofErr w:type="spellStart"/>
      <w:proofErr w:type="gramStart"/>
      <w:r>
        <w:rPr>
          <w:szCs w:val="24"/>
          <w:lang w:val="pt-BR"/>
        </w:rPr>
        <w:t>Néspoli</w:t>
      </w:r>
      <w:proofErr w:type="spellEnd"/>
      <w:r>
        <w:rPr>
          <w:szCs w:val="24"/>
          <w:lang w:val="pt-BR"/>
        </w:rPr>
        <w:t xml:space="preserve"> .</w:t>
      </w:r>
      <w:proofErr w:type="gramEnd"/>
      <w:r>
        <w:rPr>
          <w:szCs w:val="24"/>
          <w:lang w:val="pt-BR"/>
        </w:rPr>
        <w:t xml:space="preserve"> 288p. il. 2017</w:t>
      </w:r>
    </w:p>
    <w:p w14:paraId="62AB5962" w14:textId="77777777" w:rsidR="005566F8" w:rsidRPr="003960F9" w:rsidRDefault="005566F8" w:rsidP="003960F9">
      <w:pPr>
        <w:spacing w:after="120"/>
        <w:ind w:right="28"/>
        <w:rPr>
          <w:szCs w:val="24"/>
          <w:lang w:val="pt-BR"/>
        </w:rPr>
      </w:pPr>
      <w:r w:rsidRPr="003960F9">
        <w:rPr>
          <w:szCs w:val="24"/>
          <w:lang w:val="pt-BR"/>
        </w:rPr>
        <w:t>BRASIL. Conselho Nacional de Saúde. Resolução nº 510, de 07 de abril de 2016. Dispõe sobre as normas aplicáveis a pesquisas em Ciências Humanas e Sociais. Diário Oficial da União, Brasília, DF, n. 98, seção 1, p. 44-46, 24 maio 2016. Disponível em:  https://www.gov.br/conselho-nacional-de-saude/pt-br/acesso-a-informacao/atos-normativos/resolucoes/2016/resolucao-no-510.pdf</w:t>
      </w:r>
      <w:r>
        <w:rPr>
          <w:szCs w:val="24"/>
          <w:lang w:val="pt-BR"/>
        </w:rPr>
        <w:t>/view. Acesso em: 12 abr. 2025.</w:t>
      </w:r>
    </w:p>
    <w:p w14:paraId="6290EA5A" w14:textId="77777777" w:rsidR="005566F8" w:rsidRPr="0016604B" w:rsidRDefault="005566F8" w:rsidP="003960F9">
      <w:pPr>
        <w:spacing w:after="120"/>
        <w:ind w:right="28"/>
        <w:rPr>
          <w:szCs w:val="24"/>
          <w:lang w:val="pt-BR"/>
        </w:rPr>
      </w:pPr>
      <w:r w:rsidRPr="0016604B">
        <w:rPr>
          <w:szCs w:val="24"/>
          <w:lang w:val="pt-BR"/>
        </w:rPr>
        <w:t>BRASIL. Lei Nº 12.587, de 3 de janeiro de 2012. Institui a Política Nacio</w:t>
      </w:r>
      <w:r>
        <w:rPr>
          <w:szCs w:val="24"/>
          <w:lang w:val="pt-BR"/>
        </w:rPr>
        <w:t>nal de Mobilidade Urbana. 2012.</w:t>
      </w:r>
    </w:p>
    <w:p w14:paraId="6C7B7228" w14:textId="77777777" w:rsidR="005566F8" w:rsidRPr="0016604B" w:rsidRDefault="005566F8" w:rsidP="003960F9">
      <w:pPr>
        <w:spacing w:after="120"/>
        <w:ind w:right="28"/>
        <w:rPr>
          <w:szCs w:val="24"/>
          <w:lang w:val="pt-BR"/>
        </w:rPr>
      </w:pPr>
      <w:r w:rsidRPr="0016604B">
        <w:rPr>
          <w:szCs w:val="24"/>
          <w:lang w:val="pt-BR"/>
        </w:rPr>
        <w:t>FERREIRA, A. A (2011). Cidade do Século XXI: Segregação e banalização do espaço. R</w:t>
      </w:r>
      <w:r>
        <w:rPr>
          <w:szCs w:val="24"/>
          <w:lang w:val="pt-BR"/>
        </w:rPr>
        <w:t xml:space="preserve">io de Janeiro. </w:t>
      </w:r>
      <w:proofErr w:type="spellStart"/>
      <w:r>
        <w:rPr>
          <w:szCs w:val="24"/>
          <w:lang w:val="pt-BR"/>
        </w:rPr>
        <w:t>Ed.Consequência</w:t>
      </w:r>
      <w:proofErr w:type="spellEnd"/>
      <w:r>
        <w:rPr>
          <w:szCs w:val="24"/>
          <w:lang w:val="pt-BR"/>
        </w:rPr>
        <w:t>.</w:t>
      </w:r>
    </w:p>
    <w:p w14:paraId="56D76536" w14:textId="77777777" w:rsidR="005566F8" w:rsidRPr="003960F9" w:rsidRDefault="005566F8" w:rsidP="003960F9">
      <w:pPr>
        <w:spacing w:after="120"/>
        <w:ind w:right="28"/>
        <w:rPr>
          <w:szCs w:val="24"/>
          <w:lang w:val="pt-BR"/>
        </w:rPr>
      </w:pPr>
      <w:r w:rsidRPr="003960F9">
        <w:rPr>
          <w:szCs w:val="24"/>
          <w:lang w:val="pt-BR"/>
        </w:rPr>
        <w:t xml:space="preserve">FERRER, Ana Luiza Carvalho; THOME, </w:t>
      </w:r>
      <w:proofErr w:type="spellStart"/>
      <w:r w:rsidRPr="003960F9">
        <w:rPr>
          <w:szCs w:val="24"/>
          <w:lang w:val="pt-BR"/>
        </w:rPr>
        <w:t>Antonio</w:t>
      </w:r>
      <w:proofErr w:type="spellEnd"/>
      <w:r w:rsidRPr="003960F9">
        <w:rPr>
          <w:szCs w:val="24"/>
          <w:lang w:val="pt-BR"/>
        </w:rPr>
        <w:t xml:space="preserve"> Marcio Tavares. </w:t>
      </w:r>
      <w:r w:rsidRPr="00936ED9">
        <w:rPr>
          <w:szCs w:val="24"/>
        </w:rPr>
        <w:t xml:space="preserve">Carbon emissions in transportation: A synthesis framework. </w:t>
      </w:r>
      <w:proofErr w:type="spellStart"/>
      <w:r w:rsidRPr="003960F9">
        <w:rPr>
          <w:szCs w:val="24"/>
          <w:lang w:val="pt-BR"/>
        </w:rPr>
        <w:t>Sustainability</w:t>
      </w:r>
      <w:proofErr w:type="spellEnd"/>
      <w:r w:rsidRPr="003960F9">
        <w:rPr>
          <w:szCs w:val="24"/>
          <w:lang w:val="pt-BR"/>
        </w:rPr>
        <w:t>, v. 15, n. 11, p. 8475, 2023. Disponível em: https://www.mdpi.com/2071-1050/15/11</w:t>
      </w:r>
      <w:r>
        <w:rPr>
          <w:szCs w:val="24"/>
          <w:lang w:val="pt-BR"/>
        </w:rPr>
        <w:t>/8475. Acesso em: 13 abr. 2025.</w:t>
      </w:r>
    </w:p>
    <w:p w14:paraId="2052AC0D" w14:textId="77777777" w:rsidR="005566F8" w:rsidRPr="003960F9" w:rsidRDefault="005566F8" w:rsidP="003960F9">
      <w:pPr>
        <w:spacing w:after="120"/>
        <w:ind w:right="28"/>
        <w:rPr>
          <w:szCs w:val="24"/>
          <w:lang w:val="pt-BR"/>
        </w:rPr>
      </w:pPr>
      <w:r w:rsidRPr="003960F9">
        <w:rPr>
          <w:szCs w:val="24"/>
          <w:lang w:val="pt-BR"/>
        </w:rPr>
        <w:t>G1 AMAZONAS. Justiça condena prefeitura de Manaus por falhas de comunicação e acessibilidade no transporte público. Publicado em 02 dez. 2024. Disponível em: https://g1.globo.com/am/amazonas/noticia/2024/12/02/justica-condena-prefeitura-de-manaus-por-falhas-de-comunicacao-e-acessibilidade-no-transporte-publico</w:t>
      </w:r>
      <w:r>
        <w:rPr>
          <w:szCs w:val="24"/>
          <w:lang w:val="pt-BR"/>
        </w:rPr>
        <w:t>.ghtml. Acesso em: 7 abr. 2025.</w:t>
      </w:r>
    </w:p>
    <w:p w14:paraId="1E9F23A0" w14:textId="77777777" w:rsidR="005566F8" w:rsidRPr="0016604B" w:rsidRDefault="005566F8" w:rsidP="003960F9">
      <w:pPr>
        <w:spacing w:after="120"/>
        <w:ind w:right="28"/>
        <w:rPr>
          <w:szCs w:val="24"/>
          <w:lang w:val="pt-BR"/>
        </w:rPr>
      </w:pPr>
      <w:r w:rsidRPr="00936ED9">
        <w:rPr>
          <w:szCs w:val="24"/>
        </w:rPr>
        <w:t xml:space="preserve">GEURS, K. T.; VAN WEE, B. (2004) Accessibility evaluation of land-use and transport strategies: Review and research directions. </w:t>
      </w:r>
      <w:proofErr w:type="spellStart"/>
      <w:r w:rsidRPr="0016604B">
        <w:rPr>
          <w:szCs w:val="24"/>
          <w:lang w:val="pt-BR"/>
        </w:rPr>
        <w:t>Journal</w:t>
      </w:r>
      <w:proofErr w:type="spellEnd"/>
      <w:r w:rsidRPr="0016604B">
        <w:rPr>
          <w:szCs w:val="24"/>
          <w:lang w:val="pt-BR"/>
        </w:rPr>
        <w:t xml:space="preserve"> </w:t>
      </w:r>
      <w:proofErr w:type="spellStart"/>
      <w:r w:rsidRPr="0016604B">
        <w:rPr>
          <w:szCs w:val="24"/>
          <w:lang w:val="pt-BR"/>
        </w:rPr>
        <w:t>of</w:t>
      </w:r>
      <w:proofErr w:type="spellEnd"/>
      <w:r w:rsidRPr="0016604B">
        <w:rPr>
          <w:szCs w:val="24"/>
          <w:lang w:val="pt-BR"/>
        </w:rPr>
        <w:t xml:space="preserve"> </w:t>
      </w:r>
      <w:proofErr w:type="spellStart"/>
      <w:r w:rsidRPr="0016604B">
        <w:rPr>
          <w:szCs w:val="24"/>
          <w:lang w:val="pt-BR"/>
        </w:rPr>
        <w:t>Trans</w:t>
      </w:r>
      <w:r>
        <w:rPr>
          <w:szCs w:val="24"/>
          <w:lang w:val="pt-BR"/>
        </w:rPr>
        <w:t>port</w:t>
      </w:r>
      <w:proofErr w:type="spellEnd"/>
      <w:r>
        <w:rPr>
          <w:szCs w:val="24"/>
          <w:lang w:val="pt-BR"/>
        </w:rPr>
        <w:t xml:space="preserve"> </w:t>
      </w:r>
      <w:proofErr w:type="spellStart"/>
      <w:r>
        <w:rPr>
          <w:szCs w:val="24"/>
          <w:lang w:val="pt-BR"/>
        </w:rPr>
        <w:t>Geography</w:t>
      </w:r>
      <w:proofErr w:type="spellEnd"/>
      <w:r>
        <w:rPr>
          <w:szCs w:val="24"/>
          <w:lang w:val="pt-BR"/>
        </w:rPr>
        <w:t>, 12(2), 127–140.</w:t>
      </w:r>
    </w:p>
    <w:p w14:paraId="5A266DBE" w14:textId="77777777" w:rsidR="005566F8" w:rsidRPr="0016604B" w:rsidRDefault="005566F8" w:rsidP="003960F9">
      <w:pPr>
        <w:spacing w:after="120"/>
        <w:ind w:right="28"/>
        <w:rPr>
          <w:szCs w:val="24"/>
          <w:lang w:val="pt-BR"/>
        </w:rPr>
      </w:pPr>
      <w:r w:rsidRPr="0016604B">
        <w:rPr>
          <w:szCs w:val="24"/>
          <w:lang w:val="pt-BR"/>
        </w:rPr>
        <w:t xml:space="preserve">GHIDINI, Roberto. (2011) A </w:t>
      </w:r>
      <w:proofErr w:type="spellStart"/>
      <w:r w:rsidRPr="0016604B">
        <w:rPr>
          <w:szCs w:val="24"/>
          <w:lang w:val="pt-BR"/>
        </w:rPr>
        <w:t>Caminhabilidade</w:t>
      </w:r>
      <w:proofErr w:type="spellEnd"/>
      <w:r w:rsidRPr="0016604B">
        <w:rPr>
          <w:szCs w:val="24"/>
          <w:lang w:val="pt-BR"/>
        </w:rPr>
        <w:t>: medida urbana sustentável. Brasil: Revista dos Transporte</w:t>
      </w:r>
      <w:r>
        <w:rPr>
          <w:szCs w:val="24"/>
          <w:lang w:val="pt-BR"/>
        </w:rPr>
        <w:t>s Públicos. ANTP. Ano 33, 2011.</w:t>
      </w:r>
    </w:p>
    <w:p w14:paraId="0F4CE9D8" w14:textId="77777777" w:rsidR="005566F8" w:rsidRDefault="005566F8" w:rsidP="003960F9">
      <w:pPr>
        <w:spacing w:after="120"/>
        <w:ind w:right="28"/>
        <w:rPr>
          <w:szCs w:val="24"/>
          <w:lang w:val="pt-BR"/>
        </w:rPr>
      </w:pPr>
      <w:r w:rsidRPr="0016604B">
        <w:rPr>
          <w:szCs w:val="24"/>
          <w:lang w:val="pt-BR"/>
        </w:rPr>
        <w:lastRenderedPageBreak/>
        <w:t>IMPLURB (2024) Mapa Urbano de Manaus. Dados do Censo IBGE 2022. Manaus: Instituto Municipal de Planejamento Urbano. &lt;</w:t>
      </w:r>
      <w:proofErr w:type="gramStart"/>
      <w:r w:rsidRPr="0016604B">
        <w:rPr>
          <w:szCs w:val="24"/>
          <w:lang w:val="pt-BR"/>
        </w:rPr>
        <w:t>https://www.manaus.am.gov.br/implurb/implurb-mapa-urbano/</w:t>
      </w:r>
      <w:proofErr w:type="gramEnd"/>
      <w:r w:rsidRPr="0016604B">
        <w:rPr>
          <w:szCs w:val="24"/>
          <w:lang w:val="pt-BR"/>
        </w:rPr>
        <w:t>&gt;. Acesso em 11 de janeiro de 2025.</w:t>
      </w:r>
    </w:p>
    <w:p w14:paraId="14B3B274" w14:textId="77777777" w:rsidR="005566F8" w:rsidRPr="003960F9" w:rsidRDefault="005566F8" w:rsidP="003960F9">
      <w:pPr>
        <w:spacing w:after="120"/>
        <w:ind w:right="28"/>
        <w:rPr>
          <w:szCs w:val="24"/>
          <w:lang w:val="pt-BR"/>
        </w:rPr>
      </w:pPr>
      <w:r w:rsidRPr="003960F9">
        <w:rPr>
          <w:szCs w:val="24"/>
          <w:lang w:val="pt-BR"/>
        </w:rPr>
        <w:t>KONZEN, L. P.; VIVIAN, M. M. A revitalização do Cais Mauá, em Porto Alegre, na perspectiva da geografia jurídica. Geografia (Rio Claro), v. 45, p. 390-419, 2020. Disponível em: https://lume.ufrgs.br/bitstream/handle/10183/222690/001124619.pdf?sequence=1&amp;isAllowed=y. Acesso em: 13 a</w:t>
      </w:r>
      <w:r>
        <w:rPr>
          <w:szCs w:val="24"/>
          <w:lang w:val="pt-BR"/>
        </w:rPr>
        <w:t>br. 2025.</w:t>
      </w:r>
    </w:p>
    <w:p w14:paraId="4CD1BB58" w14:textId="77777777" w:rsidR="005566F8" w:rsidRPr="0016604B" w:rsidRDefault="005566F8" w:rsidP="003960F9">
      <w:pPr>
        <w:spacing w:after="120"/>
        <w:ind w:right="28"/>
        <w:rPr>
          <w:szCs w:val="24"/>
          <w:lang w:val="pt-BR"/>
        </w:rPr>
      </w:pPr>
      <w:r w:rsidRPr="00936ED9">
        <w:rPr>
          <w:szCs w:val="24"/>
        </w:rPr>
        <w:t xml:space="preserve">LITMAN, T. L. (2014) </w:t>
      </w:r>
      <w:proofErr w:type="gramStart"/>
      <w:r w:rsidRPr="00936ED9">
        <w:rPr>
          <w:szCs w:val="24"/>
        </w:rPr>
        <w:t>The</w:t>
      </w:r>
      <w:proofErr w:type="gramEnd"/>
      <w:r w:rsidRPr="00936ED9">
        <w:rPr>
          <w:szCs w:val="24"/>
        </w:rPr>
        <w:t xml:space="preserve"> Mobility-Productivity Paradox. In: International Transportation Economic Development Conference, Dallas - TX. </w:t>
      </w:r>
      <w:r w:rsidRPr="0016604B">
        <w:rPr>
          <w:szCs w:val="24"/>
          <w:lang w:val="pt-BR"/>
        </w:rPr>
        <w:t>Anais eletrônicos. Disponível em: &lt;http://www.vtpi.org/ITED_paradox.pdf &gt;. Acesso em 19 jun. 2017.</w:t>
      </w:r>
    </w:p>
    <w:p w14:paraId="250D0972" w14:textId="77777777" w:rsidR="005566F8" w:rsidRPr="0016604B" w:rsidRDefault="005566F8" w:rsidP="003960F9">
      <w:pPr>
        <w:spacing w:after="120"/>
        <w:ind w:right="28"/>
        <w:rPr>
          <w:szCs w:val="24"/>
          <w:lang w:val="pt-BR"/>
        </w:rPr>
      </w:pPr>
      <w:r w:rsidRPr="00936ED9">
        <w:rPr>
          <w:szCs w:val="24"/>
        </w:rPr>
        <w:t xml:space="preserve">LITMAN, Todd. Evaluating transportation equity. </w:t>
      </w:r>
      <w:r w:rsidRPr="0016604B">
        <w:rPr>
          <w:szCs w:val="24"/>
          <w:lang w:val="pt-BR"/>
        </w:rPr>
        <w:t xml:space="preserve">Victoria, BC, Canada: Victoria </w:t>
      </w:r>
      <w:proofErr w:type="spellStart"/>
      <w:r w:rsidRPr="0016604B">
        <w:rPr>
          <w:szCs w:val="24"/>
          <w:lang w:val="pt-BR"/>
        </w:rPr>
        <w:t>Transport</w:t>
      </w:r>
      <w:proofErr w:type="spellEnd"/>
      <w:r w:rsidRPr="0016604B">
        <w:rPr>
          <w:szCs w:val="24"/>
          <w:lang w:val="pt-BR"/>
        </w:rPr>
        <w:t xml:space="preserve"> </w:t>
      </w:r>
      <w:proofErr w:type="spellStart"/>
      <w:r w:rsidRPr="0016604B">
        <w:rPr>
          <w:szCs w:val="24"/>
          <w:lang w:val="pt-BR"/>
        </w:rPr>
        <w:t>Policy</w:t>
      </w:r>
      <w:proofErr w:type="spellEnd"/>
      <w:r w:rsidRPr="0016604B">
        <w:rPr>
          <w:szCs w:val="24"/>
          <w:lang w:val="pt-BR"/>
        </w:rPr>
        <w:t xml:space="preserve"> </w:t>
      </w:r>
      <w:proofErr w:type="spellStart"/>
      <w:r w:rsidRPr="0016604B">
        <w:rPr>
          <w:szCs w:val="24"/>
          <w:lang w:val="pt-BR"/>
        </w:rPr>
        <w:t>Institute</w:t>
      </w:r>
      <w:proofErr w:type="spellEnd"/>
      <w:r w:rsidRPr="0016604B">
        <w:rPr>
          <w:szCs w:val="24"/>
          <w:lang w:val="pt-BR"/>
        </w:rPr>
        <w:t>, 2017. Disponível em: https://www.researchgate.net/profile/Todd-Litman-2/publication/284050013_Evaluating_transportation_equity/links/5c4f42bba6fdccd6b5d00a9d/Evaluating-transportation-equity</w:t>
      </w:r>
      <w:r>
        <w:rPr>
          <w:szCs w:val="24"/>
          <w:lang w:val="pt-BR"/>
        </w:rPr>
        <w:t xml:space="preserve">.pdf </w:t>
      </w:r>
      <w:proofErr w:type="gramStart"/>
      <w:r>
        <w:rPr>
          <w:szCs w:val="24"/>
          <w:lang w:val="pt-BR"/>
        </w:rPr>
        <w:t>&gt; .</w:t>
      </w:r>
      <w:proofErr w:type="gramEnd"/>
      <w:r>
        <w:rPr>
          <w:szCs w:val="24"/>
          <w:lang w:val="pt-BR"/>
        </w:rPr>
        <w:t xml:space="preserve"> Acesso em 13 Abr. 2025</w:t>
      </w:r>
    </w:p>
    <w:p w14:paraId="0030122A" w14:textId="77777777" w:rsidR="005566F8" w:rsidRPr="00936ED9" w:rsidRDefault="005566F8" w:rsidP="003960F9">
      <w:pPr>
        <w:spacing w:after="120"/>
        <w:ind w:right="28"/>
        <w:rPr>
          <w:szCs w:val="24"/>
        </w:rPr>
      </w:pPr>
      <w:r w:rsidRPr="0016604B">
        <w:rPr>
          <w:szCs w:val="24"/>
          <w:lang w:val="pt-BR"/>
        </w:rPr>
        <w:t>MANAUS. Lei Municipal 1.401, de 14 de janeiro de 2010. Dispõe sobre a criação e a divisão dos bairros da cidade de Manaus, com estabelecimento de novos limites, e dá outras providências. Diário Oficial do Município de Manaus. Poder Executivo, Manaus, 14. jan. 20</w:t>
      </w:r>
      <w:r>
        <w:rPr>
          <w:szCs w:val="24"/>
          <w:lang w:val="pt-BR"/>
        </w:rPr>
        <w:t xml:space="preserve">10. </w:t>
      </w:r>
      <w:proofErr w:type="spellStart"/>
      <w:r w:rsidRPr="00936ED9">
        <w:rPr>
          <w:szCs w:val="24"/>
        </w:rPr>
        <w:t>Ano</w:t>
      </w:r>
      <w:proofErr w:type="spellEnd"/>
      <w:r w:rsidRPr="00936ED9">
        <w:rPr>
          <w:szCs w:val="24"/>
        </w:rPr>
        <w:t xml:space="preserve"> XI, </w:t>
      </w:r>
      <w:proofErr w:type="spellStart"/>
      <w:r w:rsidRPr="00936ED9">
        <w:rPr>
          <w:szCs w:val="24"/>
        </w:rPr>
        <w:t>Edição</w:t>
      </w:r>
      <w:proofErr w:type="spellEnd"/>
      <w:r w:rsidRPr="00936ED9">
        <w:rPr>
          <w:szCs w:val="24"/>
        </w:rPr>
        <w:t xml:space="preserve"> 2365, p. 1. </w:t>
      </w:r>
    </w:p>
    <w:p w14:paraId="4F358E21" w14:textId="77777777" w:rsidR="005566F8" w:rsidRPr="00936ED9" w:rsidRDefault="005566F8" w:rsidP="003960F9">
      <w:pPr>
        <w:spacing w:after="120"/>
        <w:ind w:right="28"/>
        <w:rPr>
          <w:szCs w:val="24"/>
        </w:rPr>
      </w:pPr>
      <w:r w:rsidRPr="00936ED9">
        <w:rPr>
          <w:szCs w:val="24"/>
        </w:rPr>
        <w:t xml:space="preserve">MANUAL, Highway Capacity. Highway capacity manual. Washington, DC, v. </w:t>
      </w:r>
      <w:proofErr w:type="gramStart"/>
      <w:r w:rsidRPr="00936ED9">
        <w:rPr>
          <w:szCs w:val="24"/>
        </w:rPr>
        <w:t>2</w:t>
      </w:r>
      <w:proofErr w:type="gramEnd"/>
      <w:r w:rsidRPr="00936ED9">
        <w:rPr>
          <w:szCs w:val="24"/>
        </w:rPr>
        <w:t>, n. 1, p. 1, 2000.</w:t>
      </w:r>
    </w:p>
    <w:p w14:paraId="549A5CA8" w14:textId="77777777" w:rsidR="005566F8" w:rsidRPr="0016604B" w:rsidRDefault="005566F8" w:rsidP="003960F9">
      <w:pPr>
        <w:spacing w:after="120"/>
        <w:ind w:right="28"/>
        <w:rPr>
          <w:szCs w:val="24"/>
          <w:lang w:val="pt-BR"/>
        </w:rPr>
      </w:pPr>
      <w:r w:rsidRPr="0016604B">
        <w:rPr>
          <w:szCs w:val="24"/>
          <w:lang w:val="pt-BR"/>
        </w:rPr>
        <w:t>MELLO, A.; PORTUGAL, L. (2017) Um procedimento baseado na acessibilidade para a concepção de Planos Estratégicos de Mobilidade Urbana: o caso do Bra</w:t>
      </w:r>
      <w:r>
        <w:rPr>
          <w:szCs w:val="24"/>
          <w:lang w:val="pt-BR"/>
        </w:rPr>
        <w:t>sil. (Vol. 43). Rio de Janeiro.</w:t>
      </w:r>
    </w:p>
    <w:p w14:paraId="40E18AFF" w14:textId="77777777" w:rsidR="005566F8" w:rsidRPr="0016604B" w:rsidRDefault="005566F8" w:rsidP="003960F9">
      <w:pPr>
        <w:spacing w:after="120"/>
        <w:ind w:right="28"/>
        <w:rPr>
          <w:szCs w:val="24"/>
          <w:lang w:val="pt-BR"/>
        </w:rPr>
      </w:pPr>
      <w:r w:rsidRPr="0016604B">
        <w:rPr>
          <w:szCs w:val="24"/>
          <w:lang w:val="pt-BR"/>
        </w:rPr>
        <w:t xml:space="preserve">MORRIS, J. M., </w:t>
      </w:r>
      <w:proofErr w:type="spellStart"/>
      <w:r w:rsidRPr="0016604B">
        <w:rPr>
          <w:szCs w:val="24"/>
          <w:lang w:val="pt-BR"/>
        </w:rPr>
        <w:t>Dumble</w:t>
      </w:r>
      <w:proofErr w:type="spellEnd"/>
      <w:r w:rsidRPr="0016604B">
        <w:rPr>
          <w:szCs w:val="24"/>
          <w:lang w:val="pt-BR"/>
        </w:rPr>
        <w:t xml:space="preserve">, P. L., </w:t>
      </w:r>
      <w:proofErr w:type="spellStart"/>
      <w:r w:rsidRPr="0016604B">
        <w:rPr>
          <w:szCs w:val="24"/>
          <w:lang w:val="pt-BR"/>
        </w:rPr>
        <w:t>Wigan</w:t>
      </w:r>
      <w:proofErr w:type="spellEnd"/>
      <w:r w:rsidRPr="0016604B">
        <w:rPr>
          <w:szCs w:val="24"/>
          <w:lang w:val="pt-BR"/>
        </w:rPr>
        <w:t xml:space="preserve">, M. R. (1979). </w:t>
      </w:r>
      <w:proofErr w:type="spellStart"/>
      <w:r w:rsidRPr="00936ED9">
        <w:rPr>
          <w:szCs w:val="24"/>
        </w:rPr>
        <w:t>Accessbility</w:t>
      </w:r>
      <w:proofErr w:type="spellEnd"/>
      <w:r w:rsidRPr="00936ED9">
        <w:rPr>
          <w:szCs w:val="24"/>
        </w:rPr>
        <w:t xml:space="preserve"> </w:t>
      </w:r>
      <w:proofErr w:type="spellStart"/>
      <w:r w:rsidRPr="00936ED9">
        <w:rPr>
          <w:szCs w:val="24"/>
        </w:rPr>
        <w:t>indicadors</w:t>
      </w:r>
      <w:proofErr w:type="spellEnd"/>
      <w:r w:rsidRPr="00936ED9">
        <w:rPr>
          <w:szCs w:val="24"/>
        </w:rPr>
        <w:t xml:space="preserve"> for transport planning. </w:t>
      </w:r>
      <w:proofErr w:type="spellStart"/>
      <w:r w:rsidRPr="0016604B">
        <w:rPr>
          <w:szCs w:val="24"/>
          <w:lang w:val="pt-BR"/>
        </w:rPr>
        <w:t>Transportation</w:t>
      </w:r>
      <w:proofErr w:type="spellEnd"/>
      <w:r w:rsidRPr="0016604B">
        <w:rPr>
          <w:szCs w:val="24"/>
          <w:lang w:val="pt-BR"/>
        </w:rPr>
        <w:t xml:space="preserve"> </w:t>
      </w:r>
      <w:proofErr w:type="spellStart"/>
      <w:r w:rsidRPr="0016604B">
        <w:rPr>
          <w:szCs w:val="24"/>
          <w:lang w:val="pt-BR"/>
        </w:rPr>
        <w:t>Re</w:t>
      </w:r>
      <w:r>
        <w:rPr>
          <w:szCs w:val="24"/>
          <w:lang w:val="pt-BR"/>
        </w:rPr>
        <w:t>search</w:t>
      </w:r>
      <w:proofErr w:type="spellEnd"/>
      <w:r>
        <w:rPr>
          <w:szCs w:val="24"/>
          <w:lang w:val="pt-BR"/>
        </w:rPr>
        <w:t xml:space="preserve">, </w:t>
      </w:r>
      <w:proofErr w:type="spellStart"/>
      <w:r>
        <w:rPr>
          <w:szCs w:val="24"/>
          <w:lang w:val="pt-BR"/>
        </w:rPr>
        <w:t>part</w:t>
      </w:r>
      <w:proofErr w:type="spellEnd"/>
      <w:r>
        <w:rPr>
          <w:szCs w:val="24"/>
          <w:lang w:val="pt-BR"/>
        </w:rPr>
        <w:t xml:space="preserve"> A, 13 (2): 91-109.</w:t>
      </w:r>
    </w:p>
    <w:p w14:paraId="279E3D0B" w14:textId="77777777" w:rsidR="005566F8" w:rsidRPr="0016604B" w:rsidRDefault="005566F8" w:rsidP="003960F9">
      <w:pPr>
        <w:spacing w:after="120"/>
        <w:ind w:right="28"/>
        <w:rPr>
          <w:szCs w:val="24"/>
          <w:lang w:val="pt-BR"/>
        </w:rPr>
      </w:pPr>
      <w:r w:rsidRPr="0016604B">
        <w:rPr>
          <w:szCs w:val="24"/>
          <w:lang w:val="pt-BR"/>
        </w:rPr>
        <w:t>NETO, J. C. (2016). Um pequeno estudo sobre contagens veiculares na área central da cidade. Companhia de Engenharia de Tráfego - São Paulo. Disponível em: https://www.cetsp.com.br/media/478886/nt242.pdf.</w:t>
      </w:r>
      <w:r>
        <w:rPr>
          <w:szCs w:val="24"/>
          <w:lang w:val="pt-BR"/>
        </w:rPr>
        <w:t xml:space="preserve"> Acesso em: 05 de jan. de 2025.</w:t>
      </w:r>
    </w:p>
    <w:p w14:paraId="7C9891C1" w14:textId="77777777" w:rsidR="005566F8" w:rsidRPr="0016604B" w:rsidRDefault="005566F8" w:rsidP="003960F9">
      <w:pPr>
        <w:spacing w:after="120"/>
        <w:ind w:right="28"/>
        <w:rPr>
          <w:szCs w:val="24"/>
          <w:lang w:val="pt-BR"/>
        </w:rPr>
      </w:pPr>
      <w:r w:rsidRPr="00936ED9">
        <w:rPr>
          <w:szCs w:val="24"/>
        </w:rPr>
        <w:t xml:space="preserve">ZEGRAS, P. C. (2005) Sustainable Urban Mobility: Exploring the role of the Built Environment. </w:t>
      </w:r>
      <w:r w:rsidRPr="0016604B">
        <w:rPr>
          <w:szCs w:val="24"/>
          <w:lang w:val="pt-BR"/>
        </w:rPr>
        <w:t>Massach</w:t>
      </w:r>
      <w:r>
        <w:rPr>
          <w:szCs w:val="24"/>
          <w:lang w:val="pt-BR"/>
        </w:rPr>
        <w:t xml:space="preserve">usetts </w:t>
      </w:r>
      <w:proofErr w:type="spellStart"/>
      <w:r>
        <w:rPr>
          <w:szCs w:val="24"/>
          <w:lang w:val="pt-BR"/>
        </w:rPr>
        <w:t>Institute</w:t>
      </w:r>
      <w:proofErr w:type="spellEnd"/>
      <w:r>
        <w:rPr>
          <w:szCs w:val="24"/>
          <w:lang w:val="pt-BR"/>
        </w:rPr>
        <w:t xml:space="preserve"> </w:t>
      </w:r>
      <w:proofErr w:type="spellStart"/>
      <w:r>
        <w:rPr>
          <w:szCs w:val="24"/>
          <w:lang w:val="pt-BR"/>
        </w:rPr>
        <w:t>of</w:t>
      </w:r>
      <w:proofErr w:type="spellEnd"/>
      <w:r>
        <w:rPr>
          <w:szCs w:val="24"/>
          <w:lang w:val="pt-BR"/>
        </w:rPr>
        <w:t xml:space="preserve"> Technology.</w:t>
      </w:r>
    </w:p>
    <w:p w14:paraId="69841B20" w14:textId="77777777" w:rsidR="003960F9" w:rsidRDefault="003960F9" w:rsidP="003960F9">
      <w:pPr>
        <w:spacing w:after="120"/>
        <w:ind w:right="28"/>
        <w:rPr>
          <w:szCs w:val="24"/>
          <w:lang w:val="pt-BR"/>
        </w:rPr>
      </w:pPr>
    </w:p>
    <w:p w14:paraId="1C9FFCFA" w14:textId="77777777" w:rsidR="003960F9" w:rsidRDefault="003960F9" w:rsidP="003960F9">
      <w:pPr>
        <w:spacing w:after="120"/>
        <w:ind w:right="28"/>
        <w:rPr>
          <w:szCs w:val="24"/>
          <w:lang w:val="pt-BR"/>
        </w:rPr>
      </w:pPr>
    </w:p>
    <w:p w14:paraId="40B8B5EC" w14:textId="77777777" w:rsidR="003960F9" w:rsidRDefault="003960F9" w:rsidP="003960F9">
      <w:pPr>
        <w:spacing w:after="120"/>
        <w:ind w:right="28"/>
        <w:rPr>
          <w:szCs w:val="24"/>
          <w:lang w:val="pt-BR"/>
        </w:rPr>
      </w:pPr>
    </w:p>
    <w:p w14:paraId="0927F3EE" w14:textId="77777777" w:rsidR="003960F9" w:rsidRDefault="003960F9" w:rsidP="003960F9">
      <w:pPr>
        <w:spacing w:after="120"/>
        <w:ind w:right="28"/>
        <w:rPr>
          <w:szCs w:val="24"/>
          <w:lang w:val="pt-BR"/>
        </w:rPr>
      </w:pPr>
    </w:p>
    <w:p w14:paraId="5CC5B917" w14:textId="77777777" w:rsidR="003960F9" w:rsidRDefault="003960F9" w:rsidP="003960F9">
      <w:pPr>
        <w:spacing w:after="120"/>
        <w:ind w:right="28"/>
        <w:rPr>
          <w:szCs w:val="24"/>
          <w:lang w:val="pt-BR"/>
        </w:rPr>
      </w:pPr>
    </w:p>
    <w:p w14:paraId="285A9A13" w14:textId="77777777" w:rsidR="003960F9" w:rsidRDefault="003960F9" w:rsidP="003960F9">
      <w:pPr>
        <w:spacing w:after="120"/>
        <w:ind w:right="28"/>
        <w:rPr>
          <w:szCs w:val="24"/>
          <w:lang w:val="pt-BR"/>
        </w:rPr>
      </w:pPr>
    </w:p>
    <w:p w14:paraId="36D581E7" w14:textId="77777777" w:rsidR="003960F9" w:rsidRDefault="003960F9" w:rsidP="003960F9">
      <w:pPr>
        <w:spacing w:after="120"/>
        <w:ind w:right="28"/>
        <w:rPr>
          <w:szCs w:val="24"/>
          <w:lang w:val="pt-BR"/>
        </w:rPr>
      </w:pPr>
    </w:p>
    <w:p w14:paraId="37E53AD5" w14:textId="77777777" w:rsidR="003960F9" w:rsidRDefault="003960F9" w:rsidP="003960F9">
      <w:pPr>
        <w:spacing w:after="120"/>
        <w:ind w:right="28"/>
        <w:rPr>
          <w:szCs w:val="24"/>
          <w:lang w:val="pt-BR"/>
        </w:rPr>
      </w:pPr>
    </w:p>
    <w:p w14:paraId="0F444B11" w14:textId="77777777" w:rsidR="003960F9" w:rsidRDefault="003960F9" w:rsidP="003960F9">
      <w:pPr>
        <w:spacing w:after="120"/>
        <w:ind w:right="28"/>
        <w:rPr>
          <w:szCs w:val="24"/>
          <w:lang w:val="pt-BR"/>
        </w:rPr>
      </w:pPr>
    </w:p>
    <w:p w14:paraId="400F4575" w14:textId="77777777" w:rsidR="005566F8" w:rsidRDefault="005566F8" w:rsidP="003960F9">
      <w:pPr>
        <w:spacing w:after="120"/>
        <w:ind w:right="28"/>
        <w:rPr>
          <w:szCs w:val="24"/>
          <w:lang w:val="pt-BR"/>
        </w:rPr>
      </w:pPr>
    </w:p>
    <w:p w14:paraId="4A009534" w14:textId="77777777" w:rsidR="003960F9" w:rsidRDefault="003960F9" w:rsidP="003960F9">
      <w:pPr>
        <w:spacing w:after="120"/>
        <w:ind w:right="28"/>
        <w:rPr>
          <w:szCs w:val="24"/>
          <w:lang w:val="pt-BR"/>
        </w:rPr>
      </w:pPr>
    </w:p>
    <w:sectPr w:rsidR="003960F9" w:rsidSect="009A6FD7">
      <w:endnotePr>
        <w:numFmt w:val="decimal"/>
      </w:endnotePr>
      <w:type w:val="continuous"/>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EBFBE" w14:textId="77777777" w:rsidR="004E4D48" w:rsidRDefault="004E4D48">
      <w:r>
        <w:separator/>
      </w:r>
    </w:p>
  </w:endnote>
  <w:endnote w:type="continuationSeparator" w:id="0">
    <w:p w14:paraId="5231E08C" w14:textId="77777777" w:rsidR="004E4D48" w:rsidRDefault="004E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4E120" w14:textId="77777777" w:rsidR="004E4D48" w:rsidRDefault="004E4D48">
      <w:bookmarkStart w:id="0" w:name="_Hlk524516655"/>
      <w:bookmarkEnd w:id="0"/>
      <w:r>
        <w:separator/>
      </w:r>
    </w:p>
  </w:footnote>
  <w:footnote w:type="continuationSeparator" w:id="0">
    <w:p w14:paraId="5B7DFF8D" w14:textId="77777777" w:rsidR="004E4D48" w:rsidRDefault="004E4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1EBB"/>
    <w:rsid w:val="000045FB"/>
    <w:rsid w:val="000058E4"/>
    <w:rsid w:val="00022C86"/>
    <w:rsid w:val="00026F91"/>
    <w:rsid w:val="000275EB"/>
    <w:rsid w:val="00041AB9"/>
    <w:rsid w:val="000465E8"/>
    <w:rsid w:val="000535E6"/>
    <w:rsid w:val="00054581"/>
    <w:rsid w:val="0007099C"/>
    <w:rsid w:val="000711EF"/>
    <w:rsid w:val="00084121"/>
    <w:rsid w:val="00094DEA"/>
    <w:rsid w:val="000A0634"/>
    <w:rsid w:val="000B53D4"/>
    <w:rsid w:val="000C396B"/>
    <w:rsid w:val="000F31C9"/>
    <w:rsid w:val="000F5978"/>
    <w:rsid w:val="000F5CC4"/>
    <w:rsid w:val="001027A9"/>
    <w:rsid w:val="00123B81"/>
    <w:rsid w:val="001319A4"/>
    <w:rsid w:val="00135C86"/>
    <w:rsid w:val="00137DAE"/>
    <w:rsid w:val="00141364"/>
    <w:rsid w:val="001464DE"/>
    <w:rsid w:val="00150A7B"/>
    <w:rsid w:val="0015121C"/>
    <w:rsid w:val="00152FAD"/>
    <w:rsid w:val="00154F6A"/>
    <w:rsid w:val="00156B94"/>
    <w:rsid w:val="00157CE6"/>
    <w:rsid w:val="0016002D"/>
    <w:rsid w:val="001632CD"/>
    <w:rsid w:val="0016604B"/>
    <w:rsid w:val="00166961"/>
    <w:rsid w:val="00167D4E"/>
    <w:rsid w:val="00170328"/>
    <w:rsid w:val="00173361"/>
    <w:rsid w:val="00174DA0"/>
    <w:rsid w:val="00187695"/>
    <w:rsid w:val="00195A9B"/>
    <w:rsid w:val="001A02AA"/>
    <w:rsid w:val="001A141A"/>
    <w:rsid w:val="001A41D0"/>
    <w:rsid w:val="001A619C"/>
    <w:rsid w:val="001A6C40"/>
    <w:rsid w:val="001B1B25"/>
    <w:rsid w:val="001C1ECB"/>
    <w:rsid w:val="001C4D03"/>
    <w:rsid w:val="001E57A8"/>
    <w:rsid w:val="001E784F"/>
    <w:rsid w:val="001F15C2"/>
    <w:rsid w:val="00201C0B"/>
    <w:rsid w:val="002156E9"/>
    <w:rsid w:val="0023063E"/>
    <w:rsid w:val="00230747"/>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B630B"/>
    <w:rsid w:val="002B7395"/>
    <w:rsid w:val="002D26CC"/>
    <w:rsid w:val="002D2F27"/>
    <w:rsid w:val="002D31EF"/>
    <w:rsid w:val="002E0F40"/>
    <w:rsid w:val="002E55CE"/>
    <w:rsid w:val="002F0E3F"/>
    <w:rsid w:val="002F266B"/>
    <w:rsid w:val="002F457F"/>
    <w:rsid w:val="0030425A"/>
    <w:rsid w:val="00304794"/>
    <w:rsid w:val="00304993"/>
    <w:rsid w:val="00321E9E"/>
    <w:rsid w:val="003240B9"/>
    <w:rsid w:val="0033475A"/>
    <w:rsid w:val="00334C11"/>
    <w:rsid w:val="00342D36"/>
    <w:rsid w:val="0035152E"/>
    <w:rsid w:val="00356CD1"/>
    <w:rsid w:val="00366C77"/>
    <w:rsid w:val="00375F35"/>
    <w:rsid w:val="00376B0A"/>
    <w:rsid w:val="0038005D"/>
    <w:rsid w:val="00384F40"/>
    <w:rsid w:val="003960F9"/>
    <w:rsid w:val="003C2C5E"/>
    <w:rsid w:val="003C3AB2"/>
    <w:rsid w:val="003C7A9D"/>
    <w:rsid w:val="003D7902"/>
    <w:rsid w:val="003E42AE"/>
    <w:rsid w:val="003E6576"/>
    <w:rsid w:val="0040305B"/>
    <w:rsid w:val="004146A8"/>
    <w:rsid w:val="00417865"/>
    <w:rsid w:val="00421130"/>
    <w:rsid w:val="004245F7"/>
    <w:rsid w:val="00426C18"/>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4D48"/>
    <w:rsid w:val="004E7D4E"/>
    <w:rsid w:val="004F74BE"/>
    <w:rsid w:val="00525534"/>
    <w:rsid w:val="00533E0F"/>
    <w:rsid w:val="005360D9"/>
    <w:rsid w:val="00556097"/>
    <w:rsid w:val="005566F8"/>
    <w:rsid w:val="0055714B"/>
    <w:rsid w:val="00562A47"/>
    <w:rsid w:val="00573743"/>
    <w:rsid w:val="00575335"/>
    <w:rsid w:val="00576E8A"/>
    <w:rsid w:val="00580435"/>
    <w:rsid w:val="0058453D"/>
    <w:rsid w:val="00591168"/>
    <w:rsid w:val="005B099A"/>
    <w:rsid w:val="005B4172"/>
    <w:rsid w:val="005D0B9A"/>
    <w:rsid w:val="005D5236"/>
    <w:rsid w:val="005E3C4E"/>
    <w:rsid w:val="005E4362"/>
    <w:rsid w:val="005E4971"/>
    <w:rsid w:val="006033E8"/>
    <w:rsid w:val="00613503"/>
    <w:rsid w:val="006234C0"/>
    <w:rsid w:val="006321C7"/>
    <w:rsid w:val="00632F8F"/>
    <w:rsid w:val="00655F57"/>
    <w:rsid w:val="006652EE"/>
    <w:rsid w:val="0067183D"/>
    <w:rsid w:val="006726F2"/>
    <w:rsid w:val="00684958"/>
    <w:rsid w:val="00696034"/>
    <w:rsid w:val="006A141B"/>
    <w:rsid w:val="006A6CEF"/>
    <w:rsid w:val="006B0FD7"/>
    <w:rsid w:val="006B150E"/>
    <w:rsid w:val="006D00BB"/>
    <w:rsid w:val="006D760B"/>
    <w:rsid w:val="006E0FAC"/>
    <w:rsid w:val="006E39EE"/>
    <w:rsid w:val="006E5204"/>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D1CAB"/>
    <w:rsid w:val="007E0E40"/>
    <w:rsid w:val="007E381B"/>
    <w:rsid w:val="007F4A6D"/>
    <w:rsid w:val="007F6A0B"/>
    <w:rsid w:val="00805184"/>
    <w:rsid w:val="00812BDC"/>
    <w:rsid w:val="00827839"/>
    <w:rsid w:val="008339F5"/>
    <w:rsid w:val="00834AB2"/>
    <w:rsid w:val="0083691D"/>
    <w:rsid w:val="008405F1"/>
    <w:rsid w:val="00887FC9"/>
    <w:rsid w:val="00892EA4"/>
    <w:rsid w:val="00897F56"/>
    <w:rsid w:val="008B31BB"/>
    <w:rsid w:val="008D7AB8"/>
    <w:rsid w:val="008F4E9F"/>
    <w:rsid w:val="00923704"/>
    <w:rsid w:val="00933433"/>
    <w:rsid w:val="00936492"/>
    <w:rsid w:val="00936AB7"/>
    <w:rsid w:val="00936ED9"/>
    <w:rsid w:val="00940846"/>
    <w:rsid w:val="00943337"/>
    <w:rsid w:val="009470FB"/>
    <w:rsid w:val="00956E87"/>
    <w:rsid w:val="009673E6"/>
    <w:rsid w:val="00970859"/>
    <w:rsid w:val="00982670"/>
    <w:rsid w:val="00983012"/>
    <w:rsid w:val="00985C2D"/>
    <w:rsid w:val="00994C0F"/>
    <w:rsid w:val="00994CAA"/>
    <w:rsid w:val="009A3F66"/>
    <w:rsid w:val="009A6FD7"/>
    <w:rsid w:val="009B1153"/>
    <w:rsid w:val="009B2EF9"/>
    <w:rsid w:val="009B72AA"/>
    <w:rsid w:val="009E1C02"/>
    <w:rsid w:val="009E32B0"/>
    <w:rsid w:val="009E6C4A"/>
    <w:rsid w:val="009F1886"/>
    <w:rsid w:val="009F1B7B"/>
    <w:rsid w:val="009F2905"/>
    <w:rsid w:val="00A00800"/>
    <w:rsid w:val="00A01B71"/>
    <w:rsid w:val="00A056D4"/>
    <w:rsid w:val="00A1619F"/>
    <w:rsid w:val="00A16C65"/>
    <w:rsid w:val="00A20A2F"/>
    <w:rsid w:val="00A20BB8"/>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10BFE"/>
    <w:rsid w:val="00B27B0F"/>
    <w:rsid w:val="00B32F87"/>
    <w:rsid w:val="00B36DB0"/>
    <w:rsid w:val="00B40F1C"/>
    <w:rsid w:val="00B418BD"/>
    <w:rsid w:val="00B47683"/>
    <w:rsid w:val="00B55936"/>
    <w:rsid w:val="00B6020C"/>
    <w:rsid w:val="00B63A35"/>
    <w:rsid w:val="00B745D0"/>
    <w:rsid w:val="00B763AC"/>
    <w:rsid w:val="00B81D99"/>
    <w:rsid w:val="00B87AB8"/>
    <w:rsid w:val="00BA0EDD"/>
    <w:rsid w:val="00BA206D"/>
    <w:rsid w:val="00BB11DF"/>
    <w:rsid w:val="00BD4CFD"/>
    <w:rsid w:val="00BE083D"/>
    <w:rsid w:val="00BF0F76"/>
    <w:rsid w:val="00C03892"/>
    <w:rsid w:val="00C10C19"/>
    <w:rsid w:val="00C16760"/>
    <w:rsid w:val="00C17C16"/>
    <w:rsid w:val="00C210B0"/>
    <w:rsid w:val="00C30786"/>
    <w:rsid w:val="00C41F4B"/>
    <w:rsid w:val="00C60EB5"/>
    <w:rsid w:val="00C62B59"/>
    <w:rsid w:val="00C63DEF"/>
    <w:rsid w:val="00C753EF"/>
    <w:rsid w:val="00C77308"/>
    <w:rsid w:val="00C81752"/>
    <w:rsid w:val="00C86D62"/>
    <w:rsid w:val="00C86F4E"/>
    <w:rsid w:val="00C93DCE"/>
    <w:rsid w:val="00CA2E59"/>
    <w:rsid w:val="00CD3CC5"/>
    <w:rsid w:val="00CD4A49"/>
    <w:rsid w:val="00CE129A"/>
    <w:rsid w:val="00CE76F9"/>
    <w:rsid w:val="00CF25BE"/>
    <w:rsid w:val="00D10C99"/>
    <w:rsid w:val="00D17099"/>
    <w:rsid w:val="00D2598F"/>
    <w:rsid w:val="00D279A8"/>
    <w:rsid w:val="00D324AD"/>
    <w:rsid w:val="00D349A6"/>
    <w:rsid w:val="00D8734D"/>
    <w:rsid w:val="00D91C4E"/>
    <w:rsid w:val="00DA6F7D"/>
    <w:rsid w:val="00DC3C3C"/>
    <w:rsid w:val="00DD124B"/>
    <w:rsid w:val="00DE1749"/>
    <w:rsid w:val="00DE490F"/>
    <w:rsid w:val="00DE6B3F"/>
    <w:rsid w:val="00DF1010"/>
    <w:rsid w:val="00DF74B6"/>
    <w:rsid w:val="00E06F3E"/>
    <w:rsid w:val="00E34205"/>
    <w:rsid w:val="00E41AE5"/>
    <w:rsid w:val="00E46824"/>
    <w:rsid w:val="00E51A09"/>
    <w:rsid w:val="00E61DE3"/>
    <w:rsid w:val="00E65D3B"/>
    <w:rsid w:val="00E76F53"/>
    <w:rsid w:val="00E8108A"/>
    <w:rsid w:val="00E81239"/>
    <w:rsid w:val="00E850FD"/>
    <w:rsid w:val="00E94C7B"/>
    <w:rsid w:val="00E97ED4"/>
    <w:rsid w:val="00EA0A82"/>
    <w:rsid w:val="00EA33C3"/>
    <w:rsid w:val="00EA661E"/>
    <w:rsid w:val="00EA6B4B"/>
    <w:rsid w:val="00EA6BB7"/>
    <w:rsid w:val="00EB4594"/>
    <w:rsid w:val="00ED2BA5"/>
    <w:rsid w:val="00ED34E9"/>
    <w:rsid w:val="00EE28A9"/>
    <w:rsid w:val="00EE63D7"/>
    <w:rsid w:val="00EF1CF0"/>
    <w:rsid w:val="00F04DAA"/>
    <w:rsid w:val="00F21165"/>
    <w:rsid w:val="00F2271C"/>
    <w:rsid w:val="00F23BE3"/>
    <w:rsid w:val="00F23FF2"/>
    <w:rsid w:val="00F25AC0"/>
    <w:rsid w:val="00F300F7"/>
    <w:rsid w:val="00F3486F"/>
    <w:rsid w:val="00F415DF"/>
    <w:rsid w:val="00F64475"/>
    <w:rsid w:val="00F75D73"/>
    <w:rsid w:val="00F95939"/>
    <w:rsid w:val="00FB7EA5"/>
    <w:rsid w:val="00FC5374"/>
    <w:rsid w:val="00FC5614"/>
    <w:rsid w:val="00FC79FF"/>
    <w:rsid w:val="00FD47BE"/>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130"/>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5E3C4E"/>
    <w:rPr>
      <w:color w:val="954F72" w:themeColor="followedHyperlink"/>
      <w:u w:val="single"/>
    </w:rPr>
  </w:style>
  <w:style w:type="table" w:styleId="TabelaSimples2">
    <w:name w:val="Plain Table 2"/>
    <w:basedOn w:val="Tabelanormal"/>
    <w:uiPriority w:val="42"/>
    <w:rsid w:val="0041786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EspaoReservado">
    <w:name w:val="Placeholder Text"/>
    <w:basedOn w:val="Fontepargpadro"/>
    <w:uiPriority w:val="99"/>
    <w:semiHidden/>
    <w:rsid w:val="003240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846004">
      <w:bodyDiv w:val="1"/>
      <w:marLeft w:val="0"/>
      <w:marRight w:val="0"/>
      <w:marTop w:val="0"/>
      <w:marBottom w:val="0"/>
      <w:divBdr>
        <w:top w:val="none" w:sz="0" w:space="0" w:color="auto"/>
        <w:left w:val="none" w:sz="0" w:space="0" w:color="auto"/>
        <w:bottom w:val="none" w:sz="0" w:space="0" w:color="auto"/>
        <w:right w:val="none" w:sz="0" w:space="0" w:color="auto"/>
      </w:divBdr>
      <w:divsChild>
        <w:div w:id="1959600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'7 de Setembro'!$N$29</c:f>
              <c:strCache>
                <c:ptCount val="1"/>
                <c:pt idx="0">
                  <c:v>CONTAGEM</c:v>
                </c:pt>
              </c:strCache>
            </c:strRef>
          </c:tx>
          <c:spPr>
            <a:solidFill>
              <a:srgbClr val="70AD47">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'7 de Setembro'!$M$30:$M$38</c:f>
              <c:strCache>
                <c:ptCount val="9"/>
                <c:pt idx="0">
                  <c:v>1° hora</c:v>
                </c:pt>
                <c:pt idx="4">
                  <c:v>2° hora</c:v>
                </c:pt>
                <c:pt idx="8">
                  <c:v>Total</c:v>
                </c:pt>
              </c:strCache>
            </c:strRef>
          </c:cat>
          <c:val>
            <c:numRef>
              <c:f>'7 de Setembro'!$N$30:$N$38</c:f>
              <c:numCache>
                <c:formatCode>General</c:formatCode>
                <c:ptCount val="9"/>
                <c:pt idx="0">
                  <c:v>1996</c:v>
                </c:pt>
                <c:pt idx="4">
                  <c:v>1178</c:v>
                </c:pt>
                <c:pt idx="8">
                  <c:v>3174</c:v>
                </c:pt>
              </c:numCache>
            </c:numRef>
          </c:val>
          <c:extLst xmlns:c16r2="http://schemas.microsoft.com/office/drawing/2015/06/chart">
            <c:ext xmlns:c16="http://schemas.microsoft.com/office/drawing/2014/chart" uri="{C3380CC4-5D6E-409C-BE32-E72D297353CC}">
              <c16:uniqueId val="{00000000-0C73-446F-86F6-7665CF661E59}"/>
            </c:ext>
          </c:extLst>
        </c:ser>
        <c:ser>
          <c:idx val="1"/>
          <c:order val="1"/>
          <c:tx>
            <c:strRef>
              <c:f>'7 de Setembro'!$O$29</c:f>
              <c:strCache>
                <c:ptCount val="1"/>
                <c:pt idx="0">
                  <c:v>PAROU + ESTACIONOU</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'7 de Setembro'!$M$30:$M$38</c:f>
              <c:strCache>
                <c:ptCount val="9"/>
                <c:pt idx="0">
                  <c:v>1° hora</c:v>
                </c:pt>
                <c:pt idx="4">
                  <c:v>2° hora</c:v>
                </c:pt>
                <c:pt idx="8">
                  <c:v>Total</c:v>
                </c:pt>
              </c:strCache>
            </c:strRef>
          </c:cat>
          <c:val>
            <c:numRef>
              <c:f>'7 de Setembro'!$O$30:$O$38</c:f>
              <c:numCache>
                <c:formatCode>General</c:formatCode>
                <c:ptCount val="9"/>
                <c:pt idx="0" formatCode="0">
                  <c:v>223</c:v>
                </c:pt>
                <c:pt idx="4" formatCode="0">
                  <c:v>104</c:v>
                </c:pt>
                <c:pt idx="8" formatCode="0">
                  <c:v>327</c:v>
                </c:pt>
              </c:numCache>
            </c:numRef>
          </c:val>
          <c:extLst xmlns:c16r2="http://schemas.microsoft.com/office/drawing/2015/06/chart">
            <c:ext xmlns:c16="http://schemas.microsoft.com/office/drawing/2014/chart" uri="{C3380CC4-5D6E-409C-BE32-E72D297353CC}">
              <c16:uniqueId val="{00000001-0C73-446F-86F6-7665CF661E59}"/>
            </c:ext>
          </c:extLst>
        </c:ser>
        <c:dLbls>
          <c:dLblPos val="outEnd"/>
          <c:showLegendKey val="0"/>
          <c:showVal val="1"/>
          <c:showCatName val="0"/>
          <c:showSerName val="0"/>
          <c:showPercent val="0"/>
          <c:showBubbleSize val="0"/>
        </c:dLbls>
        <c:gapWidth val="80"/>
        <c:overlap val="25"/>
        <c:axId val="503507664"/>
        <c:axId val="503510016"/>
      </c:barChart>
      <c:catAx>
        <c:axId val="5035076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cap="none" spc="20" normalizeH="0" baseline="0">
                <a:solidFill>
                  <a:sysClr val="windowText" lastClr="000000"/>
                </a:solidFill>
                <a:latin typeface="Times New Roman" panose="02020603050405020304" pitchFamily="18" charset="0"/>
                <a:ea typeface="+mn-ea"/>
                <a:cs typeface="+mn-cs"/>
              </a:defRPr>
            </a:pPr>
            <a:endParaRPr lang="pt-BR"/>
          </a:p>
        </c:txPr>
        <c:crossAx val="503510016"/>
        <c:crosses val="autoZero"/>
        <c:auto val="1"/>
        <c:lblAlgn val="ctr"/>
        <c:lblOffset val="100"/>
        <c:noMultiLvlLbl val="0"/>
      </c:catAx>
      <c:valAx>
        <c:axId val="50351001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mn-cs"/>
              </a:defRPr>
            </a:pPr>
            <a:endParaRPr lang="pt-BR"/>
          </a:p>
        </c:txPr>
        <c:crossAx val="50350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pt-B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baseline="0">
          <a:solidFill>
            <a:sysClr val="windowText" lastClr="000000"/>
          </a:solidFill>
          <a:latin typeface="Times New Roman" panose="02020603050405020304" pitchFamily="18" charset="0"/>
        </a:defRPr>
      </a:pPr>
      <a:endParaRPr lang="pt-B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11854768153981"/>
          <c:y val="7.407407407407407E-2"/>
          <c:w val="0.48854068241469817"/>
          <c:h val="0.81423447069116361"/>
        </c:manualLayout>
      </c:layout>
      <c:pieChart>
        <c:varyColors val="1"/>
        <c:ser>
          <c:idx val="0"/>
          <c:order val="0"/>
          <c:dPt>
            <c:idx val="0"/>
            <c:bubble3D val="0"/>
            <c:spPr>
              <a:solidFill>
                <a:srgbClr val="CCF2A2"/>
              </a:solidFill>
              <a:ln w="19050">
                <a:solidFill>
                  <a:schemeClr val="lt1"/>
                </a:solidFill>
              </a:ln>
              <a:effectLst/>
            </c:spPr>
            <c:extLst xmlns:c16r2="http://schemas.microsoft.com/office/drawing/2015/06/chart">
              <c:ext xmlns:c16="http://schemas.microsoft.com/office/drawing/2014/chart" uri="{C3380CC4-5D6E-409C-BE32-E72D297353CC}">
                <c16:uniqueId val="{00000001-9FD9-4995-9633-D07C3A0B64A7}"/>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9FD9-4995-9633-D07C3A0B64A7}"/>
              </c:ext>
            </c:extLst>
          </c:dPt>
          <c:dPt>
            <c:idx val="2"/>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5-9FD9-4995-9633-D07C3A0B64A7}"/>
              </c:ext>
            </c:extLst>
          </c:dPt>
          <c:dPt>
            <c:idx val="3"/>
            <c:bubble3D val="0"/>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9FD9-4995-9633-D07C3A0B64A7}"/>
              </c:ext>
            </c:extLst>
          </c:dPt>
          <c:dPt>
            <c:idx val="4"/>
            <c:bubble3D val="0"/>
            <c:spPr>
              <a:solidFill>
                <a:schemeClr val="accent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9FD9-4995-9633-D07C3A0B64A7}"/>
              </c:ext>
            </c:extLst>
          </c:dPt>
          <c:dPt>
            <c:idx val="5"/>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B-9FD9-4995-9633-D07C3A0B64A7}"/>
              </c:ext>
            </c:extLst>
          </c:dPt>
          <c:dPt>
            <c:idx val="6"/>
            <c:bubble3D val="0"/>
            <c:spPr>
              <a:solidFill>
                <a:schemeClr val="accent6">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FD9-4995-9633-D07C3A0B64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'BAIRROS - ZONAS'!$E$28:$E$34</c:f>
              <c:strCache>
                <c:ptCount val="7"/>
                <c:pt idx="0">
                  <c:v>ZONA CENTRO-OESTE</c:v>
                </c:pt>
                <c:pt idx="1">
                  <c:v>ZONA LESTE</c:v>
                </c:pt>
                <c:pt idx="2">
                  <c:v>ZONA NORTE</c:v>
                </c:pt>
                <c:pt idx="3">
                  <c:v>ZONA SUL</c:v>
                </c:pt>
                <c:pt idx="4">
                  <c:v>ZONA OESTE</c:v>
                </c:pt>
                <c:pt idx="5">
                  <c:v>ZONA CENTRO-SUL</c:v>
                </c:pt>
                <c:pt idx="6">
                  <c:v>ZONA RURAL</c:v>
                </c:pt>
              </c:strCache>
            </c:strRef>
          </c:cat>
          <c:val>
            <c:numRef>
              <c:f>'BAIRROS - ZONAS'!$F$28:$F$34</c:f>
              <c:numCache>
                <c:formatCode>0%</c:formatCode>
                <c:ptCount val="7"/>
                <c:pt idx="0">
                  <c:v>0.10126582278481013</c:v>
                </c:pt>
                <c:pt idx="1">
                  <c:v>0.16455696202531644</c:v>
                </c:pt>
                <c:pt idx="2">
                  <c:v>0.24050632911392406</c:v>
                </c:pt>
                <c:pt idx="3">
                  <c:v>0.22784810126582278</c:v>
                </c:pt>
                <c:pt idx="4">
                  <c:v>0.11392405063291139</c:v>
                </c:pt>
                <c:pt idx="5">
                  <c:v>0.12658227848101267</c:v>
                </c:pt>
                <c:pt idx="6">
                  <c:v>2.5316455696202531E-2</c:v>
                </c:pt>
              </c:numCache>
            </c:numRef>
          </c:val>
          <c:extLst xmlns:c16r2="http://schemas.microsoft.com/office/drawing/2015/06/chart">
            <c:ext xmlns:c16="http://schemas.microsoft.com/office/drawing/2014/chart" uri="{C3380CC4-5D6E-409C-BE32-E72D297353CC}">
              <c16:uniqueId val="{0000000E-9FD9-4995-9633-D07C3A0B64A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4148490813648296"/>
          <c:y val="0.11979002624671917"/>
          <c:w val="0.29758552055993004"/>
          <c:h val="0.71817293671624394"/>
        </c:manualLayout>
      </c:layout>
      <c:overlay val="0"/>
      <c:spPr>
        <a:noFill/>
        <a:ln w="28575">
          <a:noFill/>
        </a:ln>
        <a:effectLst/>
      </c:spPr>
      <c:txPr>
        <a:bodyPr rot="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alpha val="27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0FB04-4ACF-4896-B038-67CFAA2D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14</Pages>
  <Words>5331</Words>
  <Characters>28791</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Conta da Microsoft</cp:lastModifiedBy>
  <cp:revision>12</cp:revision>
  <cp:lastPrinted>2014-09-05T00:41:00Z</cp:lastPrinted>
  <dcterms:created xsi:type="dcterms:W3CDTF">2025-01-14T13:16:00Z</dcterms:created>
  <dcterms:modified xsi:type="dcterms:W3CDTF">2025-04-16T00:59:00Z</dcterms:modified>
</cp:coreProperties>
</file>