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2A7C0D" w:rsidRDefault="00B745D0" w:rsidP="00E97ED4">
      <w:pPr>
        <w:spacing w:after="120"/>
        <w:jc w:val="center"/>
        <w:rPr>
          <w:rStyle w:val="nfaseSutil"/>
        </w:rPr>
      </w:pPr>
    </w:p>
    <w:p w14:paraId="292D3F9B" w14:textId="3287D330" w:rsidR="00827839" w:rsidRPr="0049479C" w:rsidRDefault="00992CF5" w:rsidP="009A3F66">
      <w:pPr>
        <w:spacing w:after="120"/>
        <w:jc w:val="center"/>
        <w:rPr>
          <w:color w:val="A6A6A6"/>
          <w:sz w:val="28"/>
          <w:szCs w:val="28"/>
          <w:lang w:val="pt-BR"/>
        </w:rPr>
      </w:pPr>
      <w:r w:rsidRPr="00992CF5">
        <w:rPr>
          <w:b/>
          <w:sz w:val="28"/>
          <w:szCs w:val="28"/>
          <w:lang w:val="pt-BR"/>
        </w:rPr>
        <w:t>Transição de Parques a Ecoparques Industriais: insights acerca dessa necessária e complexa transformação</w:t>
      </w:r>
    </w:p>
    <w:p w14:paraId="47EDDB6D" w14:textId="77777777" w:rsidR="00B745D0" w:rsidRPr="0049479C" w:rsidRDefault="00B745D0" w:rsidP="009A3F66">
      <w:pPr>
        <w:spacing w:after="120"/>
        <w:jc w:val="center"/>
        <w:rPr>
          <w:b/>
          <w:sz w:val="28"/>
          <w:szCs w:val="28"/>
          <w:lang w:val="pt-BR"/>
        </w:rPr>
      </w:pPr>
    </w:p>
    <w:p w14:paraId="40B79C2A" w14:textId="452A91C6" w:rsidR="00B745D0" w:rsidRPr="00992CF5" w:rsidRDefault="00992CF5" w:rsidP="00992CF5">
      <w:pPr>
        <w:spacing w:after="120"/>
        <w:jc w:val="center"/>
        <w:rPr>
          <w:b/>
          <w:sz w:val="28"/>
          <w:szCs w:val="28"/>
        </w:rPr>
      </w:pPr>
      <w:r w:rsidRPr="00992CF5">
        <w:rPr>
          <w:b/>
          <w:i/>
          <w:sz w:val="28"/>
          <w:szCs w:val="28"/>
        </w:rPr>
        <w:t>Transition from Parks to Eco-industrial Parks: insights into this necessary and complex transformation</w:t>
      </w:r>
    </w:p>
    <w:p w14:paraId="5EEED451" w14:textId="77777777" w:rsidR="00933433" w:rsidRDefault="00933433" w:rsidP="00E97ED4">
      <w:pPr>
        <w:spacing w:after="120"/>
        <w:rPr>
          <w:color w:val="A6A6A6"/>
          <w:sz w:val="28"/>
          <w:szCs w:val="28"/>
        </w:rPr>
      </w:pPr>
    </w:p>
    <w:p w14:paraId="077971B8" w14:textId="77777777" w:rsidR="00BF3D3F" w:rsidRDefault="00BF3D3F" w:rsidP="00E97ED4">
      <w:pPr>
        <w:spacing w:after="120"/>
        <w:rPr>
          <w:color w:val="A6A6A6"/>
          <w:sz w:val="28"/>
          <w:szCs w:val="28"/>
        </w:rPr>
      </w:pPr>
    </w:p>
    <w:p w14:paraId="2328261D" w14:textId="375A2826" w:rsidR="00BF3D3F" w:rsidRPr="0049479C" w:rsidRDefault="00BF3D3F" w:rsidP="00053AD3">
      <w:pPr>
        <w:spacing w:after="120"/>
        <w:ind w:firstLine="0"/>
        <w:jc w:val="left"/>
        <w:rPr>
          <w:szCs w:val="24"/>
          <w:lang w:val="pt-BR"/>
        </w:rPr>
      </w:pPr>
      <w:r>
        <w:rPr>
          <w:b/>
          <w:szCs w:val="24"/>
          <w:lang w:val="pt-BR"/>
        </w:rPr>
        <w:t>Henrique Lisbôa da Cruz</w:t>
      </w:r>
      <w:r w:rsidRPr="0049479C">
        <w:rPr>
          <w:b/>
          <w:szCs w:val="24"/>
          <w:lang w:val="pt-BR"/>
        </w:rPr>
        <w:t xml:space="preserve">, </w:t>
      </w:r>
      <w:r>
        <w:rPr>
          <w:b/>
          <w:szCs w:val="24"/>
          <w:lang w:val="pt-BR"/>
        </w:rPr>
        <w:t>Engenheiro Químico, Mestre em Engenharia Mecânica, Universidade do Vale do Rio dos Sinos - UNISINOS</w:t>
      </w:r>
    </w:p>
    <w:p w14:paraId="564AE70C" w14:textId="105B1D5D" w:rsidR="00BF3D3F" w:rsidRPr="0049479C" w:rsidRDefault="00BF3D3F" w:rsidP="00053AD3">
      <w:pPr>
        <w:spacing w:after="120"/>
        <w:ind w:firstLine="0"/>
        <w:jc w:val="left"/>
        <w:rPr>
          <w:sz w:val="20"/>
          <w:lang w:val="pt-BR"/>
        </w:rPr>
      </w:pPr>
      <w:r>
        <w:rPr>
          <w:szCs w:val="24"/>
          <w:lang w:val="pt-BR"/>
        </w:rPr>
        <w:t>cruzhnrq@yahoo.com.br</w:t>
      </w:r>
    </w:p>
    <w:p w14:paraId="5DEB0BBA" w14:textId="26C96DEF" w:rsidR="00BF3D3F" w:rsidRPr="0049479C" w:rsidRDefault="00BF3D3F" w:rsidP="00053AD3">
      <w:pPr>
        <w:spacing w:after="120"/>
        <w:ind w:firstLine="0"/>
        <w:jc w:val="left"/>
        <w:rPr>
          <w:szCs w:val="24"/>
          <w:lang w:val="pt-BR"/>
        </w:rPr>
      </w:pPr>
      <w:r>
        <w:rPr>
          <w:b/>
          <w:szCs w:val="24"/>
          <w:lang w:val="pt-BR"/>
        </w:rPr>
        <w:t xml:space="preserve">Carlos Alberto Mendes Moraes, Engenheiro Metalúrgico, Doutor em Ciência dos Materiais, </w:t>
      </w:r>
      <w:r w:rsidR="000C45D1">
        <w:rPr>
          <w:b/>
          <w:szCs w:val="24"/>
          <w:lang w:val="pt-BR"/>
        </w:rPr>
        <w:t xml:space="preserve">Programas de Pós-Graduação em Engenharia Mecânica e, de Engenharia  Civil - </w:t>
      </w:r>
      <w:r>
        <w:rPr>
          <w:b/>
          <w:szCs w:val="24"/>
          <w:lang w:val="pt-BR"/>
        </w:rPr>
        <w:t>Universidade do Vale do Rio dos Sinos - UNISINOS</w:t>
      </w:r>
    </w:p>
    <w:p w14:paraId="1D2DD02A" w14:textId="090F0EEB" w:rsidR="00BF3D3F" w:rsidRDefault="00BF3D3F" w:rsidP="00053AD3">
      <w:pPr>
        <w:spacing w:after="120"/>
        <w:ind w:firstLine="0"/>
        <w:jc w:val="left"/>
        <w:rPr>
          <w:szCs w:val="24"/>
          <w:lang w:val="pt-BR"/>
        </w:rPr>
      </w:pPr>
      <w:r>
        <w:rPr>
          <w:szCs w:val="24"/>
          <w:lang w:val="pt-BR"/>
        </w:rPr>
        <w:t>cmoraes@unisinos.br</w:t>
      </w:r>
    </w:p>
    <w:p w14:paraId="43570391" w14:textId="77777777" w:rsidR="00BF3D3F" w:rsidRPr="0049479C" w:rsidRDefault="00BF3D3F" w:rsidP="00BF3D3F">
      <w:pPr>
        <w:spacing w:after="120"/>
        <w:jc w:val="left"/>
        <w:rPr>
          <w:sz w:val="20"/>
          <w:lang w:val="pt-BR"/>
        </w:rPr>
      </w:pPr>
    </w:p>
    <w:p w14:paraId="2241D050" w14:textId="77777777" w:rsidR="00BF3D3F" w:rsidRPr="004374DA" w:rsidRDefault="00BF3D3F" w:rsidP="001A619C">
      <w:pPr>
        <w:spacing w:after="120"/>
        <w:rPr>
          <w:color w:val="A6A6A6"/>
          <w:szCs w:val="24"/>
          <w:lang w:val="pt-BR"/>
        </w:rPr>
      </w:pPr>
      <w:bookmarkStart w:id="1" w:name="_GoBack"/>
      <w:bookmarkEnd w:id="1"/>
    </w:p>
    <w:p w14:paraId="3A9F9E7A" w14:textId="69A9D26A" w:rsidR="00827839" w:rsidRPr="0049479C" w:rsidRDefault="00827839" w:rsidP="00053AD3">
      <w:pPr>
        <w:spacing w:after="120"/>
        <w:ind w:firstLine="0"/>
        <w:rPr>
          <w:b/>
          <w:sz w:val="22"/>
          <w:szCs w:val="22"/>
          <w:lang w:val="pt-BR"/>
        </w:rPr>
      </w:pPr>
      <w:r w:rsidRPr="0049479C">
        <w:rPr>
          <w:b/>
          <w:szCs w:val="24"/>
          <w:lang w:val="pt-BR"/>
        </w:rPr>
        <w:t>Resumo</w:t>
      </w:r>
    </w:p>
    <w:p w14:paraId="6F2EC7DE" w14:textId="413612DC" w:rsidR="00992CF5" w:rsidRDefault="00992CF5" w:rsidP="00992CF5">
      <w:pPr>
        <w:rPr>
          <w:lang w:val="pt-BR"/>
        </w:rPr>
      </w:pPr>
      <w:r w:rsidRPr="00C14E3D">
        <w:rPr>
          <w:lang w:val="pt-BR"/>
        </w:rPr>
        <w:t>Esta pesquisa se centraliza na problemática que envolve a transição de parques a ecoparques industriais, com foco em parques de uso misto e logístico. Por meio de metodologia exploratória, um estudo de caso foi conduzido em um parque empresarial e logístico situado no Brasil</w:t>
      </w:r>
      <w:r>
        <w:rPr>
          <w:lang w:val="pt-BR"/>
        </w:rPr>
        <w:t>, visando</w:t>
      </w:r>
      <w:r w:rsidRPr="00C14E3D">
        <w:rPr>
          <w:lang w:val="pt-BR"/>
        </w:rPr>
        <w:t xml:space="preserve"> explorar oportunidades de aplicação dos conceitos de Simbiose Industrial</w:t>
      </w:r>
      <w:r>
        <w:rPr>
          <w:lang w:val="pt-BR"/>
        </w:rPr>
        <w:t xml:space="preserve">. </w:t>
      </w:r>
      <w:r w:rsidRPr="00C14E3D">
        <w:rPr>
          <w:lang w:val="pt-BR"/>
        </w:rPr>
        <w:t xml:space="preserve">A avaliação permitiu observar que as possibilidades de aplicação da Simbiose Industrial </w:t>
      </w:r>
      <w:r w:rsidR="00944DF4">
        <w:rPr>
          <w:lang w:val="pt-BR"/>
        </w:rPr>
        <w:t xml:space="preserve">nesse tipo de parque </w:t>
      </w:r>
      <w:r w:rsidRPr="00C14E3D">
        <w:rPr>
          <w:lang w:val="pt-BR"/>
        </w:rPr>
        <w:t xml:space="preserve">estão mais atreladas aos compartilhamentos de infraestrutura, utilidades e serviços do que propriamente de intercâmbios físicos. </w:t>
      </w:r>
      <w:r>
        <w:rPr>
          <w:lang w:val="pt-BR"/>
        </w:rPr>
        <w:t xml:space="preserve">Um </w:t>
      </w:r>
      <w:r w:rsidRPr="00C14E3D">
        <w:rPr>
          <w:lang w:val="pt-BR"/>
        </w:rPr>
        <w:t xml:space="preserve">plano de ação foi proposto, contemplando estratégias de Simbiose Industrial e atividades complementares visando ao aumento do potencial simbiótico. As principais sugestões foram o gerenciamento coletivo de resíduos sólidos e </w:t>
      </w:r>
      <w:r>
        <w:rPr>
          <w:lang w:val="pt-BR"/>
        </w:rPr>
        <w:t xml:space="preserve">oferta de </w:t>
      </w:r>
      <w:r w:rsidRPr="00C14E3D">
        <w:rPr>
          <w:lang w:val="pt-BR"/>
        </w:rPr>
        <w:t xml:space="preserve">suporte técnico ambiental. Quanto ao compartilhamento de utilidades, existe um potencial para aproveitamento da água da chuva para fins não potáveis e para a geração ou aquisição compartilhada de energias renováveis. </w:t>
      </w:r>
    </w:p>
    <w:p w14:paraId="539B7342" w14:textId="77777777" w:rsidR="00321E9E" w:rsidRPr="0049479C" w:rsidRDefault="00321E9E" w:rsidP="00E97ED4">
      <w:pPr>
        <w:spacing w:after="120"/>
        <w:rPr>
          <w:color w:val="A6A6A6"/>
          <w:sz w:val="22"/>
          <w:szCs w:val="22"/>
          <w:lang w:val="pt-BR"/>
        </w:rPr>
      </w:pPr>
    </w:p>
    <w:p w14:paraId="0DA18B90" w14:textId="51FC0BD3" w:rsidR="00827839" w:rsidRPr="0049479C" w:rsidRDefault="00827839" w:rsidP="00053AD3">
      <w:pPr>
        <w:spacing w:after="120"/>
        <w:ind w:firstLine="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992CF5">
        <w:rPr>
          <w:sz w:val="22"/>
          <w:szCs w:val="22"/>
          <w:lang w:val="pt-BR"/>
        </w:rPr>
        <w:t>Ecoparque Industrial</w:t>
      </w:r>
      <w:r w:rsidR="00A77D24" w:rsidRPr="0049479C">
        <w:rPr>
          <w:sz w:val="22"/>
          <w:szCs w:val="22"/>
          <w:lang w:val="pt-BR"/>
        </w:rPr>
        <w:t>;</w:t>
      </w:r>
      <w:r w:rsidR="00321E9E" w:rsidRPr="0049479C">
        <w:rPr>
          <w:sz w:val="22"/>
          <w:szCs w:val="22"/>
          <w:lang w:val="pt-BR"/>
        </w:rPr>
        <w:t xml:space="preserve"> </w:t>
      </w:r>
      <w:r w:rsidR="00992CF5">
        <w:rPr>
          <w:sz w:val="22"/>
          <w:szCs w:val="22"/>
          <w:lang w:val="pt-BR"/>
        </w:rPr>
        <w:t>Simbiose Industrial;</w:t>
      </w:r>
      <w:r w:rsidR="00321E9E" w:rsidRPr="0049479C">
        <w:rPr>
          <w:sz w:val="22"/>
          <w:szCs w:val="22"/>
          <w:lang w:val="pt-BR"/>
        </w:rPr>
        <w:t xml:space="preserve"> </w:t>
      </w:r>
      <w:r w:rsidR="00992CF5">
        <w:rPr>
          <w:sz w:val="22"/>
          <w:szCs w:val="22"/>
          <w:lang w:val="pt-BR"/>
        </w:rPr>
        <w:t>Gestão Ambiental.</w:t>
      </w:r>
    </w:p>
    <w:p w14:paraId="0973CBF6" w14:textId="04F3D296" w:rsidR="007C087F" w:rsidRDefault="007C087F" w:rsidP="00053AD3">
      <w:pPr>
        <w:spacing w:after="120"/>
        <w:ind w:firstLine="0"/>
        <w:rPr>
          <w:color w:val="A6A6A6"/>
          <w:sz w:val="22"/>
          <w:szCs w:val="22"/>
          <w:lang w:val="pt-BR"/>
        </w:rPr>
      </w:pPr>
    </w:p>
    <w:p w14:paraId="61B0040F" w14:textId="77777777" w:rsidR="00EE3F17" w:rsidRDefault="00EE3F17" w:rsidP="00053AD3">
      <w:pPr>
        <w:spacing w:after="120"/>
        <w:ind w:firstLine="0"/>
        <w:rPr>
          <w:color w:val="A6A6A6"/>
          <w:sz w:val="22"/>
          <w:szCs w:val="22"/>
          <w:lang w:val="pt-BR"/>
        </w:rPr>
      </w:pPr>
    </w:p>
    <w:p w14:paraId="53707384" w14:textId="77777777" w:rsidR="00EE3F17" w:rsidRPr="0049479C" w:rsidRDefault="00EE3F17" w:rsidP="00053AD3">
      <w:pPr>
        <w:spacing w:after="120"/>
        <w:ind w:firstLine="0"/>
        <w:rPr>
          <w:color w:val="A6A6A6"/>
          <w:sz w:val="22"/>
          <w:szCs w:val="22"/>
          <w:lang w:val="pt-BR"/>
        </w:rPr>
      </w:pPr>
    </w:p>
    <w:p w14:paraId="3A645C22" w14:textId="77777777" w:rsidR="00827839" w:rsidRPr="00EC6579" w:rsidRDefault="00827839" w:rsidP="00053AD3">
      <w:pPr>
        <w:spacing w:after="120"/>
        <w:ind w:firstLine="0"/>
        <w:rPr>
          <w:b/>
          <w:i/>
          <w:color w:val="A6A6A6"/>
          <w:sz w:val="22"/>
          <w:szCs w:val="22"/>
        </w:rPr>
      </w:pPr>
      <w:r w:rsidRPr="00EC6579">
        <w:rPr>
          <w:b/>
          <w:i/>
          <w:szCs w:val="24"/>
        </w:rPr>
        <w:lastRenderedPageBreak/>
        <w:t>Abstrac</w:t>
      </w:r>
      <w:r w:rsidRPr="00EC6579">
        <w:rPr>
          <w:b/>
          <w:i/>
          <w:sz w:val="22"/>
          <w:szCs w:val="22"/>
        </w:rPr>
        <w:t>t</w:t>
      </w:r>
    </w:p>
    <w:p w14:paraId="310467DE" w14:textId="6C9882D1" w:rsidR="004374DA" w:rsidRDefault="004374DA" w:rsidP="004374DA">
      <w:r>
        <w:t>This research focuses on the problems involved in the transition from parks to eco-industrial parks, focusing on mixed-use and logistics parks. Through an exploratory methodology, a case study was conducted in a business and logistic</w:t>
      </w:r>
      <w:r w:rsidR="00961299">
        <w:t>s</w:t>
      </w:r>
      <w:r>
        <w:t xml:space="preserve"> park located in Brazil. The main objective was to explore opportunities for applying the concepts of Industrial Symbiosis in the park. The evaluation showed that the possibilities of application of Industrial Symbiosis in mixed-use and logistics parks</w:t>
      </w:r>
      <w:r w:rsidR="00944DF4">
        <w:t xml:space="preserve"> </w:t>
      </w:r>
      <w:r>
        <w:t xml:space="preserve">are linked more to the sharing of infrastructure, utilities, and services than to physical exchanges. An action plan was proposed, contemplating Industrial Symbiosis strategies and complementary activities aimed at increasing the symbiotic potential. The main suggestions were the collective management of solid waste and the offer of environmental technical support. As for the sharing of utilities, there is a potential for the use of rainwater for non-potable purposes and the shared generation or acquisition of renewable energies. </w:t>
      </w:r>
    </w:p>
    <w:p w14:paraId="2CCD8B8A" w14:textId="77777777" w:rsidR="00BF0F76" w:rsidRPr="004374DA" w:rsidRDefault="00BF0F76" w:rsidP="00E97ED4">
      <w:pPr>
        <w:spacing w:after="120"/>
        <w:rPr>
          <w:color w:val="A6A6A6"/>
          <w:sz w:val="22"/>
          <w:szCs w:val="22"/>
        </w:rPr>
      </w:pPr>
    </w:p>
    <w:p w14:paraId="646EEC12" w14:textId="4F614B72"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4374DA">
        <w:rPr>
          <w:b/>
          <w:i/>
          <w:szCs w:val="24"/>
        </w:rPr>
        <w:t xml:space="preserve"> </w:t>
      </w:r>
      <w:r w:rsidR="004374DA">
        <w:rPr>
          <w:bCs/>
          <w:i/>
          <w:szCs w:val="24"/>
        </w:rPr>
        <w:t>Eco-industrial Park;</w:t>
      </w:r>
      <w:r w:rsidR="00BF0F76" w:rsidRPr="0049479C">
        <w:rPr>
          <w:b/>
          <w:i/>
          <w:szCs w:val="24"/>
        </w:rPr>
        <w:t xml:space="preserve"> </w:t>
      </w:r>
      <w:r w:rsidR="004374DA">
        <w:rPr>
          <w:i/>
          <w:sz w:val="22"/>
          <w:szCs w:val="22"/>
        </w:rPr>
        <w:t>Industrial Symbiosis; Environmental Management.</w:t>
      </w:r>
    </w:p>
    <w:p w14:paraId="62982BB4" w14:textId="77777777" w:rsidR="00944DF4" w:rsidRDefault="00944DF4" w:rsidP="00E65D3B">
      <w:pPr>
        <w:spacing w:after="120"/>
        <w:jc w:val="left"/>
        <w:rPr>
          <w:i/>
          <w:sz w:val="22"/>
          <w:szCs w:val="22"/>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527F872A" w14:textId="7DCF1202" w:rsidR="00992CF5" w:rsidRPr="00C14E3D" w:rsidRDefault="00992CF5" w:rsidP="00276160">
      <w:pPr>
        <w:ind w:firstLine="426"/>
        <w:rPr>
          <w:lang w:val="pt-BR"/>
        </w:rPr>
      </w:pPr>
      <w:r>
        <w:rPr>
          <w:lang w:val="pt-BR"/>
        </w:rPr>
        <w:t>A</w:t>
      </w:r>
      <w:r w:rsidRPr="00C14E3D">
        <w:rPr>
          <w:lang w:val="pt-BR"/>
        </w:rPr>
        <w:t xml:space="preserve"> Simbiose Industrial (SI) tem sido evidenciada em aglomerados industriais denominados Ecoparques Industriais (EIP</w:t>
      </w:r>
      <w:r>
        <w:rPr>
          <w:lang w:val="pt-BR"/>
        </w:rPr>
        <w:t xml:space="preserve">) </w:t>
      </w:r>
      <w:r w:rsidRPr="00C14E3D">
        <w:rPr>
          <w:lang w:val="pt-BR"/>
        </w:rPr>
        <w:t xml:space="preserve">em diversos países desenvolvidos e em desenvolvimento </w:t>
      </w:r>
      <w:r w:rsidRPr="00C963A2">
        <w:fldChar w:fldCharType="begin" w:fldLock="1"/>
      </w:r>
      <w:r>
        <w:rPr>
          <w:lang w:val="pt-BR"/>
        </w:rPr>
        <w:instrText>ADDIN CSL_CITATION {"citationItems":[{"id":"ITEM-1","itemData":{"DOI":"10.1016/j.jclepro.2019.118600","ISSN":"09596526","abstract":"Which factors influence enterprises’ participation in industrial symbiosis (IS)? It has not been studied well so far, which can be detrimental to IS development. The aims of this study are to propose an analytical approach to determine the factors that significantly influence companies’ participation in IS and to verify the feasibility of this approach, as well as investigating whether there are significant differences in the influencing factors for diverse types of companies. The main part of our approach involves collecting the scores of potential influencing factors from enterprises through a questionnaire and analyzing these scores with four models based on logistic regression. Enterprises are divided into companies participating in IS (PCs), companies that have not participated in IS (NPCs), producers of waste or by products (PWBs) and utilizer of waste or by products (UWBs), to reflect the differences in their influencing factors. This analytical approach was applied in Tianjin Economic-Technological Development Area (TEDA) of China. The results show that this approach can conveniently determine the promoting and inhibiting factors of IS participation for different types of companies. In TEDA, for PCs, the requirement of environmental regulations is the first driving force, and the uncertainty of waste and by-products (WBs) is an important concern; meanwhile, for NPCs, geographical disadvantages are key restraints. Among the PCs, PWBs are more likely to be hindered by lack of IS awareness in the management, while UWBs are faced with more barriers, such as lack of support from the government and difficulties in reaching agreements. This study can provide insights into the factors that affect IS at the enterprise level as well as first-hand information for exploiting targeted policies to boost IS according to the influencing factors of each type of company.","author":[{"dropping-particle":"","family":"Ji","given":"Yijun","non-dropping-particle":"","parse-names":false,"suffix":""},{"dropping-particle":"","family":"Liu","given":"Zhikan","non-dropping-particle":"","parse-names":false,"suffix":""},{"dropping-particle":"","family":"Wu","given":"Jing","non-dropping-particle":"","parse-names":false,"suffix":""},{"dropping-particle":"","family":"He","given":"Ying","non-dropping-particle":"","parse-names":false,"suffix":""},{"dropping-particle":"","family":"Xu","given":"He","non-dropping-particle":"","parse-names":false,"suffix":""}],"container-title":"Journal of Cleaner Production","id":"ITEM-1","issued":{"date-parts":[["2020","1","20"]]},"page":"118600","publisher":"Elsevier Ltd","title":"Which factors promote or inhibit enterprises’ participation in industrial symbiosis? An analytical approach and a case study in China","type":"article-journal","volume":"244"},"uris":["http://www.mendeley.com/documents/?uuid=46c8b1ef-1c11-3066-94f9-17fdba3602cc"]}],"mendeley":{"formattedCitation":"(Ji, Liu, Wu, He, &amp; Xu, 2020)","manualFormatting":"(Genc et al., 2019; Ji et al., 2020","plainTextFormattedCitation":"(Ji, Liu, Wu, He, &amp; Xu, 2020)","previouslyFormattedCitation":"(Ji, Liu, Wu, He, &amp; Xu, 2020)"},"properties":{"noteIndex":0},"schema":"https://github.com/citation-style-language/schema/raw/master/csl-citation.json"}</w:instrText>
      </w:r>
      <w:r w:rsidRPr="00C963A2">
        <w:fldChar w:fldCharType="separate"/>
      </w:r>
      <w:r w:rsidR="00BF3D3F" w:rsidRPr="00C14E3D">
        <w:rPr>
          <w:noProof/>
          <w:lang w:val="pt-BR"/>
        </w:rPr>
        <w:t>(G</w:t>
      </w:r>
      <w:r w:rsidR="00BF3D3F">
        <w:rPr>
          <w:noProof/>
          <w:lang w:val="pt-BR"/>
        </w:rPr>
        <w:t>ENC</w:t>
      </w:r>
      <w:r w:rsidR="00BF3D3F" w:rsidRPr="00C14E3D">
        <w:rPr>
          <w:noProof/>
          <w:lang w:val="pt-BR"/>
        </w:rPr>
        <w:t xml:space="preserve"> </w:t>
      </w:r>
      <w:r w:rsidR="00BF3D3F">
        <w:rPr>
          <w:iCs/>
          <w:noProof/>
          <w:lang w:val="pt-BR"/>
        </w:rPr>
        <w:t>et al.</w:t>
      </w:r>
      <w:r w:rsidR="00BF3D3F" w:rsidRPr="00C14E3D">
        <w:rPr>
          <w:noProof/>
          <w:lang w:val="pt-BR"/>
        </w:rPr>
        <w:t>, 2019; J</w:t>
      </w:r>
      <w:r w:rsidR="00BF3D3F">
        <w:rPr>
          <w:noProof/>
          <w:lang w:val="pt-BR"/>
        </w:rPr>
        <w:t>I et al.</w:t>
      </w:r>
      <w:r w:rsidR="00BF3D3F" w:rsidRPr="00C14E3D">
        <w:rPr>
          <w:noProof/>
          <w:lang w:val="pt-BR"/>
        </w:rPr>
        <w:t>, 2020</w:t>
      </w:r>
      <w:r w:rsidRPr="00C963A2">
        <w:fldChar w:fldCharType="end"/>
      </w:r>
      <w:r w:rsidR="00BF3D3F" w:rsidRPr="00C14E3D">
        <w:rPr>
          <w:lang w:val="pt-BR"/>
        </w:rPr>
        <w:t xml:space="preserve">). </w:t>
      </w:r>
      <w:r w:rsidRPr="00C14E3D">
        <w:rPr>
          <w:lang w:val="pt-BR"/>
        </w:rPr>
        <w:t xml:space="preserve">Por todo o mundo, há inúmeras zonas industriais, compostas por parques industriais. Seu desenvolvimento é resultante do planejamento urbano e da implementação de instrumentos como o zoneamento econômico e ambiental </w:t>
      </w:r>
      <w:r w:rsidRPr="00C963A2">
        <w:fldChar w:fldCharType="begin" w:fldLock="1"/>
      </w:r>
      <w:r>
        <w:rPr>
          <w:lang w:val="pt-BR"/>
        </w:rPr>
        <w:instrText>ADDIN CSL_CITATION {"citationItems":[{"id":"ITEM-1","itemData":{"DOI":"10.1016/S0166-4972(01)00040-2","author":[{"dropping-particle":"","family":"Lambert","given":"A J D","non-dropping-particle":"","parse-names":false,"suffix":""},{"dropping-particle":"","family":"Boons","given":"F A","non-dropping-particle":"","parse-names":false,"suffix":""}],"container-title":"Technovation","id":"ITEM-1","issue":"8","issued":{"date-parts":[["2002"]]},"note":"They mainly include the establishment of an information centre for cleaner production (Eco-Efficiency Centre) and some regulation on the environ-mental performance of individual companies.","page":"471-484","title":"Eco-industrial parks: Stimulating sustainable development in mixed industrial parks","type":"article-journal","volume":"22"},"uris":["http://www.mendeley.com/documents/?uuid=43145dfd-b718-4457-abe4-a5313af863c0"]},{"id":"ITEM-2","itemData":{"DOI":"10.1016/j.jclepro.2019.01.145","ISSN":"09596526","abstract":"In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author":[{"dropping-particle":"","family":"Tellier","given":"Mathilde","non-dropping-particle":"Le","parse-names":false,"suffix":""},{"dropping-particle":"","family":"Berrah","given":"Lamia","non-dropping-particle":"","parse-names":false,"suffix":""},{"dropping-particle":"","family":"Stutz","given":"Benoit","non-dropping-particle":"","parse-names":false,"suffix":""},{"dropping-particle":"","family":"Audy","given":"J.-F. Jean François","non-dropping-particle":"","parse-names":false,"suffix":""},{"dropping-particle":"","family":"Barnabé","given":"Simon","non-dropping-particle":"","parse-names":false,"suffix":""}],"container-title":"Journal of Cleaner Production","id":"ITEM-2","issued":{"date-parts":[["2019","4","10"]]},"note":"From Duplicate 2 (Towards sustainable business parks: A literature review and a systemic model - Le Tellier, M; Berrah, L; Stutz, B; Audy, J.-F.; Barnabé, S)\n\nExport Date: 27 October 2021","page":"129-138","publisher":"Elsevier Ltd","title":"Towards sustainable business parks: A literature review and a systemic model","type":"article-journal","volume":"216"},"uris":["http://www.mendeley.com/documents/?uuid=781257ce-9d18-42e1-8be3-02183de88471"]}],"mendeley":{"formattedCitation":"(A. J. D. Lambert &amp; Boons, 2002; Le Tellier, Berrah, Stutz, Audy, &amp; Barnabé, 2019)","manualFormatting":"(LAMBERT; BOONS, 2002; LE TELLIER et al., 2019)","plainTextFormattedCitation":"(A. J. D. Lambert &amp; Boons, 2002; Le Tellier, Berrah, Stutz, Audy, &amp; Barnabé, 2019)","previouslyFormattedCitation":"(A. J. D. Lambert &amp; Boons, 2002; Le Tellier, Berrah, Stutz, Audy, &amp; Barnabé, 2019)"},"properties":{"noteIndex":0},"schema":"https://github.com/citation-style-language/schema/raw/master/csl-citation.json"}</w:instrText>
      </w:r>
      <w:r w:rsidRPr="00C963A2">
        <w:fldChar w:fldCharType="separate"/>
      </w:r>
      <w:r w:rsidRPr="00C14E3D">
        <w:rPr>
          <w:noProof/>
          <w:lang w:val="pt-BR"/>
        </w:rPr>
        <w:t xml:space="preserve">(LAMBERT; BOONS, 2002; LE TELLIER </w:t>
      </w:r>
      <w:r w:rsidRPr="00BF3D3F">
        <w:rPr>
          <w:iCs/>
          <w:noProof/>
          <w:lang w:val="pt-BR"/>
        </w:rPr>
        <w:t>et al.</w:t>
      </w:r>
      <w:r w:rsidRPr="00C14E3D">
        <w:rPr>
          <w:noProof/>
          <w:lang w:val="pt-BR"/>
        </w:rPr>
        <w:t>, 2019)</w:t>
      </w:r>
      <w:r w:rsidRPr="00C963A2">
        <w:fldChar w:fldCharType="end"/>
      </w:r>
      <w:r w:rsidRPr="00C14E3D">
        <w:rPr>
          <w:lang w:val="pt-BR"/>
        </w:rPr>
        <w:t xml:space="preserve">. Os parques industriais convencionais têm sido, durante as últimas décadas, importantes estratégias adotadas por governos e iniciativa privada para o desenvolvimento econômico das regiões em que são implantados. Em contraposição, sua instalação também provoca um efeito adverso ao concentrar impactos ambientais e sociais negativos, em decorrência da poluição, emissões de gases de efeito estufa, diminuição da qualidade laboral e de comunidades adjacentes. Deste modo, a construção de </w:t>
      </w:r>
      <w:r w:rsidR="004374DA">
        <w:rPr>
          <w:lang w:val="pt-BR"/>
        </w:rPr>
        <w:t>EIP</w:t>
      </w:r>
      <w:r w:rsidRPr="00C14E3D">
        <w:rPr>
          <w:lang w:val="pt-BR"/>
        </w:rPr>
        <w:t xml:space="preserve"> ou reestruturação de parques já consolidados na perspectiva de EIP é vista como uma forma útil para alcançar melhores condições socioambientais </w:t>
      </w:r>
      <w:r>
        <w:fldChar w:fldCharType="begin" w:fldLock="1"/>
      </w:r>
      <w:r>
        <w:rPr>
          <w:lang w:val="pt-BR"/>
        </w:rPr>
        <w:instrText>ADDIN CSL_CITATION {"citationItems":[{"id":"ITEM-1","itemData":{"author":[{"dropping-particle":"","family":"World Bank","given":"","non-dropping-particle":"","parse-names":false,"suffix":""}],"id":"ITEM-1","issued":{"date-parts":[["2021"]]},"number-of-pages":"86","publisher-place":"Washington, DC","title":"International Framework for Eco-Industrial Parks v.2","type":"report"},"uris":["http://www.mendeley.com/documents/?uuid=f8613bba-5bd1-4df1-a1f1-be405e4f7c81"]}],"mendeley":{"formattedCitation":"(World Bank, 2021)","plainTextFormattedCitation":"(World Bank, 2021)","previouslyFormattedCitation":"(World Bank, 2021)"},"properties":{"noteIndex":0},"schema":"https://github.com/citation-style-language/schema/raw/master/csl-citation.json"}</w:instrText>
      </w:r>
      <w:r>
        <w:fldChar w:fldCharType="separate"/>
      </w:r>
      <w:r w:rsidRPr="00EC1D3E">
        <w:rPr>
          <w:noProof/>
          <w:lang w:val="pt-BR"/>
        </w:rPr>
        <w:t>(</w:t>
      </w:r>
      <w:r w:rsidR="00BF3D3F" w:rsidRPr="00EC1D3E">
        <w:rPr>
          <w:noProof/>
          <w:lang w:val="pt-BR"/>
        </w:rPr>
        <w:t>WORLD BANK,</w:t>
      </w:r>
      <w:r w:rsidRPr="00EC1D3E">
        <w:rPr>
          <w:noProof/>
          <w:lang w:val="pt-BR"/>
        </w:rPr>
        <w:t xml:space="preserve"> 2021)</w:t>
      </w:r>
      <w:r>
        <w:fldChar w:fldCharType="end"/>
      </w:r>
      <w:r w:rsidRPr="00C14E3D">
        <w:rPr>
          <w:lang w:val="pt-BR"/>
        </w:rPr>
        <w:t xml:space="preserve">. </w:t>
      </w:r>
    </w:p>
    <w:p w14:paraId="0171326C" w14:textId="0A258304" w:rsidR="00992CF5" w:rsidRDefault="00992CF5" w:rsidP="00276160">
      <w:pPr>
        <w:rPr>
          <w:lang w:val="pt-BR"/>
        </w:rPr>
      </w:pPr>
      <w:r w:rsidRPr="00C14E3D">
        <w:rPr>
          <w:lang w:val="pt-BR"/>
        </w:rPr>
        <w:t xml:space="preserve">Nesse contexto, a transição de parques industriais para </w:t>
      </w:r>
      <w:r w:rsidR="004374DA">
        <w:rPr>
          <w:lang w:val="pt-BR"/>
        </w:rPr>
        <w:t>EIP</w:t>
      </w:r>
      <w:r w:rsidRPr="00C14E3D">
        <w:rPr>
          <w:lang w:val="pt-BR"/>
        </w:rPr>
        <w:t xml:space="preserve"> como prática </w:t>
      </w:r>
      <w:r w:rsidRPr="00C14E3D">
        <w:rPr>
          <w:i/>
          <w:iCs/>
          <w:lang w:val="pt-BR"/>
        </w:rPr>
        <w:t>mainstream</w:t>
      </w:r>
      <w:r w:rsidRPr="00C14E3D">
        <w:rPr>
          <w:lang w:val="pt-BR"/>
        </w:rPr>
        <w:t xml:space="preserve"> é encorajada </w:t>
      </w:r>
      <w:r>
        <w:fldChar w:fldCharType="begin" w:fldLock="1"/>
      </w:r>
      <w:r>
        <w:rPr>
          <w:lang w:val="pt-BR"/>
        </w:rPr>
        <w:instrText>ADDIN CSL_CITATION {"citationItems":[{"id":"ITEM-1","itemData":{"author":[{"dropping-particle":"","family":"Kechichian","given":"Etienne","non-dropping-particle":"","parse-names":false,"suffix":""},{"dropping-particle":"","family":"Jeong","given":"Mi Hoon","non-dropping-particle":"","parse-names":false,"suffix":""}],"id":"ITEM-1","issue":"July","issued":{"date-parts":[["2016"]]},"number-of-pages":"65","publisher-place":"Washington, DC","title":"Mainstreaming Eco-Industrial Parks","type":"report"},"uris":["http://www.mendeley.com/documents/?uuid=b226fa76-aa8a-4067-b639-873742e77def"]}],"mendeley":{"formattedCitation":"(Kechichian &amp; Jeong, 2016)","plainTextFormattedCitation":"(Kechichian &amp; Jeong, 2016)","previouslyFormattedCitation":"(Kechichian &amp; Jeong, 2016)"},"properties":{"noteIndex":0},"schema":"https://github.com/citation-style-language/schema/raw/master/csl-citation.json"}</w:instrText>
      </w:r>
      <w:r>
        <w:fldChar w:fldCharType="separate"/>
      </w:r>
      <w:r w:rsidR="00BF3D3F" w:rsidRPr="00EC1D3E">
        <w:rPr>
          <w:noProof/>
          <w:lang w:val="pt-BR"/>
        </w:rPr>
        <w:t>(KECHICHIAN</w:t>
      </w:r>
      <w:r w:rsidR="00BF3D3F">
        <w:rPr>
          <w:noProof/>
          <w:lang w:val="pt-BR"/>
        </w:rPr>
        <w:t>;</w:t>
      </w:r>
      <w:r w:rsidR="00BF3D3F" w:rsidRPr="00EC1D3E">
        <w:rPr>
          <w:noProof/>
          <w:lang w:val="pt-BR"/>
        </w:rPr>
        <w:t xml:space="preserve"> JEONG, 2016</w:t>
      </w:r>
      <w:r>
        <w:fldChar w:fldCharType="end"/>
      </w:r>
      <w:r w:rsidR="00BF3D3F" w:rsidRPr="00BF3D3F">
        <w:rPr>
          <w:lang w:val="pt-BR"/>
        </w:rPr>
        <w:t>;</w:t>
      </w:r>
      <w:r w:rsidR="00BF3D3F" w:rsidRPr="00C14E3D">
        <w:rPr>
          <w:lang w:val="pt-BR"/>
        </w:rPr>
        <w:t xml:space="preserve"> </w:t>
      </w:r>
      <w:r w:rsidRPr="00C963A2">
        <w:fldChar w:fldCharType="begin" w:fldLock="1"/>
      </w:r>
      <w:r>
        <w:rPr>
          <w:lang w:val="pt-BR"/>
        </w:rPr>
        <w:instrText>ADDIN CSL_CITATION {"citationItems":[{"id":"ITEM-1","itemData":{"DOI":"10.1016/j.jenvman.2019.109507","author":[{"dropping-particle":"","family":"Genc","given":"O","non-dropping-particle":"","parse-names":false,"suffix":""},{"dropping-particle":"","family":"Capelleveen","given":"G","non-dropping-particle":"van","parse-names":false,"suffix":""},{"dropping-particle":"","family":"Erdis","given":"E","non-dropping-particle":"","parse-names":false,"suffix":""},{"dropping-particle":"","family":"Yildiz","given":"O","non-dropping-particle":"","parse-names":false,"suffix":""},{"dropping-particle":"","family":"Yazan","given":"D M","non-dropping-particle":"","parse-names":false,"suffix":""}],"container-title":"Journal of Environmental Management","id":"ITEM-1","issued":{"date-parts":[["2019"]]},"title":"A socio-ecological approach to improve industrial zones towards eco-industrial parks","type":"article-journal","volume":"250"},"uris":["http://www.mendeley.com/documents/?uuid=0f55d55b-f768-40a9-8481-814f57e8b852"]}],"mendeley":{"formattedCitation":"(Genc, van Capelleveen, Erdis, Yildiz, &amp; Yazan, 2019)","manualFormatting":"Genc et al. (2019)","plainTextFormattedCitation":"(Genc, van Capelleveen, Erdis, Yildiz, &amp; Yazan, 2019)","previouslyFormattedCitation":"(Genc, van Capelleveen, Erdis, Yildiz, &amp; Yazan, 2019)"},"properties":{"noteIndex":0},"schema":"https://github.com/citation-style-language/schema/raw/master/csl-citation.json"}</w:instrText>
      </w:r>
      <w:r w:rsidRPr="00C963A2">
        <w:fldChar w:fldCharType="separate"/>
      </w:r>
      <w:r w:rsidR="00BF3D3F" w:rsidRPr="00C14E3D">
        <w:rPr>
          <w:noProof/>
          <w:lang w:val="pt-BR"/>
        </w:rPr>
        <w:t xml:space="preserve">GENC </w:t>
      </w:r>
      <w:r w:rsidR="00BF3D3F">
        <w:rPr>
          <w:iCs/>
          <w:noProof/>
          <w:lang w:val="pt-BR"/>
        </w:rPr>
        <w:t xml:space="preserve">et al., </w:t>
      </w:r>
      <w:r w:rsidR="00BF3D3F" w:rsidRPr="00C14E3D">
        <w:rPr>
          <w:noProof/>
          <w:lang w:val="pt-BR"/>
        </w:rPr>
        <w:t>2019)</w:t>
      </w:r>
      <w:r w:rsidRPr="00C963A2">
        <w:fldChar w:fldCharType="end"/>
      </w:r>
      <w:r w:rsidRPr="00C14E3D">
        <w:rPr>
          <w:lang w:val="pt-BR"/>
        </w:rPr>
        <w:t xml:space="preserve"> destacaram que a ausência de relações simbióticas e comprometimento ambiental entre as organizações, apesar dos crescentes esforços, atualmente distanciam as zonas industriais e parques convencionais do conceito de EIP. </w:t>
      </w:r>
      <w:r w:rsidRPr="00EC6579">
        <w:rPr>
          <w:lang w:val="pt-BR"/>
        </w:rPr>
        <w:t xml:space="preserve">Em contrapartida, essa realidade pode ser vista como oportunidade. </w:t>
      </w:r>
      <w:r w:rsidRPr="00C963A2">
        <w:fldChar w:fldCharType="begin" w:fldLock="1"/>
      </w:r>
      <w:r w:rsidRPr="00EC6579">
        <w:rPr>
          <w:lang w:val="pt-BR"/>
        </w:rPr>
        <w:instrText>ADDIN CSL_CITATION {"citationItems":[{"id":"ITEM-1","itemData":{"DOI":"10.1016/j.worlddev.2020.105249","ISSN":"18735991","abstract":"China has achieved remarkable results in green transformation through the implementation of eco-industrial parks (EIPs). Why China chose EIPs as the main vehicle for green transformation? How did it do? Do the EIP interventions also contribute to the economic competitiveness? Most existing studies so far have revealed that EIPs can improve the environmental performance, however, few studies examined their impact on economic competitiveness. This paper intends to systematically analyze China's EIP programs, and examine whether the EIP interventions have improved both their environmental and competitiveness performances as well as the correlation of these two dimensions, through empirical studies based on multiple data sources. The results largely verify the effects of both environmental and competitiveness improvements. Further correlation analysis based on a small sample, however, shows there exists a more complex relationship between competitiveness performance and environmental performance. The paper also identifies the key lessons learned in implementing China's green transformation strategy through EIPs. The authors challenge the conventional wisdom that investing in green technologies and ensuring compliance with eco-industrial standards often leads to cost increases and lo</w:instrText>
      </w:r>
      <w:r>
        <w:instrText>ss of economic competitiveness for both individual firms and industrial zones as a whole. The findings strengthen the evidence ba</w:instrText>
      </w:r>
      <w:r w:rsidRPr="00992CF5">
        <w:rPr>
          <w:lang w:val="pt-BR"/>
        </w:rPr>
        <w:instrText>se for Chinese policy-makers and the business case for entrepreneurs when considering green investments. © 2020 Elsevier Ltd","author":[{"dropping-particle":"","family":"Zeng","given":"Douglas Zhihua","non-dropping-particle":"","parse-names":false,"suffix":""},{"dropping-particle":"","family":"Cheng","given":"Lei","non-dropping-particle":"","parse-names":false,"suffix":""},{"dropping-particle":"","family":"Shi","given":"Lei","non-dropping-particle":"","parse-names":false,"suffix":""},{"dropping-particle":"","family":"Luetkenhorst","given":"Wilfried","non-dropping-particle":"","parse-names":false,"suffix":""}],"container-title":"World Development","id":"ITEM-1","issued":{"date-parts":[["2021","4","1"]]},"note":"From Duplicate 2 (China's green transformation through eco-industrial parks - Zeng, D Z; Cheng, L; Shi, L; Luetkenhorst, W)\n\nExport Date: 4 November 2021","page":"105249","publisher":"Elsevier Ltd","title":"China's green transformation through eco-industrial parks","type":"article-journal","volume":"140"},"uris":["http://www.mendeley.com/documents/?uuid=b16ede8a-6d14-4081-ab50-1a2e17eeaefc"]}],"mendeley":{"formattedCitation":"(Zeng, Cheng, Shi, &amp; Luetkenhorst, 2021)","manualFormatting":"Zeng et al. (2021)","plainTextFormattedCitation":"(Zeng, Cheng, Shi, &amp; Luetkenhorst, 2021)","previouslyFormattedCitation":"(Zeng, Cheng, Shi, &amp; Luetkenhorst, 2021)"},"properties":{"noteIndex":0},"schema":"https://github.com/citation-style-language/schema/raw/master/csl-citation.json"}</w:instrText>
      </w:r>
      <w:r w:rsidRPr="00C963A2">
        <w:fldChar w:fldCharType="separate"/>
      </w:r>
      <w:r w:rsidRPr="00C14E3D">
        <w:rPr>
          <w:noProof/>
          <w:lang w:val="pt-BR"/>
        </w:rPr>
        <w:t xml:space="preserve">Zeng </w:t>
      </w:r>
      <w:r w:rsidRPr="00C14E3D">
        <w:rPr>
          <w:i/>
          <w:noProof/>
          <w:lang w:val="pt-BR"/>
        </w:rPr>
        <w:t>et al.</w:t>
      </w:r>
      <w:r w:rsidRPr="00C14E3D">
        <w:rPr>
          <w:noProof/>
          <w:lang w:val="pt-BR"/>
        </w:rPr>
        <w:t xml:space="preserve"> (2021)</w:t>
      </w:r>
      <w:r w:rsidRPr="00C963A2">
        <w:fldChar w:fldCharType="end"/>
      </w:r>
      <w:r w:rsidRPr="00C14E3D">
        <w:rPr>
          <w:lang w:val="pt-BR"/>
        </w:rPr>
        <w:t xml:space="preserve"> demonstraram que a transformação de zonas industriais tradicionais em ecoparques tem sido uma importante estratégia para o desenvolvimento ambiental na China. Assim, outros locais podem se beneficiar com essas práticas. Essa pesquisa debruça-se sobre as problemáticas que envolvem a transição a EIP em parques de uso misto, considerando um estudo de caso real no Brasil para prospecção de oportunidades de aplicação da SI.</w:t>
      </w:r>
    </w:p>
    <w:p w14:paraId="6EA81CBE" w14:textId="77777777" w:rsidR="00992CF5" w:rsidRPr="00C14E3D" w:rsidRDefault="00992CF5" w:rsidP="00992CF5">
      <w:pPr>
        <w:rPr>
          <w:lang w:val="pt-BR"/>
        </w:rPr>
      </w:pPr>
    </w:p>
    <w:p w14:paraId="4263981D" w14:textId="77777777" w:rsidR="00992CF5" w:rsidRPr="004374DA" w:rsidRDefault="00992CF5" w:rsidP="00992CF5">
      <w:pPr>
        <w:pStyle w:val="Ttulo3"/>
        <w:numPr>
          <w:ilvl w:val="1"/>
          <w:numId w:val="14"/>
        </w:numPr>
        <w:tabs>
          <w:tab w:val="num" w:pos="360"/>
        </w:tabs>
        <w:ind w:left="0" w:firstLine="0"/>
        <w:rPr>
          <w:rFonts w:ascii="Times New Roman" w:hAnsi="Times New Roman" w:cs="Times New Roman"/>
        </w:rPr>
      </w:pPr>
      <w:bookmarkStart w:id="2" w:name="_Toc102331755"/>
      <w:r w:rsidRPr="004374DA">
        <w:rPr>
          <w:rFonts w:ascii="Times New Roman" w:hAnsi="Times New Roman" w:cs="Times New Roman"/>
          <w:color w:val="auto"/>
        </w:rPr>
        <w:t>Objetivos e Contribuições da Pesquisa</w:t>
      </w:r>
      <w:bookmarkEnd w:id="2"/>
    </w:p>
    <w:p w14:paraId="01CF75EB" w14:textId="24B8134F" w:rsidR="00992CF5" w:rsidRPr="00C14E3D" w:rsidRDefault="00992CF5" w:rsidP="00276160">
      <w:pPr>
        <w:ind w:firstLine="426"/>
        <w:rPr>
          <w:lang w:val="pt-BR"/>
        </w:rPr>
      </w:pPr>
      <w:r w:rsidRPr="00C14E3D">
        <w:rPr>
          <w:lang w:val="pt-BR"/>
        </w:rPr>
        <w:t xml:space="preserve">Apesar do crescente interesse pelo tema, </w:t>
      </w:r>
      <w:r w:rsidRPr="00C963A2">
        <w:fldChar w:fldCharType="begin" w:fldLock="1"/>
      </w:r>
      <w:r>
        <w:rPr>
          <w:lang w:val="pt-BR"/>
        </w:rPr>
        <w:instrText>ADDIN CSL_CITATION {"citationItems":[{"id":"ITEM-1","itemData":{"DOI":"10.1016/j.resconrec.2018.06.002","ISSN":"18790658","abstract":"In recent decades, industrial park (IP) development has been an important practice for regional economic development for various geographies. Eco-industrial park (EIP) development, on the other hand, has been proposed as an alternative, considering environmental problems raised from the high number of agglomerated industries in IPs. Although there are some quite progressive EIP experiences that are globally distributed, IP development remains the mainstream industrial agglomeration model and has not yet experienced a transition into EIP development. The purpose of this article is both to understand and shed some light on how such a transition can be achieved through lessons from the EIP cases in the existing state of the art and to establish a research agenda that would elaborate on sustainability transitions into EIP development. To achieve these aims, a systematic literature review involving a case survey is conducted. A theoretical framework with an evolutionary perspective is developed drawing on EIP literature and strategic niche management (SNM) framework from sustainability transitions research. This connects two streams of research that have not been closely associated in the past. While synthesising 104 EIP cases from 24 countries, three analytical processes of SNM are considered: (i) articulation of expectations and visions, (ii) building of social networks, and (iii) learning activities. This article also discusses the development of local EIP experiments and EIP niche formation at different geographies. Based on this synthesis, policy implications are suggested and research implications are provided, stressing critical and interesting issues that have not yet had an explicit focus in the literature. This article enables cross-fertilisation across globally distributed EIP cases while adding to the critical mass in leveraging EIP development. © 2018 Elsevier B.V.","author":[{"dropping-particle":"","family":"Susur","given":"Ebru","non-dropping-particle":"","parse-names":false,"suffix":""},{"dropping-particle":"","family":"Hidalgo","given":"Antonio","non-dropping-particle":"","parse-names":false,"suffix":""},{"dropping-particle":"","family":"Chiaroni","given":"Davide","non-dropping-particle":"","parse-names":false,"suffix":""}],"container-title":"Resources, Conservation and Recycling","id":"ITEM-1","issued":{"date-parts":[["2019","1","1"]]},"note":"From Duplicate 1 (A strategic niche management perspective on transitions to eco-industrial park development: A systematic review of case studies - Susur, Ebru; Hidalgo, Antonio; Chiaroni, Davide)\n\nFrom Duplicate 1 (A strategic niche management perspective on transitions to eco-industrial park development: A systematic review of case studies - Susur, E; Hidalgo, A; Chiaroni, D)\n\nExport Date: 4 November 2021\n\nFrom Duplicate 2 (A strategic niche management perspective on transitions to eco-industrial park development: A systematic review of case studies - Susur, E; Hidalgo, A; Chiaroni, D)\n\nExport Date: 4 November 2021","page":"338-359","publisher":"Elsevier B.V.","title":"A strategic niche management perspective on transitions to eco-industrial park development: A systematic review of case studies","type":"article-journal","volume":"140"},"uris":["http://www.mendeley.com/documents/?uuid=ee326d85-97dc-4e76-b9a3-ab2eadcc690e"]}],"mendeley":{"formattedCitation":"(Susur, Hidalgo, &amp; Chiaroni, 2019)","manualFormatting":"Susur et al. (2019)","plainTextFormattedCitation":"(Susur, Hidalgo, &amp; Chiaroni, 2019)","previouslyFormattedCitation":"(Susur, Hidalgo, &amp; Chiaroni, 2019)"},"properties":{"noteIndex":0},"schema":"https://github.com/citation-style-language/schema/raw/master/csl-citation.json"}</w:instrText>
      </w:r>
      <w:r w:rsidRPr="00C963A2">
        <w:fldChar w:fldCharType="separate"/>
      </w:r>
      <w:r w:rsidRPr="00C963A2">
        <w:rPr>
          <w:noProof/>
        </w:rPr>
        <w:t xml:space="preserve">Susur </w:t>
      </w:r>
      <w:r w:rsidRPr="00FC4C94">
        <w:rPr>
          <w:i/>
          <w:iCs/>
          <w:noProof/>
        </w:rPr>
        <w:t>et al</w:t>
      </w:r>
      <w:r w:rsidRPr="00C963A2">
        <w:rPr>
          <w:i/>
          <w:iCs/>
          <w:noProof/>
        </w:rPr>
        <w:t xml:space="preserve">. </w:t>
      </w:r>
      <w:r w:rsidRPr="00C963A2">
        <w:rPr>
          <w:noProof/>
        </w:rPr>
        <w:t>(2019)</w:t>
      </w:r>
      <w:r w:rsidRPr="00C963A2">
        <w:fldChar w:fldCharType="end"/>
      </w:r>
      <w:r w:rsidRPr="00C963A2">
        <w:t xml:space="preserve"> e </w:t>
      </w:r>
      <w:r w:rsidRPr="00C963A2">
        <w:fldChar w:fldCharType="begin" w:fldLock="1"/>
      </w:r>
      <w:r>
        <w:instrText xml:space="preserve">ADDIN CSL_CITATION {"citationItems":[{"id":"ITEM-1","itemData":{"DOI":"10.1016/j.jenvman.2021.112735","ISSN":"10958630","PMID":"33992872","abstract":"Eco-industrial parks promise to reduce environmental and social impacts and improve the economic performance of industrial parks. However, the transition from industrial parks to eco-industrial parks is still not well understood. This study contributes to developing valid hierarchical eco-industrial park transition attribute sets with qualitative information, as prior studies lack an exploration of the attributes in the transition of eco-industrial parks in Hungary. In nature, eco-industrial park transition attributes have causal and hierarchical interrelationships and are described with qualitative information. The assessment involves an analysis of the industrial symbiosis principles by using linguistic preferences. However, multiple attributes are involved in the assessment; therefore, this study proposes the Delphi method to develop a valid attribute set and applies fuzzy set theory to translate qualitative information into crisp values. The fuzzy decision-making trial evaluation laboratory method is used to visualize the attributes’ causal interrelationships under uncertainties. The results indicate that the policy and regulatory framework leads to collaboration among firms in the eco-industrial park transition model. In practice, price reforms, management commitment, strategic planning, cognitive barriers and the integration of external information are the practical criteria for improvement. Theoretical and practical implications are also discussed. © 2021 Elsevier Ltd","author":[{"dropping-particle":"","family":"Tseng","given":"M.-L. Ming Lang","non-dropping-particle":"","parse-names":false,"suffix":""},{"dropping-particle":"","family":"Negash","given":"Yeneneh Tamirat","non-dropping-particle":"","parse-names":false,"suffix":""},{"dropping-particle":"","family":"Nagypál","given":"Noémi Csigéné","non-dropping-particle":"","parse-names":false,"suffix":""},{"dropping-particle":"","family":"Iranmanesh","given":"Mohammad","non-dropping-particle":"","parse-names":false,"suffix":""},{"dropping-particle":"","family":"Tan","given":"Raymond R.","non-dropping-particle":"","parse-names":false,"suffix":""}],"container-title":"Journal of Environmental Management","id":"ITEM-1","issued":{"date-parts":[["2021","8","15"]]},"note":"From Duplicate 2 (A causal eco-industrial park hierarchical transition model with qualitative </w:instrText>
      </w:r>
      <w:r w:rsidRPr="00992CF5">
        <w:rPr>
          <w:lang w:val="pt-BR"/>
        </w:rPr>
        <w:instrText>information: Policy and regulatory framework leads to collaboration among firms - Tseng, M.-L. Ming Lang; Negash, Yeneneh Tamirat; Nagypál, Noémi Csigéné; Iranmanesh, Mohammad; Tan, Raymond R.)\n\nFrom Duplicate 2 (A causal eco-industrial park hierarchical transition model with qualitative information: Policy and regulatory framework leads to collaboration among firms - Tseng, M.-L.; Negash, Y T; Nagypál, N C; Iranmanesh, M; Tan, R R)\n\nExport Date: 4 November 2021\n\nFrom Duplicate 3 (A causal eco-industrial park hierarchical transition model with qualitative information: Policy and regulatory framework leads to collaboration among firms - Tseng, M.-L.; Negash, Y T; Nagypál, N C; Iranmanesh, M; Tan, R R)\n\nExport Date: 4 November 2021","page":"112735","publisher":"Academic Press","title":"A causal eco-industrial park hierarchical transition model with qualitative information: Policy and regulatory framework leads to collaboration among firms","type":"article-journal","volume":"292"},"uris":["http://www.mendeley.com/documents/?uuid=d7a8eaf5-e50c-436c-84f9-2f16b8dcbbee"]}],"mendeley":{"formattedCitation":"(Tseng, Negash, Nagypál, Iranmanesh, &amp; Tan, 2021)","manualFormatting":"Tseng et al. (2021)","plainTextFormattedCitation":"(Tseng, Negash, Nagypál, Iranmanesh, &amp; Tan, 2021)","previouslyFormattedCitation":"(Tseng, Negash, Nagypál, Iranmanesh, &amp; Tan, 2021)"},"properties":{"noteIndex":0},"schema":"https://github.com/citation-style-language/schema/raw/master/csl-citation.json"}</w:instrText>
      </w:r>
      <w:r w:rsidRPr="00C963A2">
        <w:fldChar w:fldCharType="separate"/>
      </w:r>
      <w:r w:rsidRPr="00C14E3D">
        <w:rPr>
          <w:noProof/>
          <w:lang w:val="pt-BR"/>
        </w:rPr>
        <w:t xml:space="preserve">Tseng </w:t>
      </w:r>
      <w:r w:rsidRPr="00C14E3D">
        <w:rPr>
          <w:i/>
          <w:noProof/>
          <w:lang w:val="pt-BR"/>
        </w:rPr>
        <w:t>et al.</w:t>
      </w:r>
      <w:r w:rsidRPr="00C14E3D">
        <w:rPr>
          <w:noProof/>
          <w:lang w:val="pt-BR"/>
        </w:rPr>
        <w:t xml:space="preserve"> (2021)</w:t>
      </w:r>
      <w:r w:rsidRPr="00C963A2">
        <w:fldChar w:fldCharType="end"/>
      </w:r>
      <w:r w:rsidRPr="00C14E3D">
        <w:rPr>
          <w:lang w:val="pt-BR"/>
        </w:rPr>
        <w:t xml:space="preserve"> afirmaram que ainda não há resolução definitiva sobre como promover a transição de parques industriais em EIP, uma vez que esta questão é permeada pela complexidade que os inúmeros fatores interferentes impõem. Tradicionalmente, os conceitos de EIP são aplicados em setores clássicos da indústria, conhecidos como indústria “pesada” </w:t>
      </w:r>
      <w:r w:rsidRPr="00C963A2">
        <w:fldChar w:fldCharType="begin" w:fldLock="1"/>
      </w:r>
      <w:r>
        <w:rPr>
          <w:lang w:val="pt-BR"/>
        </w:rPr>
        <w:instrText>ADDIN CSL_CITATION {"citationItems":[{"id":"ITEM-1","itemData":{"DOI":"10.1146/annurev.energy.25.1.313","ISSN":"10563466","abstract":"Industrial symbiosis, as part of the emerging field of industrial ecology, demands resolute attention to the flow of materials and energy through local and regional economies. Industrial symbiosis engages traditionally separate industries in a collective approach to competitive advantage involving physical exchange of materials, energy, water, and/or by-products. The keys to industrial symbiosis are collaboration and the synergistic possibilities offered by geographic proximity. This paper reviews the small industrial symbiosis literature and some antecedents, as well as early efforts to develop eco-industrial parks as concrete realizations of the industrial symbiosis concept. Review of the projects is organized around a taxonomy of five different material exchange types. Input-output matching, stakeholder processes, and materials budgeting appear to be useful tools in advancing eco-industrial park development. Evolutionary approaches to industrial symbiosis are found to be important in creating the level of cooperation needed for multi-party exchanges.","author":[{"dropping-particle":"","family":"Chertow","given":"Marian R.","non-dropping-particle":"","parse-names":false,"suffix":""}],"container-title":"Annual Review of Energy and the Environment","id":"ITEM-1","issue":"1","issued":{"date-parts":[["2000","11","28"]]},"note":"From Duplicate 2 (INDUSTRIAL SYMBIOSIS: Literature and Taxonomy - Chertow, Marian R)\n\ndoi: 10.1146/annurev.energy.25.1.313","page":"313-337","publisher":"Annual Reviews Inc","title":"Industrial symbiosis: Literature and taxonomy","type":"article-journal","volume":"25"},"uris":["http://www.mendeley.com/documents/?uuid=c0817d37-9dcc-45e5-9597-19e74c2c0625"]},{"id":"ITEM-2","itemData":{"DOI":"10.1016/j.enpol.2013.06.084","abstract":"China launched low-carbon city strategy to respond global climate change. Industrial symbiosis (IS) could generate both economic and environmental benefits in clustered industries and communities. This research shed light on how industrial symbiosis contributes to city's low-carbon development. An urban-level hybrid physical input and monetary output (HPIMO) model which covers physical energy inputs and air pollutants emissions, is established for addressing case study in a Chinese typical industrial city (Liuzhou). Based on current energy consumption and industrial symbiosis and the application of HPIMO model, scenarios related to industrial symbiosis, including waste plastics recycling, scrap tires recycling, flying ash recycling and biomass utilization are explored. Results show that compared with business-as-usual (BAU) scenario, IS can reduce solid wastes and further contribute to the co-benefits of energy saving, CO  emissions reduction and air pollutants reduction. The finding is critical for national low-carbon strategy. Finally, policy implications to support the ever-improvement of IS promotion in China are proposed and discussed. © 2013 Elsevier Ltd. 2","author":[{"dropping-particle":"","family":"Dong","given":"L.","non-dropping-particle":"","parse-names":false,"suffix":""},{"dropping-particle":"","family":"Fujita","given":"T.","non-dropping-particle":"","parse-names":false,"suffix":""},{"dropping-particle":"","family":"Zhang","given":"H.","non-dropping-particle":"","parse-names":false,"suffix":""},{"dropping-particle":"","family":"Dai","given":"M.","non-dropping-particle":"","parse-names":false,"suffix":""},{"dropping-particle":"","family":"Fujii","given":"M.","non-dropping-particle":"","parse-names":false,"suffix":""},{"dropping-particle":"","family":"Ohnishi","given":"S.","non-dropping-particle":"","parse-names":false,"suffix":""},{"dropping-particle":"","family":"Geng","given":"Y.","non-dropping-particle":"","parse-names":false,"suffix":""},{"dropping-particle":"","family":"Liu","given":"Z.","non-dropping-particle":"","parse-names":false,"suffix":""}],"container-title":"Energy Policy","id":"ITEM-2","issued":{"date-parts":[["2013"]]},"page":"864-873","title":"Promoting low-carbon city through industrial symbiosis: A case in China by applying HPIMO model","type":"article-journal","volume":"61"},"uris":["http://www.mendeley.com/documents/?uuid=ed720a1e-8a23-4262-b5a0-c7aabf34c180"]}],"mendeley":{"formattedCitation":"(Chertow, 2000; Dong et al., 2013)","plainTextFormattedCitation":"(Chertow, 2000; Dong et al., 2013)","previouslyFormattedCitation":"(Chertow, 2000; Dong et al., 2013)"},"properties":{"noteIndex":0},"schema":"https://github.com/citation-style-language/schema/raw/master/csl-citation.json"}</w:instrText>
      </w:r>
      <w:r w:rsidRPr="00C963A2">
        <w:fldChar w:fldCharType="separate"/>
      </w:r>
      <w:r w:rsidRPr="00EC1D3E">
        <w:rPr>
          <w:noProof/>
          <w:lang w:val="pt-BR"/>
        </w:rPr>
        <w:t>(</w:t>
      </w:r>
      <w:r w:rsidR="00BF3D3F" w:rsidRPr="00EC1D3E">
        <w:rPr>
          <w:noProof/>
          <w:lang w:val="pt-BR"/>
        </w:rPr>
        <w:t xml:space="preserve">CHERTOW, 2000; DONG </w:t>
      </w:r>
      <w:r w:rsidR="00BF3D3F">
        <w:rPr>
          <w:noProof/>
          <w:lang w:val="pt-BR"/>
        </w:rPr>
        <w:t>et al</w:t>
      </w:r>
      <w:r w:rsidR="00BF3D3F" w:rsidRPr="00EC1D3E">
        <w:rPr>
          <w:noProof/>
          <w:lang w:val="pt-BR"/>
        </w:rPr>
        <w:t>., 2013</w:t>
      </w:r>
      <w:r w:rsidRPr="00EC1D3E">
        <w:rPr>
          <w:noProof/>
          <w:lang w:val="pt-BR"/>
        </w:rPr>
        <w:t>)</w:t>
      </w:r>
      <w:r w:rsidRPr="00C963A2">
        <w:fldChar w:fldCharType="end"/>
      </w:r>
      <w:r w:rsidRPr="00C14E3D">
        <w:rPr>
          <w:lang w:val="pt-BR"/>
        </w:rPr>
        <w:t xml:space="preserve">. Contudo, tem-se buscado expandir os conceitos de SI e EIP para outros tipos de parques, tais como os tecnológicos, </w:t>
      </w:r>
      <w:r w:rsidRPr="00EC1D3E">
        <w:rPr>
          <w:lang w:val="pt-BR"/>
        </w:rPr>
        <w:t>business parks</w:t>
      </w:r>
      <w:r w:rsidRPr="00C14E3D">
        <w:rPr>
          <w:i/>
          <w:iCs/>
          <w:lang w:val="pt-BR"/>
        </w:rPr>
        <w:t xml:space="preserve"> </w:t>
      </w:r>
      <w:r w:rsidRPr="00C14E3D">
        <w:rPr>
          <w:lang w:val="pt-BR"/>
        </w:rPr>
        <w:t xml:space="preserve">e parques mistos, que compreendem atividades industriais “leves”, serviços e tecnologia, conforme definiram </w:t>
      </w:r>
      <w:r w:rsidRPr="00C963A2">
        <w:fldChar w:fldCharType="begin" w:fldLock="1"/>
      </w:r>
      <w:r>
        <w:rPr>
          <w:lang w:val="pt-BR"/>
        </w:rPr>
        <w:instrText>ADDIN CSL_CITATION {"citationItems":[{"id":"ITEM-1","itemData":{"DOI":"10.1016/S0166-4972(01)00040-2","author":[{"dropping-particle":"","family":"Lambert","given":"A J D","non-dropping-particle":"","parse-names":false,"suffix":""},{"dropping-particle":"","family":"Boons","given":"F A","non-dropping-particle":"","parse-names":false,"suffix":""}],"container-title":"Technovation","id":"ITEM-1","issue":"8","issued":{"date-parts":[["2002"]]},"note":"They mainly include the establishment of an information centre for cleaner production (Eco-Efficiency Centre) and some regulation on the environ-mental performance of individual companies.","page":"471-484","title":"Eco-industrial parks: Stimulating sustainable development in mixed industrial parks","type":"article-journal","volume":"22"},"uris":["http://www.mendeley.com/documents/?uuid=43145dfd-b718-4457-abe4-a5313af863c0"]},{"id":"ITEM-2","itemData":{"DOI":"10.1016/j.jclepro.2019.01.145","ISSN":"09596526","abstract":"In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author":[{"dropping-particle":"","family":"Tellier","given":"Mathilde","non-dropping-particle":"Le","parse-names":false,"suffix":""},{"dropping-particle":"","family":"Berrah","given":"Lamia","non-dropping-particle":"","parse-names":false,"suffix":""},{"dropping-particle":"","family":"Stutz","given":"Benoit","non-dropping-particle":"","parse-names":false,"suffix":""},{"dropping-particle":"","family":"Audy","given":"J.-F. Jean François","non-dropping-particle":"","parse-names":false,"suffix":""},{"dropping-particle":"","family":"Barnabé","given":"Simon","non-dropping-particle":"","parse-names":false,"suffix":""}],"container-title":"Journal of Cleaner Production","id":"ITEM-2","issued":{"date-parts":[["2019","4","10"]]},"note":"From Duplicate 2 (Towards sustainable business parks: A literature review and a systemic model - Le Tellier, M; Berrah, L; Stutz, B; Audy, J.-F.; Barnabé, S)\n\nExport Date: 27 October 2021","page":"129-138","publisher":"Elsevier Ltd","title":"Towards sustainable business parks: A literature review and a systemic model","type":"article-journal","volume":"216"},"uris":["http://www.mendeley.com/documents/?uuid=781257ce-9d18-42e1-8be3-02183de88471"]}],"mendeley":{"formattedCitation":"(A. J. D. Lambert &amp; Boons, 2002; Le Tellier et al., 2019)","manualFormatting":"Lambert e Boons (2002)","plainTextFormattedCitation":"(A. J. D. Lambert &amp; Boons, 2002; Le Tellier et al., 2019)","previouslyFormattedCitation":"(A. J. D. Lambert &amp; Boons, 2002; Le Tellier et al., 2019)"},"properties":{"noteIndex":0},"schema":"https://github.com/citation-style-language/schema/raw/master/csl-citation.json"}</w:instrText>
      </w:r>
      <w:r w:rsidRPr="00C963A2">
        <w:fldChar w:fldCharType="separate"/>
      </w:r>
      <w:r w:rsidRPr="00C963A2">
        <w:rPr>
          <w:noProof/>
        </w:rPr>
        <w:t>Lambert e Boons (2002)</w:t>
      </w:r>
      <w:r w:rsidRPr="00C963A2">
        <w:fldChar w:fldCharType="end"/>
      </w:r>
      <w:r w:rsidRPr="00C963A2">
        <w:t xml:space="preserve"> e </w:t>
      </w:r>
      <w:r w:rsidRPr="00C963A2">
        <w:fldChar w:fldCharType="begin" w:fldLock="1"/>
      </w:r>
      <w:r>
        <w:instrText>ADDIN CSL_CITATION {"citationItems":[{"id":"ITEM-1","itemData":{"DOI":"10.1016/S0166-4972(01)00040-2","author":[{"dropping-particle":"","family":"Lambert","given":"A J D","non-dropping-particle":"","parse-names":false,"suffix":""},{"dropping-particle":"","family":"Boons","given":"F A","non-dropping-particle":"","parse-names":false,"suffix":""}],"container-title":"Technovation","id":"ITEM-1","issue":"8","issued":{"date-parts":[["2002"]]},"note":"They mainly include the establishment of an information centre for cleaner production (Eco-Efficiency Centre) and some regulation on the environ-mental performance of individual companies.","page":"471-484","title":"Eco-industrial parks: Stimulating sustainable development in mixed industrial parks","type":"article-journal","volume":"22"},"uris":["http://www.mendeley.com/documents/?uuid=43145dfd-b718-4457-abe4-a5313af863c0"]},{"id":"ITEM-2","itemData":{"DOI":"10.1016/j.jclepro.2019.01.145","ISSN":"09596526","abstract":"In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ecopark.","author":[{"dropping-particle":"","family":"Tellier","given":"Mathilde","non-dropping-particle":"Le","parse-names":false,"suffi</w:instrText>
      </w:r>
      <w:r w:rsidRPr="00992CF5">
        <w:rPr>
          <w:lang w:val="pt-BR"/>
        </w:rPr>
        <w:instrText>x":""},{"dropping-particle":"","family":"Berrah","given":"Lamia","non-dropping-particle":"","parse-names":false,"suffix":""},{"dropping-particle":"","family":"Stutz","given":"Benoit","non-dropping-particle":"","parse-names":false,"suffix":""},{"dropping-particle":"","family":"Audy","given":"J.-F. Jean François","non-dropping-particle":"","parse-names":false,"suffix":""},{"dropping-particle":"","family":"Barnabé","given":"Simon","non-dropping-particle":"","parse-names":false,"suffix":""}],"container-title":"Journal of Cleaner Production","id":"ITEM-2","issued":{"date-parts":[["2019","4","10"]]},"note":"From Duplicate 2 (Towards sustainable business parks: A literature review and a systemic model - Le Tellier, M; Berrah, L; Stutz, B; Audy, J.-F.; Barnabé, S)\n\nExport Date: 27 October 2021","page":"129-138","publisher":"Elsevier Ltd","title":"Towards sustainable business parks: A literature review and a systemic model","type":"article-journal","volume":"216"},"uris":["http://www.mendeley.com/documents/?uuid=781257ce-9d18-42e1-8be3-02183de88471"]}],"mendeley":{"formattedCitation":"(A. J. D. Lambert &amp; Boons, 2002; Le Tellier et al., 2019)","manualFormatting":"Le Tellier et al. (2019)","plainTextFormattedCitation":"(A. J. D. Lambert &amp; Boons, 2002; Le Tellier et al., 2019)","previouslyFormattedCitation":"(A. J. D. Lambert &amp; Boons, 2002; Le Tellier et al., 2019)"},"properties":{"noteIndex":0},"schema":"https://github.com/citation-style-language/schema/raw/master/csl-citation.json"}</w:instrText>
      </w:r>
      <w:r w:rsidRPr="00C963A2">
        <w:fldChar w:fldCharType="separate"/>
      </w:r>
      <w:r w:rsidRPr="00C14E3D">
        <w:rPr>
          <w:noProof/>
          <w:lang w:val="pt-BR"/>
        </w:rPr>
        <w:t xml:space="preserve">Le Tellier </w:t>
      </w:r>
      <w:r w:rsidRPr="00C14E3D">
        <w:rPr>
          <w:i/>
          <w:noProof/>
          <w:lang w:val="pt-BR"/>
        </w:rPr>
        <w:t>et al.</w:t>
      </w:r>
      <w:r w:rsidRPr="00C14E3D">
        <w:rPr>
          <w:noProof/>
          <w:lang w:val="pt-BR"/>
        </w:rPr>
        <w:t xml:space="preserve"> (2019)</w:t>
      </w:r>
      <w:r w:rsidRPr="00C963A2">
        <w:fldChar w:fldCharType="end"/>
      </w:r>
      <w:r w:rsidRPr="00C14E3D">
        <w:rPr>
          <w:lang w:val="pt-BR"/>
        </w:rPr>
        <w:t>. Essa pesquisa está focada nesse tipo de parque.</w:t>
      </w:r>
    </w:p>
    <w:p w14:paraId="0EEB62A2" w14:textId="5DEBDEDD" w:rsidR="00992CF5" w:rsidRPr="00C14E3D" w:rsidRDefault="00992CF5" w:rsidP="00276160">
      <w:pPr>
        <w:rPr>
          <w:lang w:val="pt-BR"/>
        </w:rPr>
      </w:pPr>
      <w:r w:rsidRPr="00C14E3D">
        <w:rPr>
          <w:lang w:val="pt-BR"/>
        </w:rPr>
        <w:t xml:space="preserve">O principal objetivo desta pesquisa é, portanto, identificar elementos, oportunidades e barreiras à aplicação da SI para fomentar a transição de parques industriais e mistos em EIP, considerando a realidade do Brasil, visto que o estudo contempla um parque empresarial localizado na região Sul. </w:t>
      </w:r>
      <w:r>
        <w:fldChar w:fldCharType="begin" w:fldLock="1"/>
      </w:r>
      <w:r w:rsidRPr="00992CF5">
        <w:rPr>
          <w:lang w:val="pt-BR"/>
        </w:rPr>
        <w:instrText>ADDIN CSL_CITATION {"citationItems":[{"id":"ITEM-1","itemData":{"DOI":"10.1111/jiec.13099","ISSN":"15309290","abstract":"Previous bibliometric analyses of industrial symbiosis (IS) research have focused on a limited body of literature owing to the scope of keyword searches or limitations of library databases. This study seeks to apply bibliometrics to explore broader, epistemological questions, particularly about the structure and geospatial development of IS as a sub-field of industrial ecology. We also evaluate the benefits of using Google Scholar, in addition to the conventional databases Web of Science (WoS) and Scopus, for better understanding academic domains. By using WoS and Scopus, 805 articles on IS that met our criteria were identified, published in 212 journals from 1995 through 2018. On average, the cumulative number of relevant articles grew at an exponential rate of 18% per year—more than double the estimated growth of global scientific output. We observed the largest increases in articles that: (1) model the material and energy flows in IS clusters; (2) propose strategies and ideas for implementing symbiosis; and (3) evaluate the performance of IS networks. By the end of 2018, 54 countries were featured in IS articles retrieved from WoS and Scopus, with China as the single most studied country. The analysis of Google Scholar suggested that it can capture more IS articles than the conventional databases owing to its unique characteristic of searching the entire text of documents rather than solely their metadata as with WoS and Scopus. Google Scholar revealed IS discourse from additional countries and disciplines previously omitted, enabling a more acute view of its patterns of diffusion.","author":[{"dropping-particle":"","family":"Chertow","given":"Marian R.","non-dropping-particle":"","parse-names":false,"suffix":""},{"dropping-particle":"","family":"Kanaoka","given":"Koichi S.","non-dropping-particle":"","parse-names":false,"suffix":""},{"dropping-particle":"","family":"Park","given":"Jooyoung","non-dropping-particle":"","parse-names":false,"suffix":""}],"container-title":"Journal of Industrial Ecology","id":"ITEM-1","issued":{"date-parts":[["2021"]]},"publisher":"Blackwell Publishing","title":"Tracking the diffusion of industrial symbiosis scholarship using bibliometrics: Comparing across Web of Science, Scopus, and Google Scholar","type":"article-journal"},"uris":["http://www.mendeley.com/documents/?uuid=7d4ea211-42db-326a-bd35-de17c40c4cfb"]},{"id":"ITEM-2","itemData":{"DOI":"10.26767/COLOQUIO.V17I3.1742","ISSN":"2318-180X","abstract":"Resumo Os impactos ambientais oriundos de gestão inadequada dos recursos naturais junto com as mudan</w:instrText>
      </w:r>
      <w:r>
        <w:instrText>ças climáticas vêm exigindo modelos de gestão baseados no construto de desenvolvimento sustentável, que possam qualificar os processos produtivos para atender as demandas da sociedade atual e futura. Uma forma de qualificar os sistemas produtivos que tem sido cada vez mais difundida baseia-se no conceito de simbiose, que consiste em aproximar as organizações para melhorar os fluxos de energia e material de forma a reduzir os impactos ambientais. Nesta perspectiva este estudo busca por meio de uma revisão da literatura, identificar e analisar artigos que relatam estudos de casos sobre simbiose industrial no âmbito internacional. Os resultados apontam que a simbiose industrial vem sendo aplicada para gerar benefícios ambientais, sociais e econômicos em diferentes setores produtivos, além de contribuir para modelos de gestão urbana, agricultura familiar e construção civil. Nota-se também que a China é o país que mais desenvolveu estudos sobre o assunto, enquanto no Brasil nenhum estudo com essa abordagem foi encontrado. Abstract Environmental impacts resulting from inadequate management of natural resources along with climate change have required management models based on the sustainable development construct that can qualify productive processes to meet the demands of current and future society. One way to qualify production systems that has been increasingly widespread is based on the concept of symbiosis, which is to bring organizations closer together to improve energy and material flows so as to reduce environmental impacts. In this perspective, this study seeks, through a systematic review of the literature, to identify and analyse articles that report case studies on industrial symbiosis at the international level. The results indicate that industrial symbiosis has been applied to generate environmental, social and economic benefits in different productive sectors, besides contributing to models of urban management, family agriculture and civil construction. It is also noted that China is the country that most developed studies on the subject, while in Brazil, no study with this a</w:instrText>
      </w:r>
      <w:r w:rsidRPr="00992CF5">
        <w:rPr>
          <w:lang w:val="pt-BR"/>
        </w:rPr>
        <w:instrText>pproach was found.","author":[{"dropping-particle":"","family":"Herzer","given":"Eduardo","non-dropping-particle":"","parse-names":false,"suffix":""},{"dropping-particle":"","family":"Dalosto Jahno","given":"Vanusca","non-dropping-particle":"","parse-names":false,"suffix":""},{"dropping-particle":"","family":"Montanari","given":"Daniela","non-dropping-particle":"","parse-names":false,"suffix":""},{"dropping-particle":"","family":"Osório","given":"Migliavacca","non-dropping-particle":"","parse-names":false,"suffix":""},{"dropping-particle":"","family":"Schreiber","given":"Dusan","non-dropping-particle":"","parse-names":false,"suffix":""}],"container-title":"COLÓQUIO - Revista do Desenvolvimento Regional","id":"ITEM-2","issue":"3","issued":{"date-parts":[["2020","7","16"]]},"number-of-pages":"57-73","title":"Simbiose Industrial e a redução dos impactos ambientais dos processos produtivos: estudos realizados entre 2012 e 2017","type":"report","volume":"17"},"uris":["http://www.mendeley.com/documents/?uuid=9b274485-ba87-3ca5-9760-f51d7cf61aba"]}],"mendeley":{"formattedCitation":"(Chertow, Kanaoka, &amp; Park, 2021; Herzer, Dalosto Jahno, Montanari, Osório, &amp; Schreiber, 2020)","manualFormatting":"Chertow et al. (2021) e  Herzer et al. (2020)","plainTextFormattedCitation":"(Chertow, Kanaoka, &amp; Park, 2021; Herzer, Dalosto Jahno, Montanari, Osório, &amp; Schreiber, 2020)"},"properties":{"noteIndex":0},"schema":"https://github.com/citation-style-language/schema/raw/master/csl-citation.json"}</w:instrText>
      </w:r>
      <w:r>
        <w:fldChar w:fldCharType="separate"/>
      </w:r>
      <w:r w:rsidRPr="00992CF5">
        <w:rPr>
          <w:noProof/>
          <w:lang w:val="pt-BR"/>
        </w:rPr>
        <w:t>Chertow et al. (2021) e  Herzer et al. (2020)</w:t>
      </w:r>
      <w:r>
        <w:fldChar w:fldCharType="end"/>
      </w:r>
      <w:r w:rsidRPr="00C14E3D">
        <w:rPr>
          <w:lang w:val="pt-BR"/>
        </w:rPr>
        <w:t xml:space="preserve"> destacaram que o Brasil possui poucas publicações de relevância internacional no tema da SI e EIP. </w:t>
      </w:r>
      <w:r w:rsidRPr="00C963A2">
        <w:fldChar w:fldCharType="begin" w:fldLock="1"/>
      </w:r>
      <w:r>
        <w:rPr>
          <w:lang w:val="pt-BR"/>
        </w:rPr>
        <w:instrText>ADDIN CSL_CITATION {"citationItems":[{"id":"ITEM-1","itemData":{"DOI":"10.1111/jiec.13099","ISSN":"15309290","abstract":"Previous bibliometric analyses of industrial symbiosis (IS) research have focused on a limited body of literature owing to the scope of keyword searches or limitations of library databases. This study seeks to apply bibliometrics to explore broader, epistemological questions, particularly about the structure and geospatial development of IS as a sub-field of industrial ecology. We also evaluate the benefits of using Google Scholar, in addition to the conventional databases Web of Science (WoS) and Scopus, for better understanding academic domains. By using WoS and Scopus, 805 articles on IS that met our criteria were identified, published in 212 journals from 1995 through 2018. On average, the cumulative number of relevant articles grew at an exponential rate of 18% per year—more than double the estimated growth of global scientific output. We observed the largest increases in articles that: (1) model the material and energy flows in IS clusters; (2) propose strategies and ideas for implementing symbiosis; and (3) evaluate the performance of IS networks. By the end of 2018, 54 countries were featured in IS articles retrieved from WoS and Scopus, with China as the single most studied country. The analysis of Google Scholar suggested that it can capture more IS articles than the conventional databases owing to its unique characteristic of searching the entire text of documents rather than solely their metadata as with WoS and Scopus. Google Scholar revealed IS discourse from additional countries and disciplines previously omitted, enabling a more acute view of its patterns of diffusion.","author":[{"dropping-particle":"","family":"Chertow","given":"Marian R.","non-dropping-particle":"","parse-names":false,"suffix":""},{"dropping-particle":"","family":"Kanaoka","given":"Koichi S.","non-dropping-particle":"","parse-names":false,"suffix":""},{"dropping-particle":"","family":"Park","given":"Jooyoung","non-dropping-particle":"","parse-names":false,"suffix":""}],"container-title":"Journal of Industrial Ecology","id":"ITEM-1","issued":{"date-parts":[["2021"]]},"publisher":"Blackwell Publishing","title":"Tracking the diffusion of industrial symbiosis scholarship using bibliometrics: Comparing across Web of Science, Scopus, and Google Scholar","type":"article-journal"},"uris":["http://www.mendeley.com/documents/?uuid=7d4ea211-42db-326a-bd35-de17c40c4cfb"]}],"mendeley":{"formattedCitation":"(Chertow et al., 2021)","manualFormatting":"Chertow et al. (2021)","plainTextFormattedCitation":"(Chertow et al., 2021)","previouslyFormattedCitation":"(Chertow et al., 2021)"},"properties":{"noteIndex":0},"schema":"https://github.com/citation-style-language/schema/raw/master/csl-citation.json"}</w:instrText>
      </w:r>
      <w:r w:rsidRPr="00C963A2">
        <w:fldChar w:fldCharType="separate"/>
      </w:r>
      <w:r w:rsidRPr="00C14E3D">
        <w:rPr>
          <w:noProof/>
          <w:lang w:val="pt-BR"/>
        </w:rPr>
        <w:t xml:space="preserve">Chertow </w:t>
      </w:r>
      <w:r w:rsidR="00BF3D3F">
        <w:rPr>
          <w:noProof/>
          <w:lang w:val="pt-BR"/>
        </w:rPr>
        <w:t>et al.</w:t>
      </w:r>
      <w:r w:rsidRPr="00C14E3D">
        <w:rPr>
          <w:i/>
          <w:iCs/>
          <w:noProof/>
          <w:lang w:val="pt-BR"/>
        </w:rPr>
        <w:t xml:space="preserve"> </w:t>
      </w:r>
      <w:r w:rsidRPr="00C14E3D">
        <w:rPr>
          <w:noProof/>
          <w:lang w:val="pt-BR"/>
        </w:rPr>
        <w:t>(2021)</w:t>
      </w:r>
      <w:r w:rsidRPr="00C963A2">
        <w:fldChar w:fldCharType="end"/>
      </w:r>
      <w:r w:rsidRPr="00C14E3D">
        <w:rPr>
          <w:lang w:val="pt-BR"/>
        </w:rPr>
        <w:t xml:space="preserve">, em revisão bibliométrica, identificaram apenas 07 artigos científicos de trabalhos realizados no Brasil nas principais bases de dados mundiais. Apesar disso, </w:t>
      </w:r>
      <w:r w:rsidRPr="00C963A2">
        <w:fldChar w:fldCharType="begin" w:fldLock="1"/>
      </w:r>
      <w:r>
        <w:rPr>
          <w:lang w:val="pt-BR"/>
        </w:rPr>
        <w:instrText>ADDIN CSL_CITATION {"citationItems":[{"id":"ITEM-1","itemData":{"DOI":"10.1016/j.jclepro.2019.119113","ISSN":"09596526","author":[{"dropping-particle":"","family":"Neves","given":"Angela","non-dropping-particle":"","parse-names":false,"suffix":""},{"dropping-particle":"","family":"Godina","given":"Radu","non-dropping-particle":"","parse-names":false,"suffix":""},{"dropping-particle":"","family":"Azevedo","given":"Susana G.","non-dropping-particle":"","parse-names":false,"suffix":""},{"dropping-particle":"","family":"Matias","given":"João C.O. O","non-dropping-particle":"","parse-names":false,"suffix":""}],"container-title":"Journal of Cleaner Production","id":"ITEM-1","issued":{"date-parts":[["2020","2","20"]]},"page":"119113","publisher":"Elsevier Ltd","title":"A comprehensive review of industrial symbiosis","type":"article-journal","volume":"247"},"uris":["http://www.mendeley.com/documents/?uuid=203318d2-f3af-4a3f-a2ff-dfbc4ade29d9"]}],"mendeley":{"formattedCitation":"(Neves, Godina, Azevedo, &amp; Matias, 2020)","manualFormatting":"Neves et al. (2020)","plainTextFormattedCitation":"(Neves, Godina, Azevedo, &amp; Matias, 2020)","previouslyFormattedCitation":"(Neves, Godina, Azevedo, &amp; Matias, 2020)"},"properties":{"noteIndex":0},"schema":"https://github.com/citation-style-language/schema/raw/master/csl-citation.json"}</w:instrText>
      </w:r>
      <w:r w:rsidRPr="00C963A2">
        <w:fldChar w:fldCharType="separate"/>
      </w:r>
      <w:r w:rsidRPr="00C14E3D">
        <w:rPr>
          <w:noProof/>
          <w:lang w:val="pt-BR"/>
        </w:rPr>
        <w:t xml:space="preserve">Neves </w:t>
      </w:r>
      <w:r w:rsidRPr="00A2545E">
        <w:rPr>
          <w:iCs/>
          <w:noProof/>
          <w:lang w:val="pt-BR"/>
        </w:rPr>
        <w:t xml:space="preserve">et al. </w:t>
      </w:r>
      <w:r w:rsidRPr="00C14E3D">
        <w:rPr>
          <w:noProof/>
          <w:lang w:val="pt-BR"/>
        </w:rPr>
        <w:t>(2020)</w:t>
      </w:r>
      <w:r w:rsidRPr="00C963A2">
        <w:fldChar w:fldCharType="end"/>
      </w:r>
      <w:r w:rsidRPr="00C14E3D">
        <w:rPr>
          <w:lang w:val="pt-BR"/>
        </w:rPr>
        <w:t xml:space="preserve"> reconheceram o potencial da SI no Brasil e salientaram que o país, a exemplo de Canadá e México, carece de desenvolvimento no assunto.</w:t>
      </w:r>
    </w:p>
    <w:p w14:paraId="74AC39C6" w14:textId="77777777" w:rsidR="00276160" w:rsidRDefault="00992CF5" w:rsidP="00276160">
      <w:pPr>
        <w:rPr>
          <w:lang w:val="pt-BR"/>
        </w:rPr>
      </w:pPr>
      <w:r w:rsidRPr="00C14E3D">
        <w:rPr>
          <w:lang w:val="pt-BR"/>
        </w:rPr>
        <w:t xml:space="preserve">Nesse contexto, este artigo pretende colaborar com a construção de um entendimento mais robusto sobre as problemáticas que envolvem a transformação de estruturas empresariais em modelos mais sustentáveis, como EIP. As contribuições do artigo podem ser desmembradas em dois pontos. O primeiro está relacionado ao estudo da SI e EIP em parques mistos e logísticos, visto que esses conceitos são, tradicionalmente, direcionados aos setores da indústria clássica. Em adição, o segundo ponto se relaciona à aplicação de estudo de caso e análises empíricas para explorar oportunidades em um parque tecnológico e empresarial localizado no sul do Brasil. </w:t>
      </w:r>
    </w:p>
    <w:p w14:paraId="55B80BC6" w14:textId="3A088A3E" w:rsidR="00992CF5" w:rsidRDefault="00992CF5" w:rsidP="00276160">
      <w:pPr>
        <w:ind w:firstLine="426"/>
        <w:rPr>
          <w:lang w:val="pt-BR"/>
        </w:rPr>
      </w:pPr>
      <w:r w:rsidRPr="00C14E3D">
        <w:rPr>
          <w:lang w:val="pt-BR"/>
        </w:rPr>
        <w:t>Como resultado dessas contribuições, pretende-se apontar as especificidades da realidade local e regional, incentivando a disseminação dos conceitos de SI e EIP em um país onde práticas desse tipo são incipientes, mas com potencial reconhecido.</w:t>
      </w:r>
      <w:r w:rsidR="008E416D">
        <w:rPr>
          <w:lang w:val="pt-BR"/>
        </w:rPr>
        <w:t xml:space="preserve"> O</w:t>
      </w:r>
      <w:r w:rsidR="00435ACD">
        <w:rPr>
          <w:lang w:val="pt-BR"/>
        </w:rPr>
        <w:t xml:space="preserve"> artigo tem como objetivos</w:t>
      </w:r>
      <w:r w:rsidRPr="00C14E3D">
        <w:rPr>
          <w:lang w:val="pt-BR"/>
        </w:rPr>
        <w:t xml:space="preserve"> </w:t>
      </w:r>
      <w:r w:rsidR="00435ACD">
        <w:rPr>
          <w:lang w:val="pt-BR"/>
        </w:rPr>
        <w:t>mostrar</w:t>
      </w:r>
      <w:r w:rsidRPr="00C14E3D">
        <w:rPr>
          <w:lang w:val="pt-BR"/>
        </w:rPr>
        <w:t xml:space="preserve"> uma breve abordagem teórica sobre os Ecoparques Industriais. Além disso, torna-se necessário definir o estado da arte com base nas iniciativas e estudos realizados nesse tema. </w:t>
      </w:r>
      <w:r w:rsidR="00435ACD">
        <w:rPr>
          <w:lang w:val="pt-BR"/>
        </w:rPr>
        <w:t>A</w:t>
      </w:r>
      <w:r w:rsidRPr="00C14E3D">
        <w:rPr>
          <w:lang w:val="pt-BR"/>
        </w:rPr>
        <w:t xml:space="preserve">presenta-se </w:t>
      </w:r>
      <w:r w:rsidR="00435ACD">
        <w:rPr>
          <w:lang w:val="pt-BR"/>
        </w:rPr>
        <w:t xml:space="preserve">também </w:t>
      </w:r>
      <w:r w:rsidRPr="00C14E3D">
        <w:rPr>
          <w:lang w:val="pt-BR"/>
        </w:rPr>
        <w:t xml:space="preserve">o Estudo de Caso realizado em um parque empresarial localizado na região sul do Brasil. Nele, visa-se discutir quais são os elementos existentes que podem facilitar ou dificultar a transição </w:t>
      </w:r>
      <w:r w:rsidR="00435ACD">
        <w:rPr>
          <w:lang w:val="pt-BR"/>
        </w:rPr>
        <w:t>par</w:t>
      </w:r>
      <w:r w:rsidRPr="00C14E3D">
        <w:rPr>
          <w:lang w:val="pt-BR"/>
        </w:rPr>
        <w:t xml:space="preserve">a EIP, bem como apresentar oportunidades e estratégias para essa transição. </w:t>
      </w:r>
    </w:p>
    <w:p w14:paraId="10A89B8D" w14:textId="77777777" w:rsidR="00992CF5" w:rsidRDefault="00992CF5" w:rsidP="00276160">
      <w:pPr>
        <w:spacing w:before="0"/>
        <w:rPr>
          <w:lang w:val="pt-BR"/>
        </w:rPr>
      </w:pPr>
    </w:p>
    <w:p w14:paraId="6407AE16" w14:textId="77777777" w:rsidR="00961299" w:rsidRPr="00C14E3D" w:rsidRDefault="00961299" w:rsidP="00276160">
      <w:pPr>
        <w:spacing w:before="0"/>
        <w:rPr>
          <w:lang w:val="pt-BR"/>
        </w:rPr>
      </w:pPr>
    </w:p>
    <w:p w14:paraId="2F6423ED" w14:textId="6087CBDA" w:rsidR="00992CF5" w:rsidRPr="00281E52" w:rsidRDefault="004374DA" w:rsidP="00992CF5">
      <w:pPr>
        <w:pStyle w:val="Ttulo2"/>
        <w:numPr>
          <w:ilvl w:val="0"/>
          <w:numId w:val="14"/>
        </w:numPr>
        <w:tabs>
          <w:tab w:val="num" w:pos="360"/>
        </w:tabs>
        <w:ind w:left="0" w:firstLine="0"/>
        <w:rPr>
          <w:rFonts w:ascii="Times New Roman" w:hAnsi="Times New Roman" w:cs="Times New Roman"/>
          <w:b/>
          <w:bCs/>
          <w:color w:val="auto"/>
          <w:sz w:val="24"/>
          <w:szCs w:val="24"/>
          <w:lang w:val="pt-BR"/>
        </w:rPr>
      </w:pPr>
      <w:bookmarkStart w:id="3" w:name="_Toc102331757"/>
      <w:r w:rsidRPr="00281E52">
        <w:rPr>
          <w:rFonts w:ascii="Times New Roman" w:hAnsi="Times New Roman" w:cs="Times New Roman"/>
          <w:b/>
          <w:bCs/>
          <w:color w:val="auto"/>
          <w:sz w:val="24"/>
          <w:szCs w:val="24"/>
          <w:lang w:val="pt-BR"/>
        </w:rPr>
        <w:t>Ecoparques Industriais: Fundamentos e Perspectivas</w:t>
      </w:r>
      <w:bookmarkEnd w:id="3"/>
    </w:p>
    <w:p w14:paraId="54A45604" w14:textId="77777777" w:rsidR="004374DA" w:rsidRPr="004374DA" w:rsidRDefault="004374DA" w:rsidP="00276160">
      <w:pPr>
        <w:spacing w:before="0"/>
        <w:rPr>
          <w:lang w:val="pt-BR"/>
        </w:rPr>
      </w:pPr>
    </w:p>
    <w:p w14:paraId="5973B6B4" w14:textId="3CC1E96D" w:rsidR="00992CF5" w:rsidRPr="00C14E3D" w:rsidRDefault="00992CF5" w:rsidP="00276160">
      <w:pPr>
        <w:pStyle w:val="PargrafodaLista"/>
        <w:ind w:left="0" w:firstLine="426"/>
        <w:rPr>
          <w:lang w:val="pt-BR"/>
        </w:rPr>
      </w:pPr>
      <w:r w:rsidRPr="00992CF5">
        <w:rPr>
          <w:szCs w:val="24"/>
          <w:lang w:val="pt-BR"/>
        </w:rPr>
        <w:lastRenderedPageBreak/>
        <w:t xml:space="preserve">Quais as implicações em se introduzir o prefixo “eco” aos termos “parque industrial”? Uma mera questão de grafia? O que a literatura oferece para fomentar essa inclusão que implica em transformação? </w:t>
      </w:r>
      <w:r w:rsidRPr="00C14E3D">
        <w:rPr>
          <w:lang w:val="pt-BR"/>
        </w:rPr>
        <w:t>Apesar de distintas definições, existem conceitos e aspectos centrais relacionados aos Ecoparques Industriais que merecem ser enfatizados. Os EIP são uma “comunidade de organizações” (</w:t>
      </w:r>
      <w:r w:rsidRPr="00C963A2">
        <w:fldChar w:fldCharType="begin" w:fldLock="1"/>
      </w:r>
      <w:r>
        <w:rPr>
          <w:lang w:val="pt-BR"/>
        </w:rPr>
        <w:instrText>ADDIN CSL_CITATION {"citationItems":[{"id":"ITEM-1","itemData":{"author":[{"dropping-particle":"","family":"Lowe","given":"Ernest A.","non-dropping-particle":"","parse-names":false,"suffix":""},{"dropping-particle":"","family":"Moran","given":"Stephen R.","non-dropping-particle":"","parse-names":false,"suffix":""},{"dropping-particle":"","family":"Holmes","given":"Douglas B.","non-dropping-particle":"","parse-names":false,"suffix":""},{"dropping-particle":"","family":"Doyle","given":"Brendan","non-dropping-particle":"","parse-names":false,"suffix":""}],"container-title":"Indigo Development","id":"ITEM-1","issue":"October","issued":{"date-parts":[["1996"]]},"number-of-pages":"1-344","title":"Fieldbook for the Development of Eco-Industrial Parks","type":"report"},"uris":["http://www.mendeley.com/documents/?uuid=3c595c6f-a875-45be-8e3b-2937142526e6"]}],"mendeley":{"formattedCitation":"(Lowe, Moran, Holmes, &amp; Doyle, 1996)","manualFormatting":"Lowe et al.,1996)","plainTextFormattedCitation":"(Lowe, Moran, Holmes, &amp; Doyle, 1996)","previouslyFormattedCitation":"(Lowe, Moran, Holmes, &amp; Doyle, 1996)"},"properties":{"noteIndex":0},"schema":"https://github.com/citation-style-language/schema/raw/master/csl-citation.json"}</w:instrText>
      </w:r>
      <w:r w:rsidRPr="00C963A2">
        <w:fldChar w:fldCharType="separate"/>
      </w:r>
      <w:r w:rsidR="00BF3D3F">
        <w:rPr>
          <w:noProof/>
          <w:lang w:val="pt-BR"/>
        </w:rPr>
        <w:t>LOWE</w:t>
      </w:r>
      <w:r w:rsidRPr="00C14E3D">
        <w:rPr>
          <w:noProof/>
          <w:lang w:val="pt-BR"/>
        </w:rPr>
        <w:t xml:space="preserve"> </w:t>
      </w:r>
      <w:r w:rsidR="00BF3D3F">
        <w:rPr>
          <w:noProof/>
          <w:lang w:val="pt-BR"/>
        </w:rPr>
        <w:t>et al</w:t>
      </w:r>
      <w:r w:rsidRPr="00C14E3D">
        <w:rPr>
          <w:noProof/>
          <w:lang w:val="pt-BR"/>
        </w:rPr>
        <w:t>.,1996)</w:t>
      </w:r>
      <w:r w:rsidRPr="00C963A2">
        <w:fldChar w:fldCharType="end"/>
      </w:r>
      <w:r w:rsidRPr="00C14E3D">
        <w:rPr>
          <w:lang w:val="pt-BR"/>
        </w:rPr>
        <w:t xml:space="preserve">. Isso os distingue de parques industriais convencionais, nos quais as organizações, tipicamente, mantêm-se isoladas (sem interações) em relação às demais, mesmo estando próximas geograficamente </w:t>
      </w:r>
      <w:r>
        <w:fldChar w:fldCharType="begin" w:fldLock="1"/>
      </w:r>
      <w:r>
        <w:rPr>
          <w:lang w:val="pt-BR"/>
        </w:rPr>
        <w:instrText>ADDIN CSL_CITATION {"citationItems":[{"id":"ITEM-1","itemData":{"DOI":"10.1146/annurev.energy.25.1.313","ISSN":"10563466","abstract":"Industrial symbiosis, as part of the emerging field of industrial ecology, demands resolute attention to the flow of materials and energy through local and regional economies. Industrial symbiosis engages traditionally separate industries in a collective approach to competitive advantage involving physical exchange of materials, energy, water, and/or by-products. The keys to industrial symbiosis are collaboration and the synergistic possibilities offered by geographic proximity. This paper reviews the small industrial symbiosis literature and some antecedents, as well as early efforts to develop eco-industrial parks as concrete realizations of the industrial symbiosis concept. Review of the projects is organized around a taxonomy of five different material exchange types. Input-output matching, stakeholder processes, and materials budgeting appear to be useful tools in advancing eco-industrial park development. Evolutionary approaches to industrial symbiosis are found to be important in creating the level of cooperation needed for multi-party exchanges.","author":[{"dropping-particle":"","family":"Chertow","given":"Marian R.","non-dropping-particle":"","parse-names":false,"suffix":""}],"container-title":"Annual Review of Energy and the Environment","id":"ITEM-1","issue":"1","issued":{"date-parts":[["2000","11","28"]]},"note":"From Duplicate 2 (INDUSTRIAL SYMBIOSIS: Literature and Taxonomy - Chertow, Marian R)\n\ndoi: 10.1146/annurev.energy.25.1.313","page":"313-337","publisher":"Annual Reviews Inc","title":"Industrial symbiosis: Literature and taxonomy","type":"article-journal","volume":"25"},"uris":["http://www.mendeley.com/documents/?uuid=c0817d37-9dcc-45e5-9597-19e74c2c0625"]}],"mendeley":{"formattedCitation":"(Chertow, 2000)","manualFormatting":"(CHERTOW, 2000)","plainTextFormattedCitation":"(Chertow, 2000)","previouslyFormattedCitation":"(Chertow, 2000)"},"properties":{"noteIndex":0},"schema":"https://github.com/citation-style-language/schema/raw/master/csl-citation.json"}</w:instrText>
      </w:r>
      <w:r>
        <w:fldChar w:fldCharType="separate"/>
      </w:r>
      <w:r w:rsidRPr="00C14E3D">
        <w:rPr>
          <w:noProof/>
          <w:lang w:val="pt-BR"/>
        </w:rPr>
        <w:t>(CHERTOW, 2000)</w:t>
      </w:r>
      <w:r>
        <w:fldChar w:fldCharType="end"/>
      </w:r>
      <w:r w:rsidRPr="00C14E3D">
        <w:rPr>
          <w:lang w:val="pt-BR"/>
        </w:rPr>
        <w:t xml:space="preserve">. Deste modo, nos EIP, há uma expectativa de cooperação das empresas entre si e entre a comunidade </w:t>
      </w:r>
      <w:r w:rsidRPr="00C963A2">
        <w:fldChar w:fldCharType="begin" w:fldLock="1"/>
      </w:r>
      <w:r w:rsidRPr="00C14E3D">
        <w:rPr>
          <w:lang w:val="pt-BR"/>
        </w:rPr>
        <w:instrText>ADDIN CSL_CITATION {"citationItems":[{"id":"ITEM-1","itemData":{"author":[{"dropping-particle":"","family":"USPCSD","given":"President's Council on Sustainable Development","non-dropping-particle":"","parse-names":false,"suffix":""}],"container-title":"Eco-Industrial Park Workshop","id":"ITEM-1","issued":{"date-parts":[["1996"]]},"title":"Eco-Industrial Park Workshop Proceedings","type":"article-journal"},"uris":["http://www.mendeley.com/documents/?uuid=7fbbf41f-2b78-4f61-b309-b7e9b195261b"]}],"mendeley":{"formattedCitation":"(USPCSD, 1996)","plainTextFormattedCitation":"(USPCSD, 1996)","previouslyFormattedCitation":"(USPCSD, 1996)"},"properties":{"noteIndex":0},"schema":"https://github.com/citation-style-language/schema/raw/master/csl-citation.json"}</w:instrText>
      </w:r>
      <w:r w:rsidRPr="00C963A2">
        <w:fldChar w:fldCharType="separate"/>
      </w:r>
      <w:r w:rsidRPr="00C14E3D">
        <w:rPr>
          <w:noProof/>
          <w:lang w:val="pt-BR"/>
        </w:rPr>
        <w:t>(USPCSD, 1996)</w:t>
      </w:r>
      <w:r w:rsidRPr="00C963A2">
        <w:fldChar w:fldCharType="end"/>
      </w:r>
      <w:r w:rsidRPr="00C14E3D">
        <w:rPr>
          <w:lang w:val="pt-BR"/>
        </w:rPr>
        <w:t xml:space="preserve">. Nesse sentido, a existência de relações simbióticas, como intercâmbios e compartilhamentos, desponta como condição determinante para a existência de um EIP. </w:t>
      </w:r>
    </w:p>
    <w:p w14:paraId="4734FEF1" w14:textId="53395B12" w:rsidR="00992CF5" w:rsidRDefault="00992CF5" w:rsidP="00276160">
      <w:pPr>
        <w:ind w:firstLine="426"/>
        <w:rPr>
          <w:lang w:val="pt-BR"/>
        </w:rPr>
      </w:pPr>
      <w:r w:rsidRPr="00C14E3D">
        <w:rPr>
          <w:lang w:val="pt-BR"/>
        </w:rPr>
        <w:t xml:space="preserve">Por conseguinte, há um objetivo comum, qual seja, a melhoria no desempenho quanto ao </w:t>
      </w:r>
      <w:r w:rsidRPr="00C14E3D">
        <w:rPr>
          <w:i/>
          <w:iCs/>
          <w:lang w:val="pt-BR"/>
        </w:rPr>
        <w:t xml:space="preserve">triple bottom line </w:t>
      </w:r>
      <w:r w:rsidRPr="00C14E3D">
        <w:rPr>
          <w:lang w:val="pt-BR"/>
        </w:rPr>
        <w:t xml:space="preserve">(pilares social, ambiental e econômico) da Sustentabilidade </w:t>
      </w:r>
      <w:r>
        <w:fldChar w:fldCharType="begin" w:fldLock="1"/>
      </w:r>
      <w:r>
        <w:rPr>
          <w:lang w:val="pt-BR"/>
        </w:rPr>
        <w:instrText>ADDIN CSL_CITATION {"citationItems":[{"id":"ITEM-1","itemData":{"DOI":"10.1016/j.jenvman.2021.112735","ISSN":"10958630","PMID":"33992872","abstract":"Eco-industrial parks promise to reduce environmental and social impacts and improve the economic performance of industrial parks. However, the transition from industrial parks to eco-industrial parks is still not well understood. This study contributes to developing valid hierarchical eco-industrial park transition attribute sets with qualitative information, as prior studies lack an exploration of the attributes in the transition of eco-industrial parks in Hungary. In nature, eco-industrial park transition attributes have causal and hierarchical interrelationships and are described with qualitative information. The assessment involves an analysis of the industrial symbiosis principles by using linguistic preferences. However, multiple attributes are involved in the assessment; therefore, this study proposes the Delphi method to develop a valid attribute set and applies fuzzy set theory to translate qualitative information into crisp values. The fuzzy decision-making trial evaluation laboratory method is used to visualize the attributes’ causal interrelationships under uncertainties. The results indicate that the policy and regulatory framework leads to collaboration among firms in the eco-industrial park transition model. In practice, price reforms, management commitment, strategic planning, cognitive barriers and the integration of external information are the practical criteria for improvement. Theoretical and practical implications are also discussed. © 2021 Elsevier Ltd","author":[{"dropping-particle":"","family":"Tseng","given":"M.-L. Ming Lang","non-dropping-particle":"","parse-names":false,"suffix":""},{"dropping-particle":"","family":"Negash","given":"Yeneneh Tamirat","non-dropping-particle":"","parse-names":false,"suffix":""},{"dropping-particle":"","family":"Nagypál","given":"Noémi Csigéné","non-dropping-particle":"","parse-names":false,"suffix":""},{"dropping-particle":"","family":"Iranmanesh","given":"Mohammad","non-dropping-particle":"","parse-names":false,"suffix":""},{"dropping-particle":"","family":"Tan","given":"Raymond R.","non-dropping-particle":"","parse-names":false,"suffix":""}],"container-title":"Journal of Environmental Management","id":"ITEM-1","issued":{"date-parts":[["2021","8","15"]]},"note":"From Duplicate 2 (A causal eco-industrial park hierarchical transition model with qualitative information: Policy and regulatory framework leads to collaboration among firms - Tseng, M.-L. Ming Lang; Negash, Yeneneh Tamirat; Nagypál, Noémi Csigéné; Iranmanesh, Mohammad; Tan, Raymond R.)\n\nFrom Duplicate 2 (A causal eco-industrial park hierarchical transition model with qualitative information: Policy and regulatory framework leads to collaboration among firms - Tseng, M.-L.; Negash, Y T; Nagypál, N C; Iranmanesh, M; Tan, R R)\n\nExport Date: 4 November 2021\n\nFrom Duplicate 3 (A causal eco-industrial park hierarchical transition model with qualitative information: Policy and regulatory framework leads to collaboration among firms - Tseng, M.-L.; Negash, Y T; Nagypál, N C; Iranmanesh, M; Tan, R R)\n\nExport Date: 4 November 2021","page":"112735","publisher":"Academic Press","title":"A causal eco-industrial park hierarchical transition model with qualitative information: Policy and regulatory framework leads to collaboration among firms","type":"article-journal","volume":"292"},"uris":["http://www.mendeley.com/documents/?uuid=d7a8eaf5-e50c-436c-84f9-2f16b8dcbbee"]}],"mendeley":{"formattedCitation":"(Tseng et al., 2021)","plainTextFormattedCitation":"(Tseng et al., 2021)","previouslyFormattedCitation":"(Tseng et al., 2021)"},"properties":{"noteIndex":0},"schema":"https://github.com/citation-style-language/schema/raw/master/csl-citation.json"}</w:instrText>
      </w:r>
      <w:r>
        <w:fldChar w:fldCharType="separate"/>
      </w:r>
      <w:r w:rsidRPr="00EC1D3E">
        <w:rPr>
          <w:noProof/>
          <w:lang w:val="pt-BR"/>
        </w:rPr>
        <w:t>(</w:t>
      </w:r>
      <w:r w:rsidR="00BF3D3F">
        <w:rPr>
          <w:noProof/>
          <w:lang w:val="pt-BR"/>
        </w:rPr>
        <w:t>TSENG</w:t>
      </w:r>
      <w:r w:rsidRPr="00EC1D3E">
        <w:rPr>
          <w:noProof/>
          <w:lang w:val="pt-BR"/>
        </w:rPr>
        <w:t xml:space="preserve"> et al., 2021)</w:t>
      </w:r>
      <w:r>
        <w:fldChar w:fldCharType="end"/>
      </w:r>
      <w:r w:rsidRPr="00C14E3D">
        <w:rPr>
          <w:lang w:val="pt-BR"/>
        </w:rPr>
        <w:t>. Esse objetivo se intensifica e se diferencia de outras iniciativas tradicionais ao se considerar que os benefícios proporcionados pela atuação coletiva podem ser superiores aos que poderiam ser alcançados pelo desempenho individual somado (</w:t>
      </w:r>
      <w:r w:rsidRPr="00C963A2">
        <w:fldChar w:fldCharType="begin" w:fldLock="1"/>
      </w:r>
      <w:r>
        <w:rPr>
          <w:lang w:val="pt-BR"/>
        </w:rPr>
        <w:instrText>ADDIN CSL_CITATION {"citationItems":[{"id":"ITEM-1","itemData":{"author":[{"dropping-particle":"","family":"Lowe","given":"Ernest A.","non-dropping-particle":"","parse-names":false,"suffix":""},{"dropping-particle":"","family":"Moran","given":"Stephen R.","non-dropping-particle":"","parse-names":false,"suffix":""},{"dropping-particle":"","family":"Holmes","given":"Douglas B.","non-dropping-particle":"","parse-names":false,"suffix":""},{"dropping-particle":"","family":"Doyle","given":"Brendan","non-dropping-particle":"","parse-names":false,"suffix":""}],"container-title":"Indigo Development","id":"ITEM-1","issue":"October","issued":{"date-parts":[["1996"]]},"number-of-pages":"1-344","title":"Fieldbook for the Development of Eco-Industrial Parks","type":"report"},"uris":["http://www.mendeley.com/documents/?uuid=3c595c6f-a875-45be-8e3b-2937142526e6"]}],"mendeley":{"formattedCitation":"(Lowe et al., 1996)","manualFormatting":"Lowe et al., 1996)","plainTextFormattedCitation":"(Lowe et al., 1996)","previouslyFormattedCitation":"(Lowe et al., 1996)"},"properties":{"noteIndex":0},"schema":"https://github.com/citation-style-language/schema/raw/master/csl-citation.json"}</w:instrText>
      </w:r>
      <w:r w:rsidRPr="00C963A2">
        <w:fldChar w:fldCharType="separate"/>
      </w:r>
      <w:r w:rsidRPr="00C14E3D">
        <w:rPr>
          <w:noProof/>
          <w:lang w:val="pt-BR"/>
        </w:rPr>
        <w:t>L</w:t>
      </w:r>
      <w:r w:rsidR="00BF3D3F">
        <w:rPr>
          <w:noProof/>
          <w:lang w:val="pt-BR"/>
        </w:rPr>
        <w:t>OWE</w:t>
      </w:r>
      <w:r w:rsidRPr="00C14E3D">
        <w:rPr>
          <w:noProof/>
          <w:lang w:val="pt-BR"/>
        </w:rPr>
        <w:t xml:space="preserve"> </w:t>
      </w:r>
      <w:r w:rsidRPr="00BF3D3F">
        <w:rPr>
          <w:iCs/>
          <w:noProof/>
          <w:lang w:val="pt-BR"/>
        </w:rPr>
        <w:t>et al.</w:t>
      </w:r>
      <w:r w:rsidRPr="00C14E3D">
        <w:rPr>
          <w:noProof/>
          <w:lang w:val="pt-BR"/>
        </w:rPr>
        <w:t>, 1996)</w:t>
      </w:r>
      <w:r w:rsidRPr="00C963A2">
        <w:fldChar w:fldCharType="end"/>
      </w:r>
      <w:r w:rsidRPr="00C14E3D">
        <w:rPr>
          <w:lang w:val="pt-BR"/>
        </w:rPr>
        <w:t xml:space="preserve">. Além disso, os EIP, quando planejados – denominados </w:t>
      </w:r>
      <w:r w:rsidRPr="00C14E3D">
        <w:rPr>
          <w:i/>
          <w:iCs/>
          <w:lang w:val="pt-BR"/>
        </w:rPr>
        <w:t xml:space="preserve">greenfield – </w:t>
      </w:r>
      <w:r w:rsidRPr="00C14E3D">
        <w:rPr>
          <w:lang w:val="pt-BR"/>
        </w:rPr>
        <w:t xml:space="preserve"> consideram as questões sociais e ambientais em todas as fases do empreendimento, iniciando por sua concepção até sua operação </w:t>
      </w:r>
      <w:r w:rsidRPr="00C963A2">
        <w:fldChar w:fldCharType="begin" w:fldLock="1"/>
      </w:r>
      <w:r>
        <w:rPr>
          <w:lang w:val="pt-BR"/>
        </w:rPr>
        <w:instrText>ADDIN CSL_CITATION {"citationItems":[{"id":"ITEM-1","itemData":{"author":[{"dropping-particle":"","family":"World Bank","given":"","non-dropping-particle":"","parse-names":false,"suffix":""}],"id":"ITEM-1","issued":{"date-parts":[["2021"]]},"number-of-pages":"86","publisher-place":"Washington, DC","title":"International Framework for Eco-Industrial Parks v.2","type":"report"},"uris":["http://www.mendeley.com/documents/?uuid=f8613bba-5bd1-4df1-a1f1-be405e4f7c81"]}],"mendeley":{"formattedCitation":"(World Bank, 2021)","plainTextFormattedCitation":"(World Bank, 2021)","previouslyFormattedCitation":"(World Bank, 2021)"},"properties":{"noteIndex":0},"schema":"https://github.com/citation-style-language/schema/raw/master/csl-citation.json"}</w:instrText>
      </w:r>
      <w:r w:rsidRPr="00C963A2">
        <w:fldChar w:fldCharType="separate"/>
      </w:r>
      <w:r w:rsidRPr="00EC1D3E">
        <w:rPr>
          <w:noProof/>
          <w:lang w:val="pt-BR"/>
        </w:rPr>
        <w:t>(</w:t>
      </w:r>
      <w:r w:rsidR="00BF3D3F" w:rsidRPr="00EC1D3E">
        <w:rPr>
          <w:noProof/>
          <w:lang w:val="pt-BR"/>
        </w:rPr>
        <w:t>WORLD BANK, 2021)</w:t>
      </w:r>
      <w:r w:rsidRPr="00C963A2">
        <w:fldChar w:fldCharType="end"/>
      </w:r>
      <w:r w:rsidRPr="00C14E3D">
        <w:rPr>
          <w:lang w:val="pt-BR"/>
        </w:rPr>
        <w:t xml:space="preserve">. Para os parques industriais existentes – chamados de </w:t>
      </w:r>
      <w:r w:rsidRPr="00C14E3D">
        <w:rPr>
          <w:i/>
          <w:iCs/>
          <w:lang w:val="pt-BR"/>
        </w:rPr>
        <w:t>brownfield</w:t>
      </w:r>
      <w:r w:rsidRPr="00C14E3D">
        <w:rPr>
          <w:lang w:val="pt-BR"/>
        </w:rPr>
        <w:t xml:space="preserve"> – as estratégias visam sua transição a EIP, a fim de direcioná-los a um modelo mais sustentável </w:t>
      </w:r>
      <w:r w:rsidRPr="00C963A2">
        <w:rPr>
          <w:i/>
          <w:iCs/>
        </w:rPr>
        <w:fldChar w:fldCharType="begin" w:fldLock="1"/>
      </w:r>
      <w:r>
        <w:rPr>
          <w:i/>
          <w:iCs/>
          <w:lang w:val="pt-BR"/>
        </w:rPr>
        <w:instrText>ADDIN CSL_CITATION {"citationItems":[{"id":"ITEM-1","itemData":{"DOI":"10.1016/S0166-4972(01)00040-2","author":[{"dropping-particle":"","family":"Lambert","given":"A J D","non-dropping-particle":"","parse-names":false,"suffix":""},{"dropping-particle":"","family":"Boons","given":"F A","non-dropping-particle":"","parse-names":false,"suffix":""}],"container-title":"Technovation","id":"ITEM-1","issue":"8","issued":{"date-parts":[["2002"]]},"note":"They mainly include the establishment of an information centre for cleaner production (Eco-Efficiency Centre) and some regulation on the environ-mental performance of individual companies.","page":"471-484","title":"Eco-industrial parks: Stimulating sustainable development in mixed industrial parks","type":"article-journal","volume":"22"},"uris":["http://www.mendeley.com/documents/?uuid=43145dfd-b718-4457-abe4-a5313af863c0"]}],"mendeley":{"formattedCitation":"(A. J. D. Lambert &amp; Boons, 2002)","manualFormatting":"(LAMBERT; BOONS, 2002)","plainTextFormattedCitation":"(A. J. D. Lambert &amp; Boons, 2002)","previouslyFormattedCitation":"(A. J. D. Lambert &amp; Boons, 2002)"},"properties":{"noteIndex":0},"schema":"https://github.com/citation-style-language/schema/raw/master/csl-citation.json"}</w:instrText>
      </w:r>
      <w:r w:rsidRPr="00C963A2">
        <w:rPr>
          <w:i/>
          <w:iCs/>
        </w:rPr>
        <w:fldChar w:fldCharType="separate"/>
      </w:r>
      <w:r w:rsidRPr="00C14E3D">
        <w:rPr>
          <w:iCs/>
          <w:noProof/>
          <w:lang w:val="pt-BR"/>
        </w:rPr>
        <w:t>(LAMBERT; BOONS, 2002)</w:t>
      </w:r>
      <w:r w:rsidRPr="00C963A2">
        <w:rPr>
          <w:i/>
          <w:iCs/>
        </w:rPr>
        <w:fldChar w:fldCharType="end"/>
      </w:r>
      <w:r w:rsidRPr="00C14E3D">
        <w:rPr>
          <w:i/>
          <w:iCs/>
          <w:lang w:val="pt-BR"/>
        </w:rPr>
        <w:t xml:space="preserve">. </w:t>
      </w:r>
      <w:r w:rsidRPr="00C14E3D">
        <w:rPr>
          <w:lang w:val="pt-BR"/>
        </w:rPr>
        <w:t>Esse último caso, em particular, desperta maior interesse nessa pesquisa.</w:t>
      </w:r>
    </w:p>
    <w:p w14:paraId="37B5025D" w14:textId="5044ABE4" w:rsidR="00807672" w:rsidRDefault="00807672" w:rsidP="00992CF5">
      <w:pPr>
        <w:rPr>
          <w:lang w:val="pt-BR"/>
        </w:rPr>
      </w:pPr>
    </w:p>
    <w:p w14:paraId="2E58470D" w14:textId="5FBEB9CA" w:rsidR="00992CF5" w:rsidRPr="00281E52" w:rsidRDefault="00992CF5" w:rsidP="00992CF5">
      <w:pPr>
        <w:pStyle w:val="Ttulo3"/>
        <w:numPr>
          <w:ilvl w:val="0"/>
          <w:numId w:val="14"/>
        </w:numPr>
        <w:tabs>
          <w:tab w:val="num" w:pos="360"/>
        </w:tabs>
        <w:ind w:left="0" w:firstLine="0"/>
        <w:rPr>
          <w:rFonts w:ascii="Times New Roman" w:hAnsi="Times New Roman" w:cs="Times New Roman"/>
          <w:b/>
          <w:bCs/>
          <w:color w:val="auto"/>
          <w:lang w:val="pt-BR"/>
        </w:rPr>
      </w:pPr>
      <w:bookmarkStart w:id="4" w:name="_Toc96541915"/>
      <w:bookmarkStart w:id="5" w:name="_Toc102331760"/>
      <w:r w:rsidRPr="00281E52">
        <w:rPr>
          <w:rFonts w:ascii="Times New Roman" w:hAnsi="Times New Roman" w:cs="Times New Roman"/>
          <w:b/>
          <w:bCs/>
          <w:color w:val="auto"/>
          <w:lang w:val="pt-BR"/>
        </w:rPr>
        <w:t xml:space="preserve">Parques Logísticos: Expansão e </w:t>
      </w:r>
      <w:bookmarkEnd w:id="4"/>
      <w:r w:rsidRPr="00281E52">
        <w:rPr>
          <w:rFonts w:ascii="Times New Roman" w:hAnsi="Times New Roman" w:cs="Times New Roman"/>
          <w:b/>
          <w:bCs/>
          <w:color w:val="auto"/>
          <w:lang w:val="pt-BR"/>
        </w:rPr>
        <w:t>Problemática</w:t>
      </w:r>
      <w:bookmarkEnd w:id="5"/>
    </w:p>
    <w:p w14:paraId="32EA5B44" w14:textId="77777777" w:rsidR="004374DA" w:rsidRPr="00807672" w:rsidRDefault="004374DA" w:rsidP="004374DA">
      <w:pPr>
        <w:rPr>
          <w:lang w:val="pt-BR"/>
        </w:rPr>
      </w:pPr>
    </w:p>
    <w:p w14:paraId="0BAA9338" w14:textId="64965447" w:rsidR="00992CF5" w:rsidRPr="00C14E3D" w:rsidRDefault="00992CF5" w:rsidP="00276160">
      <w:pPr>
        <w:ind w:firstLine="426"/>
        <w:rPr>
          <w:lang w:val="pt-BR"/>
        </w:rPr>
      </w:pPr>
      <w:r w:rsidRPr="00C14E3D">
        <w:rPr>
          <w:lang w:val="pt-BR"/>
        </w:rPr>
        <w:t xml:space="preserve">Os parques logísticos são destinados a empresas que atuam no ramo logístico, envolvendo o armazenamento e o transporte para distribuição de produtos diversos, podendo incluir serviços secundários, como manutenção </w:t>
      </w:r>
      <w:r>
        <w:fldChar w:fldCharType="begin" w:fldLock="1"/>
      </w:r>
      <w:r>
        <w:rPr>
          <w:lang w:val="pt-BR"/>
        </w:rPr>
        <w:instrText>ADDIN CSL_CITATION {"citationItems":[{"id":"ITEM-1","itemData":{"DOI":"10.1155/2014/542548","abstract":"This paper proposes a new model of simultaneous optimization of three-level logistics decisions, for logistics authorities, logistics operators, and logistics users, for regional logistics network with environmental impact consideration. The proposed model addresses the interaction among the three logistics players in a complete competitive logistics service market with CO 2 emission charges. We also explicitly incorporate the impacts of the scale economics of the logistics park and the logistics users' demand elasticity into the model. The logistics authorities aim to maximize the total social welfare of the system, considering the demand of green logistics development by two different methods: optimal location of logistics nodes and charging a CO 2 emission tax. Logistics operators are assumed to compete with logistics service fare and frequency, while logistics users minimize their own perceived logistics disutility given logistics operators' service fare and frequency. A heuristic algorithm based on the multinomial logit model is presented for the three-level decision model, and a numerical example is given to illustrate the above optimal model and its algorithm. The proposed model provides a useful tool for modeling competitive logistics services and evaluating logistics policies at the strategic level.","author":[{"dropping-particle":"","family":"Zhang","given":"Dezhi","non-dropping-particle":"","parse-names":false,"suffix":""},{"dropping-particle":"","family":"Li","given":"Shuangyan","non-dropping-particle":"","parse-names":false,"suffix":""},{"dropping-particle":"","family":"Qin","given":"Jin","non-dropping-particle":"","parse-names":false,"suffix":""},{"dropping-particle":"","family":"Caramia","given":"M","non-dropping-particle":"","parse-names":false,"suffix":""},{"dropping-particle":"","family":"Cruz","given":"F R B","non-dropping-particle":"","parse-names":false,"suffix":""}],"id":"ITEM-1","issued":{"date-parts":[["2014"]]},"title":"Optimal Hierarchical Decision Model for a Regional Logistics Network with Environmental Impact Consideration","type":"article-journal"},"uris":["http://www.mendeley.com/documents/?uuid=eeee81fd-b759-38c5-8189-9e0bd6c1c381"]}],"mendeley":{"formattedCitation":"(Zhang, Li, Qin, Caramia, &amp; Cruz, 2014)","plainTextFormattedCitation":"(Zhang, Li, Qin, Caramia, &amp; Cruz, 2014)","previouslyFormattedCitation":"(Zhang, Li, Qin, Caramia, &amp; Cruz, 2014)"},"properties":{"noteIndex":0},"schema":"https://github.com/citation-style-language/schema/raw/master/csl-citation.json"}</w:instrText>
      </w:r>
      <w:r>
        <w:fldChar w:fldCharType="separate"/>
      </w:r>
      <w:r w:rsidRPr="00EC1D3E">
        <w:rPr>
          <w:noProof/>
          <w:lang w:val="pt-BR"/>
        </w:rPr>
        <w:t>(</w:t>
      </w:r>
      <w:r w:rsidR="001841B7">
        <w:rPr>
          <w:noProof/>
          <w:lang w:val="pt-BR"/>
        </w:rPr>
        <w:t>ZHANG</w:t>
      </w:r>
      <w:r w:rsidR="00944DF4">
        <w:rPr>
          <w:noProof/>
          <w:lang w:val="pt-BR"/>
        </w:rPr>
        <w:t xml:space="preserve"> </w:t>
      </w:r>
      <w:r w:rsidR="00944DF4" w:rsidRPr="001841B7">
        <w:rPr>
          <w:noProof/>
          <w:lang w:val="pt-BR"/>
        </w:rPr>
        <w:t>et al.</w:t>
      </w:r>
      <w:r w:rsidR="00944DF4">
        <w:rPr>
          <w:i/>
          <w:iCs/>
          <w:noProof/>
          <w:lang w:val="pt-BR"/>
        </w:rPr>
        <w:t>,</w:t>
      </w:r>
      <w:r w:rsidRPr="00EC1D3E">
        <w:rPr>
          <w:noProof/>
          <w:lang w:val="pt-BR"/>
        </w:rPr>
        <w:t xml:space="preserve"> 2014)</w:t>
      </w:r>
      <w:r>
        <w:fldChar w:fldCharType="end"/>
      </w:r>
      <w:r w:rsidRPr="00C14E3D">
        <w:rPr>
          <w:lang w:val="pt-BR"/>
        </w:rPr>
        <w:t xml:space="preserve">. No Brasil, Boro (2021) enfatiza o grande movimento expansivo de parques e condomínios logísticos, potencializado pelas novas modalidades de compra pela </w:t>
      </w:r>
      <w:r w:rsidRPr="00C14E3D">
        <w:rPr>
          <w:i/>
          <w:iCs/>
          <w:lang w:val="pt-BR"/>
        </w:rPr>
        <w:t>internet</w:t>
      </w:r>
      <w:r w:rsidRPr="00C14E3D">
        <w:rPr>
          <w:lang w:val="pt-BR"/>
        </w:rPr>
        <w:t xml:space="preserve"> (</w:t>
      </w:r>
      <w:r w:rsidRPr="00C14E3D">
        <w:rPr>
          <w:i/>
          <w:iCs/>
          <w:lang w:val="pt-BR"/>
        </w:rPr>
        <w:t>e-commerce</w:t>
      </w:r>
      <w:r w:rsidRPr="00C14E3D">
        <w:rPr>
          <w:lang w:val="pt-BR"/>
        </w:rPr>
        <w:t>) que se acentuaram durante a pandemia de Covid-19. Segundo a Associação Brasileira de Logística (ABRALOG), o segundo trimestre de 2021 registrou um recorde histórico de novas ocupações, com mais de 700 mil m². A taxa de vacância (disponibilidade) no período foi de apenas 11%, indicando que há uma grande demanda por locação desses espaços. Devido a isso, a área em construção perfaz 3,6 milhões de m² em novos empreendimentos, em adição aos 9 milhões de m² já existentes em todo o país. (ABRALOG, 2021). Boro (2021) destaca os 12 principais parques logísticos no Brasil, sendo 2 localizados na região Sul: o Perini Business Park, em Joinville/SC e o 3SB Parque Logístico, em Nova Santa Rita/RS. Esses parques destacam-se por oferecer estrutura de alto padrão e fácil acesso logístico, tornando-se referências para outros condomínios, tal como o estudado nessa pesquisa.</w:t>
      </w:r>
    </w:p>
    <w:p w14:paraId="29DE887D" w14:textId="03454221" w:rsidR="00992CF5" w:rsidRPr="00C14E3D" w:rsidRDefault="00992CF5" w:rsidP="00276160">
      <w:pPr>
        <w:ind w:firstLine="426"/>
        <w:rPr>
          <w:lang w:val="pt-BR"/>
        </w:rPr>
      </w:pPr>
      <w:r w:rsidRPr="00C14E3D">
        <w:rPr>
          <w:lang w:val="pt-BR"/>
        </w:rPr>
        <w:t xml:space="preserve">Todavia, os parques logísticos também podem causar impactos ambientais negativos, mesmo que, em tese, a geração de resíduos e emissões seja menor em comparação aos parques industriais </w:t>
      </w:r>
      <w:r>
        <w:fldChar w:fldCharType="begin" w:fldLock="1"/>
      </w:r>
      <w:r>
        <w:rPr>
          <w:lang w:val="pt-BR"/>
        </w:rPr>
        <w:instrText>ADDIN CSL_CITATION {"citationItems":[{"id":"ITEM-1","itemData":{"DOI":"10.1007/s11356-021-14781-x","ISSN":"16147499","PMID":"34117540","abstract":"With the rapid development of logistics park, how to evaluate and optimize the ecological efficiency of logistics park to achieve its sustainable development has become a concern of academia. In order to achieve this goal, this paper puts forward a method based on emergy, which processes the data in a unified dimension. By constructing the ecological efficiency evaluation model of logistics park, it quantitatively evaluates the ecological efficiency of logistics park, and analyzes the correlation between various factors and ecological efficiency. The application results of H logistics park show that fuel oil, information technology, net profit, and waste gas are closely related to the ecological efficiency of logistics park, and the correlation coefficients are 0.8248, −0.6949, 0.8544, and 0.7661, respectively. On this basis, the paper puts forward some suggestions to improve the ecological efficiency of the logistics park. This paper provides theoretical and methodological support for the evaluation and optimization of the ecological efficiency of the logistics park.","author":[{"dropping-particle":"","family":"Wang","given":"Cui","non-dropping-particle":"","parse-names":false,"suffix":""},{"dropping-particle":"","family":"Zhang","given":"Cuixia","non-dropping-particle":"","parse-names":false,"suffix":""},{"dropping-particle":"","family":"Hu","given":"Fagang","non-dropping-particle":"","parse-names":false,"suffix":""},{"dropping-particle":"","family":"Wang","given":"Yuan","non-dropping-particle":"","parse-names":false,"suffix":""},{"dropping-particle":"","family":"Yu","given":"Li’e","non-dropping-particle":"","parse-names":false,"suffix":""},{"dropping-particle":"","family":"Liu","given":"Conghu","non-dropping-particle":"","parse-names":false,"suffix":""}],"container-title":"Environmental Science and Pollution Research","id":"ITEM-1","issue":"41","issued":{"date-parts":[["2021"]]},"page":"58342-58354","title":"Emergy-based ecological efficiency evaluation and optimization method for logistics park","type":"article-journal","volume":"28"},"uris":["http://www.mendeley.com/documents/?uuid=ec4fe637-e28c-452d-ac36-caca17a763d9"]}],"mendeley":{"formattedCitation":"(Wang et al., 2021)","plainTextFormattedCitation":"(Wang et al., 2021)","previouslyFormattedCitation":"(Wang et al., 2021)"},"properties":{"noteIndex":0},"schema":"https://github.com/citation-style-language/schema/raw/master/csl-citation.json"}</w:instrText>
      </w:r>
      <w:r>
        <w:fldChar w:fldCharType="separate"/>
      </w:r>
      <w:r w:rsidRPr="00EC1D3E">
        <w:rPr>
          <w:noProof/>
          <w:lang w:val="pt-BR"/>
        </w:rPr>
        <w:t>(W</w:t>
      </w:r>
      <w:r w:rsidR="001841B7">
        <w:rPr>
          <w:noProof/>
          <w:lang w:val="pt-BR"/>
        </w:rPr>
        <w:t>ANG</w:t>
      </w:r>
      <w:r w:rsidRPr="00EC1D3E">
        <w:rPr>
          <w:noProof/>
          <w:lang w:val="pt-BR"/>
        </w:rPr>
        <w:t xml:space="preserve"> et al., 2021)</w:t>
      </w:r>
      <w:r>
        <w:fldChar w:fldCharType="end"/>
      </w:r>
      <w:r w:rsidRPr="00C14E3D">
        <w:rPr>
          <w:lang w:val="pt-BR"/>
        </w:rPr>
        <w:t xml:space="preserve">. Nesse cenário, </w:t>
      </w:r>
      <w:r>
        <w:fldChar w:fldCharType="begin" w:fldLock="1"/>
      </w:r>
      <w:r>
        <w:rPr>
          <w:lang w:val="pt-BR"/>
        </w:rPr>
        <w:instrText>ADDIN CSL_CITATION {"citationItems":[{"id":"ITEM-1","itemData":{"DOI":"10.1177/1687814018774635","ISBN":"1687814018774","ISSN":"16878140","abstract":"The location problem of logistics park is the basis of logistics network planning. The establishment of conventional logistics park location planning model requires consideration of multiple factors, including position relationships between site selection points and demand points, economic cost, service efficiency, and consumer satisfaction. “Green development concept” gradually leads the trend of social and economic development in the contemporary world. The green logistics park emerges as the requirement of era. There are obvious differences between the site selection rules and the location demand of the green logistics park with the conventional logistics park. On the basis of analyzing the evaluation indexes of green logistics park and the factors affecting the site selection, this article builds a single-objective decision model based on the comprehensive cost. The model sets transportation cost and environment cost as the objective function. In addition, according to the constraints of location and quantity of the proposed logistics park, the model is divided into four parts to refine, and the solving process based on hybrid particle algorithm and alternate location allocation heuristic algorithm is given. The model and algorithm are feasible by analyzing the numerical example. Finally, the green logistics park site selection scheme is designed. The location model that considers the single comprehensive cost target provides a simple and feasible decision method for the green logistics park location.","author":[{"dropping-particle":"","family":"Xu","given":"Yingjun","non-dropping-particle":"","parse-names":false,"suffix":""},{"dropping-particle":"","family":"Jia","given":"Hongfei","non-dropping-particle":"","parse-names":false,"suffix":""},{"dropping-particle":"","family":"Zhang","given":"Yikun","non-dropping-particle":"","parse-names":false,"suffix":""},{"dropping-particle":"","family":"Tian","given":"Guodong","non-dropping-particle":"","parse-names":false,"suffix":""}],"container-title":"Advances in Mechanical Engineering","id":"ITEM-1","issue":"5","issued":{"date-parts":[["2018"]]},"page":"1-13","title":"Analysis on the location of green logistics park based on heuristic algorithm","type":"article-journal","volume":"10"},"uris":["http://www.mendeley.com/documents/?uuid=1b0be7cf-adc3-4331-8af0-204ea587b6e2"]}],"mendeley":{"formattedCitation":"(Xu, Jia, Zhang, &amp; Tian, 2018)","manualFormatting":"Xu et al. (2018)","plainTextFormattedCitation":"(Xu, Jia, Zhang, &amp; Tian, 2018)","previouslyFormattedCitation":"(Xu, Jia, Zhang, &amp; Tian, 2018)"},"properties":{"noteIndex":0},"schema":"https://github.com/citation-style-language/schema/raw/master/csl-citation.json"}</w:instrText>
      </w:r>
      <w:r>
        <w:fldChar w:fldCharType="separate"/>
      </w:r>
      <w:r w:rsidRPr="00C14E3D">
        <w:rPr>
          <w:noProof/>
          <w:lang w:val="pt-BR"/>
        </w:rPr>
        <w:t xml:space="preserve">Xu </w:t>
      </w:r>
      <w:r w:rsidRPr="00C14E3D">
        <w:rPr>
          <w:i/>
          <w:noProof/>
          <w:lang w:val="pt-BR"/>
        </w:rPr>
        <w:t>et al.</w:t>
      </w:r>
      <w:r w:rsidRPr="00C14E3D">
        <w:rPr>
          <w:noProof/>
          <w:lang w:val="pt-BR"/>
        </w:rPr>
        <w:t xml:space="preserve"> (2018)</w:t>
      </w:r>
      <w:r>
        <w:fldChar w:fldCharType="end"/>
      </w:r>
      <w:r w:rsidRPr="00C14E3D">
        <w:rPr>
          <w:lang w:val="pt-BR"/>
        </w:rPr>
        <w:t xml:space="preserve"> analisaram o que denominaram </w:t>
      </w:r>
      <w:r w:rsidRPr="00C14E3D">
        <w:rPr>
          <w:lang w:val="pt-BR"/>
        </w:rPr>
        <w:lastRenderedPageBreak/>
        <w:t xml:space="preserve">como Parque Logístico Verde (do original </w:t>
      </w:r>
      <w:r w:rsidRPr="00C14E3D">
        <w:rPr>
          <w:i/>
          <w:iCs/>
          <w:lang w:val="pt-BR"/>
        </w:rPr>
        <w:t xml:space="preserve">Green Logistics </w:t>
      </w:r>
      <w:r w:rsidRPr="00C14E3D">
        <w:rPr>
          <w:lang w:val="pt-BR"/>
        </w:rPr>
        <w:t xml:space="preserve">Park), desenvolvendo um modelo e um algoritmo para a seleção de locais para instalação desses parques, que é um aspecto de interesse nesse ramo. Eles destacaram que, além de fatores básicos como localização geográfica, proximidade com mercado, condições de tráfego e acesso, outros critérios relacionados aos potenciais impactos ambientais e sociais devem ser adicionalmente considerados para a melhor tomada de decisão. Os autores argumentaram que uma melhoria na eficiência e nível de serviço, mais do que reduzir os custos com transporte e energia, provoca a diminuição da liberação de poluentes pelas emissões veiculares. Ponderações semelhantes foram realizadas por Boro (2021), que estudou a expansão dos galpões e parques logísticos no Brasil a partir de uma grande rede de </w:t>
      </w:r>
      <w:r w:rsidRPr="00C14E3D">
        <w:rPr>
          <w:i/>
          <w:iCs/>
          <w:lang w:val="pt-BR"/>
        </w:rPr>
        <w:t>e-commerce</w:t>
      </w:r>
      <w:r w:rsidRPr="00C14E3D">
        <w:rPr>
          <w:lang w:val="pt-BR"/>
        </w:rPr>
        <w:t xml:space="preserve">. </w:t>
      </w:r>
    </w:p>
    <w:p w14:paraId="03242FDD" w14:textId="77777777" w:rsidR="00992CF5" w:rsidRDefault="00992CF5" w:rsidP="00276160">
      <w:pPr>
        <w:ind w:firstLine="426"/>
        <w:rPr>
          <w:lang w:val="pt-BR"/>
        </w:rPr>
      </w:pPr>
      <w:r w:rsidRPr="00C14E3D">
        <w:rPr>
          <w:lang w:val="pt-BR"/>
        </w:rPr>
        <w:t xml:space="preserve">Nesse contexto, os princípios de EIP repontam como um caminho viável, por meio dos princípios da Simbiose Industrial e Ecologia Industrial, para melhorias na gestão de recursos nesses parques. Por esse motivo, essas ferramentas foram selecionadas para aplicação em um estudo de caso, abordado no capítulo subsequente. </w:t>
      </w:r>
    </w:p>
    <w:p w14:paraId="05BD4C5B" w14:textId="77777777" w:rsidR="00992CF5" w:rsidRDefault="00992CF5" w:rsidP="00992CF5">
      <w:pPr>
        <w:ind w:firstLine="567"/>
        <w:rPr>
          <w:sz w:val="6"/>
          <w:szCs w:val="6"/>
          <w:lang w:val="pt-BR"/>
        </w:rPr>
      </w:pPr>
    </w:p>
    <w:p w14:paraId="11E792D8" w14:textId="77777777" w:rsidR="00626587" w:rsidRPr="00C14E3D" w:rsidRDefault="00626587" w:rsidP="00992CF5">
      <w:pPr>
        <w:ind w:firstLine="567"/>
        <w:rPr>
          <w:sz w:val="6"/>
          <w:szCs w:val="6"/>
          <w:lang w:val="pt-BR"/>
        </w:rPr>
      </w:pPr>
    </w:p>
    <w:p w14:paraId="4A26F5AE" w14:textId="6A35DD84" w:rsidR="00992CF5" w:rsidRPr="00281E52" w:rsidRDefault="00992CF5" w:rsidP="004374DA">
      <w:pPr>
        <w:pStyle w:val="Ttulo2"/>
        <w:numPr>
          <w:ilvl w:val="0"/>
          <w:numId w:val="14"/>
        </w:numPr>
        <w:rPr>
          <w:rFonts w:ascii="Times New Roman" w:hAnsi="Times New Roman" w:cs="Times New Roman"/>
          <w:b/>
          <w:bCs/>
          <w:color w:val="auto"/>
          <w:sz w:val="24"/>
          <w:szCs w:val="24"/>
          <w:lang w:val="pt-BR"/>
        </w:rPr>
      </w:pPr>
      <w:bookmarkStart w:id="6" w:name="_Toc102331761"/>
      <w:r w:rsidRPr="00281E52">
        <w:rPr>
          <w:rFonts w:ascii="Times New Roman" w:hAnsi="Times New Roman" w:cs="Times New Roman"/>
          <w:b/>
          <w:bCs/>
          <w:color w:val="auto"/>
          <w:sz w:val="24"/>
          <w:szCs w:val="24"/>
          <w:lang w:val="pt-BR"/>
        </w:rPr>
        <w:t>Estudo de Caso: Oportunidades e Desafios</w:t>
      </w:r>
      <w:bookmarkEnd w:id="6"/>
    </w:p>
    <w:p w14:paraId="659A442A" w14:textId="77777777" w:rsidR="004374DA" w:rsidRPr="004374DA" w:rsidRDefault="004374DA" w:rsidP="004374DA">
      <w:pPr>
        <w:pStyle w:val="PargrafodaLista"/>
        <w:rPr>
          <w:lang w:val="pt-BR"/>
        </w:rPr>
      </w:pPr>
    </w:p>
    <w:p w14:paraId="53ABFE02" w14:textId="77777777" w:rsidR="00992CF5" w:rsidRDefault="00992CF5" w:rsidP="00276160">
      <w:pPr>
        <w:pStyle w:val="PargrafodaLista"/>
        <w:spacing w:before="240"/>
        <w:ind w:left="0" w:firstLine="426"/>
        <w:rPr>
          <w:szCs w:val="24"/>
          <w:lang w:val="pt-BR"/>
        </w:rPr>
      </w:pPr>
      <w:r w:rsidRPr="00992CF5">
        <w:rPr>
          <w:szCs w:val="24"/>
          <w:lang w:val="pt-BR"/>
        </w:rPr>
        <w:t>Esta pesquisa, além da contribuição teórica, teve como objetivo discutir aplicações práticas dos conceitos de Simbiose Industrial em um parque empresarial, de modo a impelir outras iniciativas nesse mesmo sentido. Esse capítulo aborda as principais características do parque estudado, bem como a metodologia de pesquisa empregada e os resultados do reconhecimento do empreendimento.</w:t>
      </w:r>
    </w:p>
    <w:p w14:paraId="206C13E9" w14:textId="77777777" w:rsidR="00992CF5" w:rsidRPr="00EC6579" w:rsidRDefault="00992CF5" w:rsidP="00276160">
      <w:pPr>
        <w:pStyle w:val="PargrafodaLista"/>
        <w:spacing w:before="240"/>
        <w:ind w:firstLine="426"/>
        <w:rPr>
          <w:b/>
          <w:bCs/>
          <w:sz w:val="4"/>
          <w:szCs w:val="4"/>
          <w:lang w:val="pt-BR"/>
        </w:rPr>
      </w:pPr>
    </w:p>
    <w:p w14:paraId="6D448E1C" w14:textId="5907704A" w:rsidR="00992CF5" w:rsidRDefault="00992CF5" w:rsidP="00276160">
      <w:pPr>
        <w:pStyle w:val="PargrafodaLista"/>
        <w:spacing w:after="240"/>
        <w:ind w:left="0" w:firstLine="426"/>
        <w:rPr>
          <w:szCs w:val="24"/>
          <w:lang w:val="pt-BR"/>
        </w:rPr>
      </w:pPr>
      <w:r w:rsidRPr="00992CF5">
        <w:rPr>
          <w:szCs w:val="24"/>
          <w:lang w:val="pt-BR"/>
        </w:rPr>
        <w:t xml:space="preserve">O Ecoparque Empresarial Lourenço e Souza é um parque privado, localizado no município de Sapucaia do Sul, distante em 30 km de Porto Alegre, capital do estado do Rio Grande do Sul, Brasil. O empreendimento possui quatro fases, como mostra a Figura 1. A Fase I está consolidada e ocupada em quase toda sua totalidade. Parte de suas obras foi concluída em 2012, com a perspectiva de utilização de energias renováveis, especialmente eólica. Deste modo, o parque foi intitulado como “Ecoparque” pelos seus proprietários, tendo esse nome permanecido e se consolidado no empreendimento, apesar de o projeto envolvendo energia eólica não ter avançado. </w:t>
      </w:r>
    </w:p>
    <w:p w14:paraId="4167353D" w14:textId="77777777" w:rsidR="00626587" w:rsidRPr="00626587" w:rsidRDefault="00626587" w:rsidP="00276160">
      <w:pPr>
        <w:pStyle w:val="PargrafodaLista"/>
        <w:spacing w:after="240"/>
        <w:ind w:left="0" w:firstLine="426"/>
        <w:rPr>
          <w:sz w:val="20"/>
          <w:lang w:val="pt-BR"/>
        </w:rPr>
      </w:pPr>
    </w:p>
    <w:p w14:paraId="38DC655B" w14:textId="77777777" w:rsidR="00992CF5" w:rsidRPr="006C0FD4" w:rsidRDefault="00992CF5" w:rsidP="00992CF5">
      <w:pPr>
        <w:pStyle w:val="PargrafodaLista"/>
        <w:ind w:left="0"/>
        <w:rPr>
          <w:szCs w:val="24"/>
        </w:rPr>
      </w:pPr>
      <w:r>
        <w:rPr>
          <w:noProof/>
          <w:lang w:val="pt-BR"/>
        </w:rPr>
        <w:lastRenderedPageBreak/>
        <w:drawing>
          <wp:inline distT="0" distB="0" distL="0" distR="0" wp14:anchorId="2D05FD52" wp14:editId="6A4048A9">
            <wp:extent cx="5440908" cy="2374062"/>
            <wp:effectExtent l="0" t="0" r="7620" b="7620"/>
            <wp:docPr id="22" name="Imagem 22" descr="Tela de jogo de vídeo gam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Tela de jogo de vídeo game&#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6940" cy="2381057"/>
                    </a:xfrm>
                    <a:prstGeom prst="rect">
                      <a:avLst/>
                    </a:prstGeom>
                  </pic:spPr>
                </pic:pic>
              </a:graphicData>
            </a:graphic>
          </wp:inline>
        </w:drawing>
      </w:r>
      <w:r>
        <w:rPr>
          <w:noProof/>
          <w:lang w:val="pt-BR"/>
        </w:rPr>
        <mc:AlternateContent>
          <mc:Choice Requires="wpg">
            <w:drawing>
              <wp:anchor distT="0" distB="0" distL="114300" distR="114300" simplePos="0" relativeHeight="251659264" behindDoc="0" locked="0" layoutInCell="1" allowOverlap="1" wp14:anchorId="368AF2F2" wp14:editId="0B970655">
                <wp:simplePos x="0" y="0"/>
                <wp:positionH relativeFrom="column">
                  <wp:posOffset>101600</wp:posOffset>
                </wp:positionH>
                <wp:positionV relativeFrom="paragraph">
                  <wp:posOffset>425342</wp:posOffset>
                </wp:positionV>
                <wp:extent cx="3410471" cy="1771991"/>
                <wp:effectExtent l="0" t="0" r="19050" b="19050"/>
                <wp:wrapNone/>
                <wp:docPr id="1" name="Agrupar 1"/>
                <wp:cNvGraphicFramePr/>
                <a:graphic xmlns:a="http://schemas.openxmlformats.org/drawingml/2006/main">
                  <a:graphicData uri="http://schemas.microsoft.com/office/word/2010/wordprocessingGroup">
                    <wpg:wgp>
                      <wpg:cNvGrpSpPr/>
                      <wpg:grpSpPr>
                        <a:xfrm>
                          <a:off x="0" y="0"/>
                          <a:ext cx="3410471" cy="1771991"/>
                          <a:chOff x="-241540" y="0"/>
                          <a:chExt cx="3410471" cy="1771991"/>
                        </a:xfrm>
                      </wpg:grpSpPr>
                      <wps:wsp>
                        <wps:cNvPr id="5" name="Texto Explicativo: Linha Dobrada 5"/>
                        <wps:cNvSpPr/>
                        <wps:spPr>
                          <a:xfrm>
                            <a:off x="1149540" y="0"/>
                            <a:ext cx="709930" cy="266065"/>
                          </a:xfrm>
                          <a:prstGeom prst="borderCallout2">
                            <a:avLst>
                              <a:gd name="adj1" fmla="val 18750"/>
                              <a:gd name="adj2" fmla="val -8333"/>
                              <a:gd name="adj3" fmla="val 18750"/>
                              <a:gd name="adj4" fmla="val -16667"/>
                              <a:gd name="adj5" fmla="val 84288"/>
                              <a:gd name="adj6" fmla="val -43784"/>
                            </a:avLst>
                          </a:prstGeom>
                          <a:ln w="12700"/>
                        </wps:spPr>
                        <wps:style>
                          <a:lnRef idx="1">
                            <a:schemeClr val="accent4"/>
                          </a:lnRef>
                          <a:fillRef idx="3">
                            <a:schemeClr val="accent4"/>
                          </a:fillRef>
                          <a:effectRef idx="2">
                            <a:schemeClr val="accent4"/>
                          </a:effectRef>
                          <a:fontRef idx="minor">
                            <a:schemeClr val="lt1"/>
                          </a:fontRef>
                        </wps:style>
                        <wps:txbx>
                          <w:txbxContent>
                            <w:p w14:paraId="69611725" w14:textId="77777777" w:rsidR="00992CF5" w:rsidRPr="00276160" w:rsidRDefault="00992CF5" w:rsidP="00276160">
                              <w:pPr>
                                <w:spacing w:before="0"/>
                                <w:ind w:firstLine="0"/>
                                <w:jc w:val="center"/>
                                <w:rPr>
                                  <w:rFonts w:ascii="Bahnschrift Light" w:hAnsi="Bahnschrift Light"/>
                                  <w:sz w:val="18"/>
                                  <w:szCs w:val="18"/>
                                </w:rPr>
                              </w:pPr>
                              <w:r w:rsidRPr="00276160">
                                <w:rPr>
                                  <w:rFonts w:ascii="Bahnschrift Light" w:hAnsi="Bahnschrift Light"/>
                                  <w:sz w:val="18"/>
                                  <w:szCs w:val="18"/>
                                </w:rPr>
                                <w:t>Fase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o Explicativo: Linha Dobrada 7"/>
                        <wps:cNvSpPr/>
                        <wps:spPr>
                          <a:xfrm>
                            <a:off x="-241540" y="1056291"/>
                            <a:ext cx="709930" cy="266065"/>
                          </a:xfrm>
                          <a:prstGeom prst="borderCallout2">
                            <a:avLst>
                              <a:gd name="adj1" fmla="val -19721"/>
                              <a:gd name="adj2" fmla="val 65680"/>
                              <a:gd name="adj3" fmla="val -76145"/>
                              <a:gd name="adj4" fmla="val 65035"/>
                              <a:gd name="adj5" fmla="val -164492"/>
                              <a:gd name="adj6" fmla="val 140768"/>
                            </a:avLst>
                          </a:prstGeom>
                          <a:ln w="12700"/>
                        </wps:spPr>
                        <wps:style>
                          <a:lnRef idx="1">
                            <a:schemeClr val="accent4"/>
                          </a:lnRef>
                          <a:fillRef idx="3">
                            <a:schemeClr val="accent4"/>
                          </a:fillRef>
                          <a:effectRef idx="2">
                            <a:schemeClr val="accent4"/>
                          </a:effectRef>
                          <a:fontRef idx="minor">
                            <a:schemeClr val="lt1"/>
                          </a:fontRef>
                        </wps:style>
                        <wps:txbx>
                          <w:txbxContent>
                            <w:p w14:paraId="44418A8E" w14:textId="77777777" w:rsidR="00992CF5" w:rsidRPr="00276160" w:rsidRDefault="00992CF5" w:rsidP="00276160">
                              <w:pPr>
                                <w:spacing w:before="0"/>
                                <w:ind w:firstLine="0"/>
                                <w:jc w:val="center"/>
                                <w:rPr>
                                  <w:rFonts w:ascii="Bahnschrift Light" w:hAnsi="Bahnschrift Light"/>
                                  <w:sz w:val="18"/>
                                  <w:szCs w:val="18"/>
                                </w:rPr>
                              </w:pPr>
                              <w:r w:rsidRPr="00276160">
                                <w:rPr>
                                  <w:rFonts w:ascii="Bahnschrift Light" w:hAnsi="Bahnschrift Light"/>
                                  <w:sz w:val="18"/>
                                  <w:szCs w:val="18"/>
                                </w:rPr>
                                <w:t>Fase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o Explicativo: Linha Dobrada 8"/>
                        <wps:cNvSpPr/>
                        <wps:spPr>
                          <a:xfrm>
                            <a:off x="2459001" y="1505926"/>
                            <a:ext cx="709930" cy="266065"/>
                          </a:xfrm>
                          <a:prstGeom prst="borderCallout2">
                            <a:avLst>
                              <a:gd name="adj1" fmla="val -19721"/>
                              <a:gd name="adj2" fmla="val 65680"/>
                              <a:gd name="adj3" fmla="val -76145"/>
                              <a:gd name="adj4" fmla="val 65035"/>
                              <a:gd name="adj5" fmla="val -115762"/>
                              <a:gd name="adj6" fmla="val -20714"/>
                            </a:avLst>
                          </a:prstGeom>
                          <a:ln w="12700"/>
                        </wps:spPr>
                        <wps:style>
                          <a:lnRef idx="1">
                            <a:schemeClr val="accent4"/>
                          </a:lnRef>
                          <a:fillRef idx="3">
                            <a:schemeClr val="accent4"/>
                          </a:fillRef>
                          <a:effectRef idx="2">
                            <a:schemeClr val="accent4"/>
                          </a:effectRef>
                          <a:fontRef idx="minor">
                            <a:schemeClr val="lt1"/>
                          </a:fontRef>
                        </wps:style>
                        <wps:txbx>
                          <w:txbxContent>
                            <w:p w14:paraId="78199A42" w14:textId="77777777" w:rsidR="00992CF5" w:rsidRPr="00276160" w:rsidRDefault="00992CF5" w:rsidP="00626587">
                              <w:pPr>
                                <w:spacing w:before="0"/>
                                <w:ind w:firstLine="0"/>
                                <w:jc w:val="center"/>
                                <w:rPr>
                                  <w:rFonts w:ascii="Bahnschrift Light" w:hAnsi="Bahnschrift Light"/>
                                  <w:sz w:val="18"/>
                                  <w:szCs w:val="18"/>
                                </w:rPr>
                              </w:pPr>
                              <w:r w:rsidRPr="00276160">
                                <w:rPr>
                                  <w:rFonts w:ascii="Bahnschrift Light" w:hAnsi="Bahnschrift Light"/>
                                  <w:sz w:val="18"/>
                                  <w:szCs w:val="18"/>
                                </w:rPr>
                                <w:t>Fase 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8AF2F2" id="Agrupar 1" o:spid="_x0000_s1026" style="position:absolute;left:0;text-align:left;margin-left:8pt;margin-top:33.5pt;width:268.55pt;height:139.55pt;z-index:251659264;mso-width-relative:margin;mso-height-relative:margin" coordorigin="-2415" coordsize="34104,1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">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Texto Explicativo: Linha Dobrada 5" o:spid="_x0000_s1027" type="#_x0000_t48" style="position:absolute;left:11495;width:7099;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" adj="-9457,18206" fillcolor="#ffc310 [3031]" strokecolor="#ffc000 [3207]" strokeweight="1pt">
                  <v:fill color2="#fcbd00 [3175]" rotate="t" colors="0 #ffc746;.5 #ffc600;1 #e5b600" focus="100%" type="gradient">
                    <o:fill v:ext="view" type="gradientUnscaled"/>
                  </v:fill>
                  <v:textbox>
                    <w:txbxContent>
                      <w:p w14:paraId="69611725" w14:textId="77777777" w:rsidR="00992CF5" w:rsidRPr="00276160" w:rsidRDefault="00992CF5" w:rsidP="00276160">
                        <w:pPr>
                          <w:spacing w:before="0"/>
                          <w:ind w:firstLine="0"/>
                          <w:jc w:val="center"/>
                          <w:rPr>
                            <w:rFonts w:ascii="Bahnschrift Light" w:hAnsi="Bahnschrift Light"/>
                            <w:sz w:val="18"/>
                            <w:szCs w:val="18"/>
                          </w:rPr>
                        </w:pPr>
                        <w:r w:rsidRPr="00276160">
                          <w:rPr>
                            <w:rFonts w:ascii="Bahnschrift Light" w:hAnsi="Bahnschrift Light"/>
                            <w:sz w:val="18"/>
                            <w:szCs w:val="18"/>
                          </w:rPr>
                          <w:t>Fase I</w:t>
                        </w:r>
                      </w:p>
                    </w:txbxContent>
                  </v:textbox>
                  <o:callout v:ext="edit" minusy="t"/>
                </v:shape>
                <v:shape id="Texto Explicativo: Linha Dobrada 7" o:spid="_x0000_s1028" type="#_x0000_t48" style="position:absolute;left:-2415;top:10562;width:7098;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" adj="30406,-35530,14048,-16447,14187,-4260" fillcolor="#ffc310 [3031]" strokecolor="#ffc000 [3207]" strokeweight="1pt">
                  <v:fill color2="#fcbd00 [3175]" rotate="t" colors="0 #ffc746;.5 #ffc600;1 #e5b600" focus="100%" type="gradient">
                    <o:fill v:ext="view" type="gradientUnscaled"/>
                  </v:fill>
                  <v:textbox>
                    <w:txbxContent>
                      <w:p w14:paraId="44418A8E" w14:textId="77777777" w:rsidR="00992CF5" w:rsidRPr="00276160" w:rsidRDefault="00992CF5" w:rsidP="00276160">
                        <w:pPr>
                          <w:spacing w:before="0"/>
                          <w:ind w:firstLine="0"/>
                          <w:jc w:val="center"/>
                          <w:rPr>
                            <w:rFonts w:ascii="Bahnschrift Light" w:hAnsi="Bahnschrift Light"/>
                            <w:sz w:val="18"/>
                            <w:szCs w:val="18"/>
                          </w:rPr>
                        </w:pPr>
                        <w:r w:rsidRPr="00276160">
                          <w:rPr>
                            <w:rFonts w:ascii="Bahnschrift Light" w:hAnsi="Bahnschrift Light"/>
                            <w:sz w:val="18"/>
                            <w:szCs w:val="18"/>
                          </w:rPr>
                          <w:t>Fase II</w:t>
                        </w:r>
                      </w:p>
                    </w:txbxContent>
                  </v:textbox>
                  <o:callout v:ext="edit" minusx="t"/>
                </v:shape>
                <v:shape id="Texto Explicativo: Linha Dobrada 8" o:spid="_x0000_s1029" type="#_x0000_t48" style="position:absolute;left:24590;top:15059;width:7099;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" adj="-4474,-25005,14048,-16447,14187,-4260" fillcolor="#ffc310 [3031]" strokecolor="#ffc000 [3207]" strokeweight="1pt">
                  <v:fill color2="#fcbd00 [3175]" rotate="t" colors="0 #ffc746;.5 #ffc600;1 #e5b600" focus="100%" type="gradient">
                    <o:fill v:ext="view" type="gradientUnscaled"/>
                  </v:fill>
                  <v:textbox>
                    <w:txbxContent>
                      <w:p w14:paraId="78199A42" w14:textId="77777777" w:rsidR="00992CF5" w:rsidRPr="00276160" w:rsidRDefault="00992CF5" w:rsidP="00626587">
                        <w:pPr>
                          <w:spacing w:before="0"/>
                          <w:ind w:firstLine="0"/>
                          <w:jc w:val="center"/>
                          <w:rPr>
                            <w:rFonts w:ascii="Bahnschrift Light" w:hAnsi="Bahnschrift Light"/>
                            <w:sz w:val="18"/>
                            <w:szCs w:val="18"/>
                          </w:rPr>
                        </w:pPr>
                        <w:r w:rsidRPr="00276160">
                          <w:rPr>
                            <w:rFonts w:ascii="Bahnschrift Light" w:hAnsi="Bahnschrift Light"/>
                            <w:sz w:val="18"/>
                            <w:szCs w:val="18"/>
                          </w:rPr>
                          <w:t>Fase III</w:t>
                        </w:r>
                      </w:p>
                    </w:txbxContent>
                  </v:textbox>
                </v:shape>
              </v:group>
            </w:pict>
          </mc:Fallback>
        </mc:AlternateContent>
      </w:r>
      <w:r>
        <w:rPr>
          <w:noProof/>
          <w:lang w:val="pt-BR"/>
        </w:rPr>
        <mc:AlternateContent>
          <mc:Choice Requires="wps">
            <w:drawing>
              <wp:anchor distT="0" distB="0" distL="114300" distR="114300" simplePos="0" relativeHeight="251660288" behindDoc="0" locked="0" layoutInCell="1" allowOverlap="1" wp14:anchorId="3BDAAB3E" wp14:editId="4EE8447C">
                <wp:simplePos x="0" y="0"/>
                <wp:positionH relativeFrom="column">
                  <wp:posOffset>3371011</wp:posOffset>
                </wp:positionH>
                <wp:positionV relativeFrom="paragraph">
                  <wp:posOffset>1365621</wp:posOffset>
                </wp:positionV>
                <wp:extent cx="709822" cy="266014"/>
                <wp:effectExtent l="0" t="0" r="0" b="0"/>
                <wp:wrapNone/>
                <wp:docPr id="53" name="Texto Explicativo: Linha Dobrada 53"/>
                <wp:cNvGraphicFramePr/>
                <a:graphic xmlns:a="http://schemas.openxmlformats.org/drawingml/2006/main">
                  <a:graphicData uri="http://schemas.microsoft.com/office/word/2010/wordprocessingShape">
                    <wps:wsp>
                      <wps:cNvSpPr/>
                      <wps:spPr>
                        <a:xfrm>
                          <a:off x="0" y="0"/>
                          <a:ext cx="709822" cy="266014"/>
                        </a:xfrm>
                        <a:prstGeom prst="borderCallout2">
                          <a:avLst>
                            <a:gd name="adj1" fmla="val -19721"/>
                            <a:gd name="adj2" fmla="val 65680"/>
                            <a:gd name="adj3" fmla="val -76145"/>
                            <a:gd name="adj4" fmla="val 65035"/>
                            <a:gd name="adj5" fmla="val -115762"/>
                            <a:gd name="adj6" fmla="val -20714"/>
                          </a:avLst>
                        </a:prstGeom>
                        <a:ln w="12700"/>
                      </wps:spPr>
                      <wps:style>
                        <a:lnRef idx="1">
                          <a:schemeClr val="accent4"/>
                        </a:lnRef>
                        <a:fillRef idx="3">
                          <a:schemeClr val="accent4"/>
                        </a:fillRef>
                        <a:effectRef idx="2">
                          <a:schemeClr val="accent4"/>
                        </a:effectRef>
                        <a:fontRef idx="minor">
                          <a:schemeClr val="lt1"/>
                        </a:fontRef>
                      </wps:style>
                      <wps:txbx>
                        <w:txbxContent>
                          <w:p w14:paraId="6F116B03" w14:textId="77777777" w:rsidR="00992CF5" w:rsidRPr="00626587" w:rsidRDefault="00992CF5" w:rsidP="00626587">
                            <w:pPr>
                              <w:spacing w:before="0"/>
                              <w:ind w:firstLine="0"/>
                              <w:jc w:val="center"/>
                              <w:rPr>
                                <w:rFonts w:ascii="Bahnschrift Light" w:hAnsi="Bahnschrift Light"/>
                                <w:sz w:val="18"/>
                                <w:szCs w:val="14"/>
                              </w:rPr>
                            </w:pPr>
                            <w:r w:rsidRPr="00626587">
                              <w:rPr>
                                <w:rFonts w:ascii="Bahnschrift Light" w:hAnsi="Bahnschrift Light"/>
                                <w:sz w:val="18"/>
                                <w:szCs w:val="14"/>
                              </w:rPr>
                              <w:t>Fase 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DAAB3E" id="Texto Explicativo: Linha Dobrada 53" o:spid="_x0000_s1030" type="#_x0000_t48" style="position:absolute;left:0;text-align:left;margin-left:265.45pt;margin-top:107.55pt;width:55.9pt;height:20.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" adj="-4474,-25005,14048,-16447,14187,-4260" fillcolor="#ffc310 [3031]" strokecolor="#ffc000 [3207]" strokeweight="1pt">
                <v:fill color2="#fcbd00 [3175]" rotate="t" colors="0 #ffc746;.5 #ffc600;1 #e5b600" focus="100%" type="gradient">
                  <o:fill v:ext="view" type="gradientUnscaled"/>
                </v:fill>
                <v:textbox>
                  <w:txbxContent>
                    <w:p w14:paraId="6F116B03" w14:textId="77777777" w:rsidR="00992CF5" w:rsidRPr="00626587" w:rsidRDefault="00992CF5" w:rsidP="00626587">
                      <w:pPr>
                        <w:spacing w:before="0"/>
                        <w:ind w:firstLine="0"/>
                        <w:jc w:val="center"/>
                        <w:rPr>
                          <w:rFonts w:ascii="Bahnschrift Light" w:hAnsi="Bahnschrift Light"/>
                          <w:sz w:val="18"/>
                          <w:szCs w:val="14"/>
                        </w:rPr>
                      </w:pPr>
                      <w:r w:rsidRPr="00626587">
                        <w:rPr>
                          <w:rFonts w:ascii="Bahnschrift Light" w:hAnsi="Bahnschrift Light"/>
                          <w:sz w:val="18"/>
                          <w:szCs w:val="14"/>
                        </w:rPr>
                        <w:t>Fase IV</w:t>
                      </w:r>
                    </w:p>
                  </w:txbxContent>
                </v:textbox>
              </v:shape>
            </w:pict>
          </mc:Fallback>
        </mc:AlternateContent>
      </w:r>
    </w:p>
    <w:p w14:paraId="1DE6BAB7" w14:textId="79C200E9" w:rsidR="00281E52" w:rsidRPr="00281E52" w:rsidRDefault="00281E52" w:rsidP="00281E52">
      <w:pPr>
        <w:pStyle w:val="Legenda"/>
        <w:jc w:val="center"/>
        <w:rPr>
          <w:color w:val="auto"/>
          <w:sz w:val="20"/>
          <w:szCs w:val="20"/>
          <w:lang w:val="pt-BR"/>
        </w:rPr>
      </w:pPr>
      <w:bookmarkStart w:id="7" w:name="_Toc102331697"/>
      <w:r w:rsidRPr="00281E52">
        <w:rPr>
          <w:color w:val="auto"/>
          <w:sz w:val="20"/>
          <w:szCs w:val="20"/>
          <w:lang w:val="pt-BR"/>
        </w:rPr>
        <w:t xml:space="preserve">Figura </w:t>
      </w:r>
      <w:r w:rsidRPr="00281E52">
        <w:rPr>
          <w:color w:val="auto"/>
          <w:sz w:val="20"/>
          <w:szCs w:val="20"/>
        </w:rPr>
        <w:fldChar w:fldCharType="begin"/>
      </w:r>
      <w:r w:rsidRPr="00281E52">
        <w:rPr>
          <w:color w:val="auto"/>
          <w:sz w:val="20"/>
          <w:szCs w:val="20"/>
          <w:lang w:val="pt-BR"/>
        </w:rPr>
        <w:instrText xml:space="preserve"> SEQ Figura \* ARABIC \s 1 </w:instrText>
      </w:r>
      <w:r w:rsidRPr="00281E52">
        <w:rPr>
          <w:color w:val="auto"/>
          <w:sz w:val="20"/>
          <w:szCs w:val="20"/>
        </w:rPr>
        <w:fldChar w:fldCharType="separate"/>
      </w:r>
      <w:r w:rsidR="00BB3A7C">
        <w:rPr>
          <w:noProof/>
          <w:color w:val="auto"/>
          <w:sz w:val="20"/>
          <w:szCs w:val="20"/>
          <w:lang w:val="pt-BR"/>
        </w:rPr>
        <w:t>1</w:t>
      </w:r>
      <w:r w:rsidRPr="00281E52">
        <w:rPr>
          <w:noProof/>
          <w:color w:val="auto"/>
          <w:sz w:val="20"/>
          <w:szCs w:val="20"/>
        </w:rPr>
        <w:fldChar w:fldCharType="end"/>
      </w:r>
      <w:r w:rsidRPr="00281E52">
        <w:rPr>
          <w:color w:val="auto"/>
          <w:sz w:val="20"/>
          <w:szCs w:val="20"/>
          <w:lang w:val="pt-BR"/>
        </w:rPr>
        <w:t>– Localização do Ecoparque Lourenço e Souza e fases do empreendimento</w:t>
      </w:r>
      <w:bookmarkEnd w:id="7"/>
    </w:p>
    <w:p w14:paraId="166E5DC7" w14:textId="48684799" w:rsidR="00992CF5" w:rsidRDefault="00992CF5" w:rsidP="00992CF5">
      <w:pPr>
        <w:pStyle w:val="PargrafodaLista"/>
        <w:ind w:left="0"/>
        <w:rPr>
          <w:szCs w:val="24"/>
          <w:lang w:val="pt-BR"/>
        </w:rPr>
      </w:pPr>
      <w:r w:rsidRPr="00992CF5">
        <w:rPr>
          <w:szCs w:val="24"/>
          <w:lang w:val="pt-BR"/>
        </w:rPr>
        <w:t>O empreendimento está localizado em uma zona industrial, próximo a indústrias de grande porte do setor siderúrgico e de produção de bebidas. Tratando-se de um ambiente urbano, no entanto, existem áreas residenciais lindeiras ao parque. A Fase I é composta por pavilhões industriais, atualmente ocupados por 5 empresas distintas, totalizando uma área de 13 mil m² construídos, e outros 13 mil m² de pavilhões logísticos em processo de ocupação. Já as Fases II, III e IV estavam, no período desta pesquisa, em construção. Com as novas fases, haverá um aumento expressivo de área útil no parque: ao total, mais de 100 mil m² serão disponibilizados para locação até o ano de 2023. Diferentemente da Fase I, onde há indústrias instaladas, as outras fases serão dedicadas a empresas do ramo logístico. Os pavilhões serão utilizados, basicamente, como depósitos e centros de distribuição. Eles possuem infraestrutura específica para esse fim, como ampla área interna e pátio de manobra de caminhões, altura elevada entre o piso e o teto (pé direito), docas etc. Além disso, o parque possui um heliponto e localização privilegiada, junto das principais rodovias da região metropolitana. Dispõe de serviço de portaria, refeitório e sala de reuniões. Com a finalização das demais fases, abrigará estacionamento para veículos leves e auditório, além de ampliar o restaurante e as salas de reunião para comportar a demanda de colaboradores com a instalação de novas empresas.</w:t>
      </w:r>
    </w:p>
    <w:p w14:paraId="638F860F" w14:textId="77777777" w:rsidR="00807672" w:rsidRPr="00992CF5" w:rsidRDefault="00807672" w:rsidP="00992CF5">
      <w:pPr>
        <w:pStyle w:val="PargrafodaLista"/>
        <w:ind w:left="0"/>
        <w:rPr>
          <w:szCs w:val="24"/>
          <w:lang w:val="pt-BR"/>
        </w:rPr>
      </w:pPr>
    </w:p>
    <w:p w14:paraId="231049D3" w14:textId="68918E69" w:rsidR="00992CF5" w:rsidRPr="000C240C" w:rsidRDefault="00992CF5" w:rsidP="000C240C">
      <w:pPr>
        <w:pStyle w:val="Ttulo3"/>
        <w:numPr>
          <w:ilvl w:val="1"/>
          <w:numId w:val="14"/>
        </w:numPr>
        <w:rPr>
          <w:rFonts w:ascii="Times New Roman" w:hAnsi="Times New Roman" w:cs="Times New Roman"/>
          <w:color w:val="auto"/>
          <w:lang w:val="pt-BR"/>
        </w:rPr>
      </w:pPr>
      <w:bookmarkStart w:id="8" w:name="_Toc102003286"/>
      <w:bookmarkStart w:id="9" w:name="_Toc102003487"/>
      <w:bookmarkStart w:id="10" w:name="_Toc102003553"/>
      <w:bookmarkStart w:id="11" w:name="_Toc102331763"/>
      <w:bookmarkEnd w:id="8"/>
      <w:bookmarkEnd w:id="9"/>
      <w:bookmarkEnd w:id="10"/>
      <w:r w:rsidRPr="000C240C">
        <w:rPr>
          <w:rFonts w:ascii="Times New Roman" w:hAnsi="Times New Roman" w:cs="Times New Roman"/>
          <w:color w:val="auto"/>
          <w:lang w:val="pt-BR"/>
        </w:rPr>
        <w:t>Abordagem metodológica aplicada no estudo de caso</w:t>
      </w:r>
      <w:bookmarkEnd w:id="11"/>
    </w:p>
    <w:p w14:paraId="4B4C7802" w14:textId="77777777" w:rsidR="00807672" w:rsidRPr="00807672" w:rsidRDefault="00807672" w:rsidP="00807672">
      <w:pPr>
        <w:rPr>
          <w:lang w:val="pt-BR"/>
        </w:rPr>
      </w:pPr>
    </w:p>
    <w:p w14:paraId="179D89C5" w14:textId="7ECDAB3B" w:rsidR="00992CF5" w:rsidRPr="00992CF5" w:rsidRDefault="00992CF5" w:rsidP="00807672">
      <w:pPr>
        <w:pStyle w:val="PargrafodaLista"/>
        <w:ind w:left="0"/>
        <w:rPr>
          <w:szCs w:val="24"/>
          <w:lang w:val="pt-BR"/>
        </w:rPr>
      </w:pPr>
      <w:r w:rsidRPr="00992CF5">
        <w:rPr>
          <w:szCs w:val="24"/>
          <w:lang w:val="pt-BR"/>
        </w:rPr>
        <w:t xml:space="preserve">A pesquisa realizada foi qualitativa e exploratória, pois buscou investigar elementos, oportunidades e barreiras para a transição de parque a EIP dentro da realidade regional. O trabalho de campo foi inicializado com o contato com os gestores do parque, que são também responsáveis pela gestão imobiliária do empreendimento. Tratou-se de uma etapa de sensibilização e apresentação geral da proposta de trabalho e dos principais conceitos de Simbiose Industrial, de forma simples e objetiva, como sugere a primeira etapa do guia de </w:t>
      </w:r>
      <w:r>
        <w:rPr>
          <w:szCs w:val="24"/>
        </w:rPr>
        <w:fldChar w:fldCharType="begin" w:fldLock="1"/>
      </w:r>
      <w:r w:rsidRPr="00992CF5">
        <w:rPr>
          <w:szCs w:val="24"/>
          <w:lang w:val="pt-BR"/>
        </w:rPr>
        <w:instrText>ADDIN CSL_CITATION {"citationItems":[{"id":"ITEM-1","itemData":{"author":[{"dropping-particle":"","family":"Kalundborg Symbiosis","given":"","non-dropping-particle":"","parse-names":false,"suffix":""}],"id":"ITEM-1","issued":{"date-parts":[["2021"]]},"number-of-pages":"164","publisher-place":"[s.l.]","title":"Guide for industrial symbiosis facilitators","type":"report"},"uris":["http://www.mendeley.com/documents/?uuid=060775ca-7a56-49c6-b174-84e855247abd"]}],"mendeley":{"formattedCitation":"(Kalundborg Symbiosis, 2021)","manualFormatting":"Kalundborg Symbiosis (2021)","plainTextFormattedCitation":"(Kalundborg Symbiosis, 2021)","previouslyFormattedCitation":"(Kalundborg Symbiosis, 2021)"},"properties":{"noteIndex":0},"schema":"https://github.com/citation-style-language/schema/raw/master/csl-citation.json"}</w:instrText>
      </w:r>
      <w:r>
        <w:rPr>
          <w:szCs w:val="24"/>
        </w:rPr>
        <w:fldChar w:fldCharType="separate"/>
      </w:r>
      <w:r w:rsidRPr="00992CF5">
        <w:rPr>
          <w:noProof/>
          <w:szCs w:val="24"/>
          <w:lang w:val="pt-BR"/>
        </w:rPr>
        <w:t>Kalundborg Symbiosis (2021)</w:t>
      </w:r>
      <w:r>
        <w:rPr>
          <w:szCs w:val="24"/>
        </w:rPr>
        <w:fldChar w:fldCharType="end"/>
      </w:r>
      <w:r w:rsidRPr="00992CF5">
        <w:rPr>
          <w:szCs w:val="24"/>
          <w:lang w:val="pt-BR"/>
        </w:rPr>
        <w:t xml:space="preserve">. Ela se revela necessária para obter não apenas a aprovação em se executar a pesquisa, mas para iniciar o comprometimento dos gestores com o projeto. </w:t>
      </w:r>
    </w:p>
    <w:p w14:paraId="11BB0012" w14:textId="77777777" w:rsidR="00992CF5" w:rsidRPr="00992CF5" w:rsidRDefault="00992CF5" w:rsidP="00807672">
      <w:pPr>
        <w:pStyle w:val="PargrafodaLista"/>
        <w:ind w:left="0"/>
        <w:rPr>
          <w:szCs w:val="24"/>
          <w:lang w:val="pt-BR"/>
        </w:rPr>
      </w:pPr>
      <w:r w:rsidRPr="00992CF5">
        <w:rPr>
          <w:szCs w:val="24"/>
          <w:lang w:val="pt-BR"/>
        </w:rPr>
        <w:lastRenderedPageBreak/>
        <w:t xml:space="preserve">Sequencialmente, deu-se início ao processo de familiarização com o parque e suas empresas inquilinas, instaladas na Fase I. A abordagem consistiu em iniciar o reconhecimento pela parte consolidada, de modo a capturar os elementos, oportunidades e barreiras presentes, para estruturar um Plano de Ação que englobe, posteriormente, as Fases II, III e IV. Embora a realidade da Fase I (industrial, mista) seja distinta da planejada para as fases em construção (logística), entende-se que as experiências aprendidas e coletadas da Fase I têm a contribuir para as fases futuras do parque. </w:t>
      </w:r>
    </w:p>
    <w:p w14:paraId="4DFE5A2D" w14:textId="1B994082" w:rsidR="00992CF5" w:rsidRDefault="00992CF5" w:rsidP="00807672">
      <w:pPr>
        <w:pStyle w:val="PargrafodaLista"/>
        <w:ind w:left="0"/>
        <w:rPr>
          <w:szCs w:val="24"/>
          <w:lang w:val="pt-BR"/>
        </w:rPr>
      </w:pPr>
      <w:r w:rsidRPr="00992CF5">
        <w:rPr>
          <w:szCs w:val="24"/>
          <w:lang w:val="pt-BR"/>
        </w:rPr>
        <w:t xml:space="preserve">A familiarização ocorreu na forma de visitas individuais em cada uma das 5 empresas em operação na Fase I, doravante designadas pelas letras de A a E. O objetivo do primeiro contato foi uma aproximação inicial para apresentação do projeto. Em um segundo momento, uma nova rodada de visitas foi realizada. Desta vez, para obtenção de dados e aplicação de um questionário estruturado. O modelo de questionário utilizado foi adaptado da ferramenta recomendada por </w:t>
      </w:r>
      <w:r>
        <w:rPr>
          <w:szCs w:val="24"/>
        </w:rPr>
        <w:fldChar w:fldCharType="begin" w:fldLock="1"/>
      </w:r>
      <w:r w:rsidRPr="00992CF5">
        <w:rPr>
          <w:szCs w:val="24"/>
          <w:lang w:val="pt-BR"/>
        </w:rPr>
        <w:instrText>ADDIN CSL_CITATION {"citationItems":[{"id":"ITEM-1","itemData":{"author":[{"dropping-particle":"","family":"Kalundborg Symbiosis","given":"","non-dropping-particle":"","parse-names":false,"suffix":""}],"id":"ITEM-1","issued":{"date-parts":[["2021"]]},"number-of-pages":"164","publisher-place":"[s.l.]","title":"Guide for industrial symbiosis facilitators","type":"report"},"uris":["http://www.mendeley.com/documents/?uuid=060775ca-7a56-49c6-b174-84e855247abd"]}],"mendeley":{"formattedCitation":"(Kalundborg Symbiosis, 2021)","manualFormatting":"Kalundborg Symbiosis (2021)","plainTextFormattedCitation":"(Kalundborg Symbiosis, 2021)","previouslyFormattedCitation":"(Kalundborg Symbiosis, 2021)"},"properties":{"noteIndex":0},"schema":"https://github.com/citation-style-language/schema/raw/master/csl-citation.json"}</w:instrText>
      </w:r>
      <w:r>
        <w:rPr>
          <w:szCs w:val="24"/>
        </w:rPr>
        <w:fldChar w:fldCharType="separate"/>
      </w:r>
      <w:r w:rsidRPr="00992CF5">
        <w:rPr>
          <w:noProof/>
          <w:szCs w:val="24"/>
          <w:lang w:val="pt-BR"/>
        </w:rPr>
        <w:t>Kalundborg Symbiosis (2021)</w:t>
      </w:r>
      <w:r>
        <w:rPr>
          <w:szCs w:val="24"/>
        </w:rPr>
        <w:fldChar w:fldCharType="end"/>
      </w:r>
      <w:r w:rsidRPr="00992CF5">
        <w:rPr>
          <w:szCs w:val="24"/>
          <w:lang w:val="pt-BR"/>
        </w:rPr>
        <w:t xml:space="preserve"> e contemplou o levantamento de: informações gerais das empresas (identificação, contatos, número de funcionários, área útil, código da atividade segundo legislação ambiental e a existência de licenciamento ambiental); questionamentos sobre os valores, interesses e posicionamento da empresa quanto a práticas mais sustentáveis e EIP, visando captar seu grau de abertura, compreensão e comprometimento para uma transição a EIP; e informações qualitativas acerca do processo produtivo e quantitativas, quando disponíveis, relacionadas à geração de resíduos sólidos, efluentes líquidos e emissões atmosféricas, bem como de uso de recursos como água, energia e materiais. </w:t>
      </w:r>
    </w:p>
    <w:p w14:paraId="614C8C99" w14:textId="77777777" w:rsidR="004374DA" w:rsidRPr="00992CF5" w:rsidRDefault="004374DA" w:rsidP="00992CF5">
      <w:pPr>
        <w:pStyle w:val="PargrafodaLista"/>
        <w:ind w:left="0" w:firstLine="720"/>
        <w:rPr>
          <w:szCs w:val="24"/>
          <w:lang w:val="pt-BR"/>
        </w:rPr>
      </w:pPr>
    </w:p>
    <w:p w14:paraId="62A015EE" w14:textId="277CAF58" w:rsidR="00992CF5" w:rsidRPr="000C240C" w:rsidRDefault="00992CF5" w:rsidP="000C240C">
      <w:pPr>
        <w:pStyle w:val="Ttulo3"/>
        <w:numPr>
          <w:ilvl w:val="1"/>
          <w:numId w:val="14"/>
        </w:numPr>
        <w:rPr>
          <w:rFonts w:ascii="Times New Roman" w:hAnsi="Times New Roman" w:cs="Times New Roman"/>
          <w:color w:val="auto"/>
          <w:lang w:val="pt-BR"/>
        </w:rPr>
      </w:pPr>
      <w:bookmarkStart w:id="12" w:name="_Toc96878019"/>
      <w:bookmarkStart w:id="13" w:name="_Toc96981354"/>
      <w:bookmarkStart w:id="14" w:name="_Toc96981442"/>
      <w:bookmarkStart w:id="15" w:name="_Toc96981561"/>
      <w:bookmarkStart w:id="16" w:name="_Toc96981717"/>
      <w:bookmarkStart w:id="17" w:name="_Toc102331764"/>
      <w:bookmarkEnd w:id="12"/>
      <w:bookmarkEnd w:id="13"/>
      <w:bookmarkEnd w:id="14"/>
      <w:bookmarkEnd w:id="15"/>
      <w:bookmarkEnd w:id="16"/>
      <w:r w:rsidRPr="000C240C">
        <w:rPr>
          <w:rFonts w:ascii="Times New Roman" w:hAnsi="Times New Roman" w:cs="Times New Roman"/>
          <w:color w:val="auto"/>
          <w:lang w:val="pt-BR"/>
        </w:rPr>
        <w:t>Reconhecimento das empresas na Fase I</w:t>
      </w:r>
      <w:bookmarkEnd w:id="17"/>
    </w:p>
    <w:p w14:paraId="1EC05453" w14:textId="77777777" w:rsidR="00807672" w:rsidRPr="00807672" w:rsidRDefault="00807672" w:rsidP="00807672">
      <w:pPr>
        <w:rPr>
          <w:lang w:val="pt-BR"/>
        </w:rPr>
      </w:pPr>
    </w:p>
    <w:p w14:paraId="32763F9A" w14:textId="326786E0" w:rsidR="00992CF5" w:rsidRDefault="00992CF5" w:rsidP="00992CF5">
      <w:pPr>
        <w:pStyle w:val="PargrafodaLista"/>
        <w:ind w:left="0"/>
        <w:rPr>
          <w:szCs w:val="24"/>
          <w:lang w:val="pt-BR"/>
        </w:rPr>
      </w:pPr>
      <w:r w:rsidRPr="00992CF5">
        <w:rPr>
          <w:szCs w:val="24"/>
          <w:lang w:val="pt-BR"/>
        </w:rPr>
        <w:t xml:space="preserve">As empresas localizadas na Fase I do Ecoparque Lourenço e Souza podem ser caracterizadas como de pequeno ou médio porte segundo seu enquadramento tributário. O número de funcionários varia entre 5 e 120, dependendo da empresa, totalizando 277 colaboradores, conforme apresenta a Tabela </w:t>
      </w:r>
      <w:r w:rsidR="000C240C">
        <w:rPr>
          <w:szCs w:val="24"/>
          <w:lang w:val="pt-BR"/>
        </w:rPr>
        <w:t>1.</w:t>
      </w:r>
    </w:p>
    <w:p w14:paraId="00E6C0FC" w14:textId="77777777" w:rsidR="001841B7" w:rsidRDefault="001841B7" w:rsidP="00992CF5">
      <w:pPr>
        <w:pStyle w:val="PargrafodaLista"/>
        <w:ind w:left="0"/>
        <w:rPr>
          <w:szCs w:val="24"/>
          <w:lang w:val="pt-BR"/>
        </w:rPr>
      </w:pPr>
    </w:p>
    <w:p w14:paraId="4BFC6737" w14:textId="77777777" w:rsidR="001841B7" w:rsidRPr="00992CF5" w:rsidRDefault="001841B7" w:rsidP="00992CF5">
      <w:pPr>
        <w:pStyle w:val="PargrafodaLista"/>
        <w:ind w:left="0"/>
        <w:rPr>
          <w:szCs w:val="24"/>
          <w:lang w:val="pt-BR"/>
        </w:rPr>
      </w:pPr>
    </w:p>
    <w:p w14:paraId="7A720813" w14:textId="77777777" w:rsidR="00992CF5" w:rsidRPr="00992CF5" w:rsidRDefault="00992CF5" w:rsidP="00992CF5">
      <w:pPr>
        <w:pStyle w:val="PargrafodaLista"/>
        <w:ind w:left="0"/>
        <w:rPr>
          <w:szCs w:val="24"/>
          <w:lang w:val="pt-BR"/>
        </w:rPr>
      </w:pPr>
    </w:p>
    <w:tbl>
      <w:tblPr>
        <w:tblStyle w:val="TabelaSimples2"/>
        <w:tblW w:w="9138" w:type="dxa"/>
        <w:tblLook w:val="04A0" w:firstRow="1" w:lastRow="0" w:firstColumn="1" w:lastColumn="0" w:noHBand="0" w:noVBand="1"/>
      </w:tblPr>
      <w:tblGrid>
        <w:gridCol w:w="1408"/>
        <w:gridCol w:w="2540"/>
        <w:gridCol w:w="1236"/>
        <w:gridCol w:w="3954"/>
      </w:tblGrid>
      <w:tr w:rsidR="00992CF5" w:rsidRPr="00F01CC3" w14:paraId="5CE22BAB" w14:textId="77777777" w:rsidTr="00640230">
        <w:trPr>
          <w:cnfStyle w:val="100000000000" w:firstRow="1" w:lastRow="0" w:firstColumn="0" w:lastColumn="0" w:oddVBand="0" w:evenVBand="0" w:oddHBand="0"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162572CC" w14:textId="77777777" w:rsidR="00992CF5" w:rsidRPr="000A3861" w:rsidRDefault="00992CF5" w:rsidP="000C240C">
            <w:pPr>
              <w:pStyle w:val="PargrafodaLista"/>
              <w:spacing w:line="276" w:lineRule="auto"/>
              <w:ind w:left="0"/>
              <w:jc w:val="center"/>
              <w:rPr>
                <w:sz w:val="20"/>
                <w:szCs w:val="16"/>
              </w:rPr>
            </w:pPr>
            <w:r w:rsidRPr="000A3861">
              <w:rPr>
                <w:sz w:val="20"/>
                <w:szCs w:val="16"/>
              </w:rPr>
              <w:t>Empresa</w:t>
            </w:r>
          </w:p>
        </w:tc>
        <w:tc>
          <w:tcPr>
            <w:tcW w:w="0" w:type="auto"/>
            <w:tcBorders>
              <w:top w:val="single" w:sz="4" w:space="0" w:color="auto"/>
              <w:bottom w:val="single" w:sz="4" w:space="0" w:color="auto"/>
            </w:tcBorders>
            <w:vAlign w:val="center"/>
          </w:tcPr>
          <w:p w14:paraId="35B1CB62" w14:textId="77777777" w:rsidR="00992CF5" w:rsidRPr="000A3861" w:rsidRDefault="00992CF5" w:rsidP="00626587">
            <w:pPr>
              <w:pStyle w:val="PargrafodaLista"/>
              <w:spacing w:line="276" w:lineRule="auto"/>
              <w:ind w:left="0" w:firstLine="38"/>
              <w:jc w:val="center"/>
              <w:cnfStyle w:val="100000000000" w:firstRow="1" w:lastRow="0" w:firstColumn="0" w:lastColumn="0" w:oddVBand="0" w:evenVBand="0" w:oddHBand="0" w:evenHBand="0" w:firstRowFirstColumn="0" w:firstRowLastColumn="0" w:lastRowFirstColumn="0" w:lastRowLastColumn="0"/>
              <w:rPr>
                <w:sz w:val="20"/>
                <w:szCs w:val="16"/>
              </w:rPr>
            </w:pPr>
            <w:r w:rsidRPr="000A3861">
              <w:rPr>
                <w:sz w:val="20"/>
                <w:szCs w:val="16"/>
              </w:rPr>
              <w:t>Atividade</w:t>
            </w:r>
          </w:p>
        </w:tc>
        <w:tc>
          <w:tcPr>
            <w:tcW w:w="1236" w:type="dxa"/>
            <w:tcBorders>
              <w:top w:val="single" w:sz="4" w:space="0" w:color="auto"/>
              <w:bottom w:val="single" w:sz="4" w:space="0" w:color="auto"/>
            </w:tcBorders>
            <w:vAlign w:val="center"/>
          </w:tcPr>
          <w:p w14:paraId="00D44F30" w14:textId="77777777" w:rsidR="00992CF5" w:rsidRPr="000A3861" w:rsidRDefault="00992CF5" w:rsidP="00626587">
            <w:pPr>
              <w:pStyle w:val="PargrafodaLista"/>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b w:val="0"/>
                <w:bCs w:val="0"/>
                <w:sz w:val="20"/>
                <w:szCs w:val="16"/>
              </w:rPr>
            </w:pPr>
            <w:r w:rsidRPr="000A3861">
              <w:rPr>
                <w:sz w:val="20"/>
                <w:szCs w:val="16"/>
              </w:rPr>
              <w:t>Área</w:t>
            </w:r>
          </w:p>
          <w:p w14:paraId="6BEE9D15" w14:textId="77777777" w:rsidR="00992CF5" w:rsidRPr="000A3861" w:rsidRDefault="00992CF5" w:rsidP="00626587">
            <w:pPr>
              <w:pStyle w:val="PargrafodaLista"/>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sz w:val="20"/>
                <w:szCs w:val="16"/>
              </w:rPr>
            </w:pPr>
            <w:r w:rsidRPr="000A3861">
              <w:rPr>
                <w:sz w:val="20"/>
                <w:szCs w:val="16"/>
              </w:rPr>
              <w:t>Nº func.</w:t>
            </w:r>
          </w:p>
        </w:tc>
        <w:tc>
          <w:tcPr>
            <w:tcW w:w="0" w:type="auto"/>
            <w:tcBorders>
              <w:top w:val="single" w:sz="4" w:space="0" w:color="auto"/>
              <w:bottom w:val="single" w:sz="4" w:space="0" w:color="auto"/>
            </w:tcBorders>
            <w:vAlign w:val="center"/>
          </w:tcPr>
          <w:p w14:paraId="3C0D14C2" w14:textId="77777777" w:rsidR="00992CF5" w:rsidRPr="00992CF5" w:rsidRDefault="00992CF5" w:rsidP="00626587">
            <w:pPr>
              <w:pStyle w:val="PargrafodaLista"/>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sz w:val="20"/>
                <w:szCs w:val="16"/>
                <w:lang w:val="pt-BR"/>
              </w:rPr>
            </w:pPr>
            <w:r w:rsidRPr="00992CF5">
              <w:rPr>
                <w:sz w:val="20"/>
                <w:szCs w:val="16"/>
                <w:lang w:val="pt-BR"/>
              </w:rPr>
              <w:t>Breve descrição da atividade executada</w:t>
            </w:r>
          </w:p>
        </w:tc>
      </w:tr>
      <w:tr w:rsidR="00992CF5" w:rsidRPr="00F01CC3" w14:paraId="43CE61AF" w14:textId="77777777" w:rsidTr="00640230">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vAlign w:val="center"/>
          </w:tcPr>
          <w:p w14:paraId="6BB22D1D" w14:textId="77777777" w:rsidR="00992CF5" w:rsidRPr="000A3861" w:rsidRDefault="00992CF5" w:rsidP="001841B7">
            <w:pPr>
              <w:pStyle w:val="PargrafodaLista"/>
              <w:spacing w:line="276" w:lineRule="auto"/>
              <w:ind w:left="0"/>
              <w:jc w:val="center"/>
              <w:rPr>
                <w:sz w:val="20"/>
                <w:szCs w:val="16"/>
              </w:rPr>
            </w:pPr>
            <w:r w:rsidRPr="000A3861">
              <w:rPr>
                <w:sz w:val="20"/>
                <w:szCs w:val="16"/>
              </w:rPr>
              <w:t>A</w:t>
            </w:r>
          </w:p>
        </w:tc>
        <w:tc>
          <w:tcPr>
            <w:tcW w:w="0" w:type="auto"/>
            <w:tcBorders>
              <w:top w:val="single" w:sz="4" w:space="0" w:color="auto"/>
              <w:bottom w:val="nil"/>
            </w:tcBorders>
            <w:vAlign w:val="center"/>
          </w:tcPr>
          <w:p w14:paraId="2D79A440" w14:textId="77777777" w:rsidR="00992CF5" w:rsidRPr="00992CF5" w:rsidRDefault="00992CF5" w:rsidP="00626587">
            <w:pPr>
              <w:pStyle w:val="PargrafodaLista"/>
              <w:spacing w:line="276" w:lineRule="auto"/>
              <w:ind w:left="0" w:firstLine="38"/>
              <w:cnfStyle w:val="000000100000" w:firstRow="0" w:lastRow="0" w:firstColumn="0" w:lastColumn="0" w:oddVBand="0" w:evenVBand="0" w:oddHBand="1" w:evenHBand="0" w:firstRowFirstColumn="0" w:firstRowLastColumn="0" w:lastRowFirstColumn="0" w:lastRowLastColumn="0"/>
              <w:rPr>
                <w:sz w:val="20"/>
                <w:szCs w:val="16"/>
                <w:lang w:val="pt-BR"/>
              </w:rPr>
            </w:pPr>
            <w:r w:rsidRPr="00992CF5">
              <w:rPr>
                <w:sz w:val="20"/>
                <w:szCs w:val="16"/>
                <w:lang w:val="pt-BR"/>
              </w:rPr>
              <w:t>Metalomecânica: fabricação de equipamentos de refrigeração industrial</w:t>
            </w:r>
          </w:p>
        </w:tc>
        <w:tc>
          <w:tcPr>
            <w:tcW w:w="1236" w:type="dxa"/>
            <w:tcBorders>
              <w:top w:val="single" w:sz="4" w:space="0" w:color="auto"/>
              <w:bottom w:val="nil"/>
            </w:tcBorders>
            <w:vAlign w:val="center"/>
          </w:tcPr>
          <w:p w14:paraId="2E9F08B0" w14:textId="77777777" w:rsidR="00992CF5" w:rsidRPr="000A3861" w:rsidRDefault="00992CF5" w:rsidP="00626587">
            <w:pPr>
              <w:pStyle w:val="PargrafodaLista"/>
              <w:spacing w:line="276" w:lineRule="auto"/>
              <w:ind w:left="0" w:firstLine="0"/>
              <w:jc w:val="center"/>
              <w:cnfStyle w:val="000000100000" w:firstRow="0" w:lastRow="0" w:firstColumn="0" w:lastColumn="0" w:oddVBand="0" w:evenVBand="0" w:oddHBand="1" w:evenHBand="0" w:firstRowFirstColumn="0" w:firstRowLastColumn="0" w:lastRowFirstColumn="0" w:lastRowLastColumn="0"/>
              <w:rPr>
                <w:sz w:val="20"/>
                <w:szCs w:val="16"/>
              </w:rPr>
            </w:pPr>
            <w:r w:rsidRPr="000A3861">
              <w:rPr>
                <w:sz w:val="20"/>
                <w:szCs w:val="16"/>
              </w:rPr>
              <w:t>3.185 m² 120</w:t>
            </w:r>
          </w:p>
        </w:tc>
        <w:tc>
          <w:tcPr>
            <w:tcW w:w="0" w:type="auto"/>
            <w:tcBorders>
              <w:top w:val="single" w:sz="4" w:space="0" w:color="auto"/>
              <w:bottom w:val="nil"/>
            </w:tcBorders>
            <w:vAlign w:val="center"/>
          </w:tcPr>
          <w:p w14:paraId="261D0ED2" w14:textId="77777777" w:rsidR="00992CF5" w:rsidRPr="00992CF5" w:rsidRDefault="00992CF5" w:rsidP="00626587">
            <w:pPr>
              <w:pStyle w:val="PargrafodaLista"/>
              <w:spacing w:line="276" w:lineRule="auto"/>
              <w:ind w:left="0" w:firstLine="0"/>
              <w:cnfStyle w:val="000000100000" w:firstRow="0" w:lastRow="0" w:firstColumn="0" w:lastColumn="0" w:oddVBand="0" w:evenVBand="0" w:oddHBand="1" w:evenHBand="0" w:firstRowFirstColumn="0" w:firstRowLastColumn="0" w:lastRowFirstColumn="0" w:lastRowLastColumn="0"/>
              <w:rPr>
                <w:sz w:val="20"/>
                <w:szCs w:val="16"/>
                <w:lang w:val="pt-BR"/>
              </w:rPr>
            </w:pPr>
            <w:r w:rsidRPr="00992CF5">
              <w:rPr>
                <w:sz w:val="20"/>
                <w:szCs w:val="16"/>
                <w:lang w:val="pt-BR"/>
              </w:rPr>
              <w:t>Operações de caldeiraria (corte, conformação, soldagem e montagem) para fabricação de túneis de congelamento outros equipamentos de refrigeração industrial.</w:t>
            </w:r>
          </w:p>
        </w:tc>
      </w:tr>
      <w:tr w:rsidR="00992CF5" w:rsidRPr="00F01CC3" w14:paraId="0BC27630" w14:textId="77777777" w:rsidTr="00626587">
        <w:trPr>
          <w:trHeight w:val="691"/>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vAlign w:val="center"/>
          </w:tcPr>
          <w:p w14:paraId="5F8656C8" w14:textId="77777777" w:rsidR="00992CF5" w:rsidRPr="000A3861" w:rsidRDefault="00992CF5" w:rsidP="001841B7">
            <w:pPr>
              <w:pStyle w:val="PargrafodaLista"/>
              <w:spacing w:line="276" w:lineRule="auto"/>
              <w:ind w:left="0"/>
              <w:jc w:val="center"/>
              <w:rPr>
                <w:sz w:val="20"/>
                <w:szCs w:val="16"/>
              </w:rPr>
            </w:pPr>
            <w:r w:rsidRPr="000A3861">
              <w:rPr>
                <w:sz w:val="20"/>
                <w:szCs w:val="16"/>
              </w:rPr>
              <w:t>B</w:t>
            </w:r>
          </w:p>
        </w:tc>
        <w:tc>
          <w:tcPr>
            <w:tcW w:w="0" w:type="auto"/>
            <w:tcBorders>
              <w:top w:val="nil"/>
              <w:bottom w:val="nil"/>
            </w:tcBorders>
            <w:vAlign w:val="center"/>
          </w:tcPr>
          <w:p w14:paraId="3FBC1930" w14:textId="77777777" w:rsidR="00992CF5" w:rsidRPr="000A3861" w:rsidRDefault="00992CF5" w:rsidP="00626587">
            <w:pPr>
              <w:pStyle w:val="PargrafodaLista"/>
              <w:spacing w:line="276" w:lineRule="auto"/>
              <w:ind w:left="0" w:firstLine="38"/>
              <w:cnfStyle w:val="000000000000" w:firstRow="0" w:lastRow="0" w:firstColumn="0" w:lastColumn="0" w:oddVBand="0" w:evenVBand="0" w:oddHBand="0" w:evenHBand="0" w:firstRowFirstColumn="0" w:firstRowLastColumn="0" w:lastRowFirstColumn="0" w:lastRowLastColumn="0"/>
              <w:rPr>
                <w:sz w:val="20"/>
                <w:szCs w:val="16"/>
              </w:rPr>
            </w:pPr>
            <w:r w:rsidRPr="000A3861">
              <w:rPr>
                <w:sz w:val="20"/>
                <w:szCs w:val="16"/>
              </w:rPr>
              <w:t>Metalomecânica: fabricação de extrusoras</w:t>
            </w:r>
          </w:p>
        </w:tc>
        <w:tc>
          <w:tcPr>
            <w:tcW w:w="1236" w:type="dxa"/>
            <w:tcBorders>
              <w:top w:val="nil"/>
              <w:bottom w:val="nil"/>
            </w:tcBorders>
            <w:vAlign w:val="center"/>
          </w:tcPr>
          <w:p w14:paraId="2E1F1ACF" w14:textId="77777777" w:rsidR="00992CF5" w:rsidRPr="000A3861" w:rsidRDefault="00992CF5" w:rsidP="00626587">
            <w:pPr>
              <w:pStyle w:val="PargrafodaLista"/>
              <w:spacing w:line="276" w:lineRule="auto"/>
              <w:ind w:left="0" w:firstLine="0"/>
              <w:jc w:val="center"/>
              <w:cnfStyle w:val="000000000000" w:firstRow="0" w:lastRow="0" w:firstColumn="0" w:lastColumn="0" w:oddVBand="0" w:evenVBand="0" w:oddHBand="0" w:evenHBand="0" w:firstRowFirstColumn="0" w:firstRowLastColumn="0" w:lastRowFirstColumn="0" w:lastRowLastColumn="0"/>
              <w:rPr>
                <w:sz w:val="20"/>
                <w:szCs w:val="16"/>
              </w:rPr>
            </w:pPr>
            <w:r w:rsidRPr="000A3861">
              <w:rPr>
                <w:sz w:val="20"/>
                <w:szCs w:val="16"/>
              </w:rPr>
              <w:t>2.490 m²</w:t>
            </w:r>
          </w:p>
          <w:p w14:paraId="7A543EE7" w14:textId="77777777" w:rsidR="00992CF5" w:rsidRPr="000A3861" w:rsidRDefault="00992CF5" w:rsidP="00626587">
            <w:pPr>
              <w:pStyle w:val="PargrafodaLista"/>
              <w:spacing w:line="276" w:lineRule="auto"/>
              <w:ind w:left="0" w:firstLine="0"/>
              <w:jc w:val="center"/>
              <w:cnfStyle w:val="000000000000" w:firstRow="0" w:lastRow="0" w:firstColumn="0" w:lastColumn="0" w:oddVBand="0" w:evenVBand="0" w:oddHBand="0" w:evenHBand="0" w:firstRowFirstColumn="0" w:firstRowLastColumn="0" w:lastRowFirstColumn="0" w:lastRowLastColumn="0"/>
              <w:rPr>
                <w:sz w:val="20"/>
                <w:szCs w:val="16"/>
              </w:rPr>
            </w:pPr>
            <w:r w:rsidRPr="000A3861">
              <w:rPr>
                <w:sz w:val="20"/>
                <w:szCs w:val="16"/>
              </w:rPr>
              <w:t>45</w:t>
            </w:r>
          </w:p>
        </w:tc>
        <w:tc>
          <w:tcPr>
            <w:tcW w:w="0" w:type="auto"/>
            <w:tcBorders>
              <w:top w:val="nil"/>
              <w:bottom w:val="nil"/>
            </w:tcBorders>
            <w:vAlign w:val="center"/>
          </w:tcPr>
          <w:p w14:paraId="0CFE1D9B" w14:textId="77777777" w:rsidR="00992CF5" w:rsidRPr="00992CF5" w:rsidRDefault="00992CF5" w:rsidP="00626587">
            <w:pPr>
              <w:pStyle w:val="PargrafodaLista"/>
              <w:spacing w:line="276" w:lineRule="auto"/>
              <w:ind w:left="0" w:firstLine="0"/>
              <w:cnfStyle w:val="000000000000" w:firstRow="0" w:lastRow="0" w:firstColumn="0" w:lastColumn="0" w:oddVBand="0" w:evenVBand="0" w:oddHBand="0" w:evenHBand="0" w:firstRowFirstColumn="0" w:firstRowLastColumn="0" w:lastRowFirstColumn="0" w:lastRowLastColumn="0"/>
              <w:rPr>
                <w:sz w:val="20"/>
                <w:szCs w:val="16"/>
                <w:lang w:val="pt-BR"/>
              </w:rPr>
            </w:pPr>
            <w:r w:rsidRPr="00992CF5">
              <w:rPr>
                <w:sz w:val="20"/>
                <w:szCs w:val="16"/>
                <w:lang w:val="pt-BR"/>
              </w:rPr>
              <w:t xml:space="preserve">Operações de caldeiraria e usinagem para fabricação de extrusoras. </w:t>
            </w:r>
          </w:p>
        </w:tc>
      </w:tr>
      <w:tr w:rsidR="00992CF5" w:rsidRPr="00F01CC3" w14:paraId="5C1AF0A3" w14:textId="77777777" w:rsidTr="0064023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vAlign w:val="center"/>
          </w:tcPr>
          <w:p w14:paraId="3E3CCFBA" w14:textId="77777777" w:rsidR="00992CF5" w:rsidRPr="000A3861" w:rsidRDefault="00992CF5" w:rsidP="001841B7">
            <w:pPr>
              <w:pStyle w:val="PargrafodaLista"/>
              <w:spacing w:line="276" w:lineRule="auto"/>
              <w:ind w:left="0"/>
              <w:jc w:val="center"/>
              <w:rPr>
                <w:sz w:val="20"/>
                <w:szCs w:val="16"/>
              </w:rPr>
            </w:pPr>
            <w:r w:rsidRPr="000A3861">
              <w:rPr>
                <w:sz w:val="20"/>
                <w:szCs w:val="16"/>
              </w:rPr>
              <w:t>C</w:t>
            </w:r>
          </w:p>
        </w:tc>
        <w:tc>
          <w:tcPr>
            <w:tcW w:w="0" w:type="auto"/>
            <w:tcBorders>
              <w:top w:val="nil"/>
              <w:bottom w:val="nil"/>
            </w:tcBorders>
            <w:vAlign w:val="center"/>
          </w:tcPr>
          <w:p w14:paraId="3DF9E691" w14:textId="77777777" w:rsidR="00992CF5" w:rsidRPr="000A3861" w:rsidRDefault="00992CF5" w:rsidP="00626587">
            <w:pPr>
              <w:pStyle w:val="PargrafodaLista"/>
              <w:spacing w:line="276" w:lineRule="auto"/>
              <w:ind w:left="0" w:firstLine="38"/>
              <w:cnfStyle w:val="000000100000" w:firstRow="0" w:lastRow="0" w:firstColumn="0" w:lastColumn="0" w:oddVBand="0" w:evenVBand="0" w:oddHBand="1" w:evenHBand="0" w:firstRowFirstColumn="0" w:firstRowLastColumn="0" w:lastRowFirstColumn="0" w:lastRowLastColumn="0"/>
              <w:rPr>
                <w:sz w:val="20"/>
                <w:szCs w:val="16"/>
              </w:rPr>
            </w:pPr>
            <w:r w:rsidRPr="000A3861">
              <w:rPr>
                <w:sz w:val="20"/>
                <w:szCs w:val="16"/>
              </w:rPr>
              <w:t>Fabricação de cosméticos</w:t>
            </w:r>
          </w:p>
        </w:tc>
        <w:tc>
          <w:tcPr>
            <w:tcW w:w="1236" w:type="dxa"/>
            <w:tcBorders>
              <w:top w:val="nil"/>
              <w:bottom w:val="nil"/>
            </w:tcBorders>
            <w:vAlign w:val="center"/>
          </w:tcPr>
          <w:p w14:paraId="370F13E8" w14:textId="77777777" w:rsidR="00992CF5" w:rsidRPr="000A3861" w:rsidRDefault="00992CF5" w:rsidP="00626587">
            <w:pPr>
              <w:pStyle w:val="PargrafodaLista"/>
              <w:spacing w:line="276" w:lineRule="auto"/>
              <w:ind w:left="0" w:firstLine="0"/>
              <w:jc w:val="center"/>
              <w:cnfStyle w:val="000000100000" w:firstRow="0" w:lastRow="0" w:firstColumn="0" w:lastColumn="0" w:oddVBand="0" w:evenVBand="0" w:oddHBand="1" w:evenHBand="0" w:firstRowFirstColumn="0" w:firstRowLastColumn="0" w:lastRowFirstColumn="0" w:lastRowLastColumn="0"/>
              <w:rPr>
                <w:sz w:val="20"/>
                <w:szCs w:val="16"/>
              </w:rPr>
            </w:pPr>
            <w:r w:rsidRPr="000A3861">
              <w:rPr>
                <w:sz w:val="20"/>
                <w:szCs w:val="16"/>
              </w:rPr>
              <w:t>725 m²</w:t>
            </w:r>
          </w:p>
          <w:p w14:paraId="587B6CD8" w14:textId="77777777" w:rsidR="00992CF5" w:rsidRPr="000A3861" w:rsidRDefault="00992CF5" w:rsidP="00626587">
            <w:pPr>
              <w:pStyle w:val="PargrafodaLista"/>
              <w:spacing w:line="276" w:lineRule="auto"/>
              <w:ind w:left="0" w:firstLine="0"/>
              <w:jc w:val="center"/>
              <w:cnfStyle w:val="000000100000" w:firstRow="0" w:lastRow="0" w:firstColumn="0" w:lastColumn="0" w:oddVBand="0" w:evenVBand="0" w:oddHBand="1" w:evenHBand="0" w:firstRowFirstColumn="0" w:firstRowLastColumn="0" w:lastRowFirstColumn="0" w:lastRowLastColumn="0"/>
              <w:rPr>
                <w:sz w:val="20"/>
                <w:szCs w:val="16"/>
              </w:rPr>
            </w:pPr>
            <w:r w:rsidRPr="000A3861">
              <w:rPr>
                <w:sz w:val="20"/>
                <w:szCs w:val="16"/>
              </w:rPr>
              <w:t>5</w:t>
            </w:r>
          </w:p>
        </w:tc>
        <w:tc>
          <w:tcPr>
            <w:tcW w:w="0" w:type="auto"/>
            <w:tcBorders>
              <w:top w:val="nil"/>
              <w:bottom w:val="nil"/>
            </w:tcBorders>
            <w:vAlign w:val="center"/>
          </w:tcPr>
          <w:p w14:paraId="120B71D7" w14:textId="77777777" w:rsidR="00992CF5" w:rsidRPr="00992CF5" w:rsidRDefault="00992CF5" w:rsidP="00626587">
            <w:pPr>
              <w:pStyle w:val="PargrafodaLista"/>
              <w:spacing w:line="276" w:lineRule="auto"/>
              <w:ind w:left="0" w:firstLine="0"/>
              <w:cnfStyle w:val="000000100000" w:firstRow="0" w:lastRow="0" w:firstColumn="0" w:lastColumn="0" w:oddVBand="0" w:evenVBand="0" w:oddHBand="1" w:evenHBand="0" w:firstRowFirstColumn="0" w:firstRowLastColumn="0" w:lastRowFirstColumn="0" w:lastRowLastColumn="0"/>
              <w:rPr>
                <w:sz w:val="20"/>
                <w:szCs w:val="16"/>
                <w:lang w:val="pt-BR"/>
              </w:rPr>
            </w:pPr>
            <w:r w:rsidRPr="00992CF5">
              <w:rPr>
                <w:sz w:val="20"/>
                <w:szCs w:val="16"/>
                <w:lang w:val="pt-BR"/>
              </w:rPr>
              <w:t>Fabricação de ceras depilatórias, envolvendo o fracionamento das matérias-primas, manipulação em tanques encamisados e envase do produto.</w:t>
            </w:r>
          </w:p>
        </w:tc>
      </w:tr>
      <w:tr w:rsidR="00992CF5" w:rsidRPr="00F01CC3" w14:paraId="7F3FCE6C" w14:textId="77777777" w:rsidTr="00626587">
        <w:trPr>
          <w:trHeight w:val="1016"/>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vAlign w:val="center"/>
          </w:tcPr>
          <w:p w14:paraId="108E8B83" w14:textId="77777777" w:rsidR="00992CF5" w:rsidRPr="00453A5E" w:rsidRDefault="00992CF5" w:rsidP="001841B7">
            <w:pPr>
              <w:pStyle w:val="PargrafodaLista"/>
              <w:spacing w:line="276" w:lineRule="auto"/>
              <w:ind w:left="0"/>
              <w:jc w:val="center"/>
              <w:rPr>
                <w:sz w:val="20"/>
                <w:szCs w:val="16"/>
              </w:rPr>
            </w:pPr>
            <w:r w:rsidRPr="000A3861">
              <w:rPr>
                <w:sz w:val="20"/>
                <w:szCs w:val="16"/>
              </w:rPr>
              <w:lastRenderedPageBreak/>
              <w:t>D</w:t>
            </w:r>
          </w:p>
        </w:tc>
        <w:tc>
          <w:tcPr>
            <w:tcW w:w="0" w:type="auto"/>
            <w:tcBorders>
              <w:top w:val="nil"/>
              <w:bottom w:val="nil"/>
            </w:tcBorders>
            <w:vAlign w:val="center"/>
          </w:tcPr>
          <w:p w14:paraId="478AE274" w14:textId="77777777" w:rsidR="00992CF5" w:rsidRPr="00992CF5" w:rsidRDefault="00992CF5" w:rsidP="00626587">
            <w:pPr>
              <w:pStyle w:val="PargrafodaLista"/>
              <w:spacing w:line="276" w:lineRule="auto"/>
              <w:ind w:left="0" w:firstLine="38"/>
              <w:cnfStyle w:val="000000000000" w:firstRow="0" w:lastRow="0" w:firstColumn="0" w:lastColumn="0" w:oddVBand="0" w:evenVBand="0" w:oddHBand="0" w:evenHBand="0" w:firstRowFirstColumn="0" w:firstRowLastColumn="0" w:lastRowFirstColumn="0" w:lastRowLastColumn="0"/>
              <w:rPr>
                <w:sz w:val="20"/>
                <w:szCs w:val="16"/>
                <w:lang w:val="pt-BR"/>
              </w:rPr>
            </w:pPr>
            <w:r w:rsidRPr="00992CF5">
              <w:rPr>
                <w:sz w:val="20"/>
                <w:szCs w:val="16"/>
                <w:lang w:val="pt-BR"/>
              </w:rPr>
              <w:t>Centro de distribuição de produtos farmacêuticos e de higiene pessoal</w:t>
            </w:r>
          </w:p>
        </w:tc>
        <w:tc>
          <w:tcPr>
            <w:tcW w:w="1236" w:type="dxa"/>
            <w:tcBorders>
              <w:top w:val="nil"/>
              <w:bottom w:val="nil"/>
            </w:tcBorders>
            <w:vAlign w:val="center"/>
          </w:tcPr>
          <w:p w14:paraId="361E4905" w14:textId="77777777" w:rsidR="00992CF5" w:rsidRPr="000A3861" w:rsidRDefault="00992CF5" w:rsidP="00626587">
            <w:pPr>
              <w:pStyle w:val="PargrafodaLista"/>
              <w:spacing w:line="276" w:lineRule="auto"/>
              <w:ind w:left="0" w:firstLine="0"/>
              <w:jc w:val="center"/>
              <w:cnfStyle w:val="000000000000" w:firstRow="0" w:lastRow="0" w:firstColumn="0" w:lastColumn="0" w:oddVBand="0" w:evenVBand="0" w:oddHBand="0" w:evenHBand="0" w:firstRowFirstColumn="0" w:firstRowLastColumn="0" w:lastRowFirstColumn="0" w:lastRowLastColumn="0"/>
              <w:rPr>
                <w:sz w:val="20"/>
                <w:szCs w:val="16"/>
              </w:rPr>
            </w:pPr>
            <w:r w:rsidRPr="000A3861">
              <w:rPr>
                <w:sz w:val="20"/>
                <w:szCs w:val="16"/>
              </w:rPr>
              <w:t>3.600 m²</w:t>
            </w:r>
          </w:p>
          <w:p w14:paraId="42E4063B" w14:textId="77777777" w:rsidR="00992CF5" w:rsidRPr="00453A5E" w:rsidRDefault="00992CF5" w:rsidP="00626587">
            <w:pPr>
              <w:pStyle w:val="PargrafodaLista"/>
              <w:spacing w:line="276" w:lineRule="auto"/>
              <w:ind w:left="0" w:firstLine="0"/>
              <w:jc w:val="center"/>
              <w:cnfStyle w:val="000000000000" w:firstRow="0" w:lastRow="0" w:firstColumn="0" w:lastColumn="0" w:oddVBand="0" w:evenVBand="0" w:oddHBand="0" w:evenHBand="0" w:firstRowFirstColumn="0" w:firstRowLastColumn="0" w:lastRowFirstColumn="0" w:lastRowLastColumn="0"/>
              <w:rPr>
                <w:sz w:val="20"/>
                <w:szCs w:val="16"/>
              </w:rPr>
            </w:pPr>
            <w:r w:rsidRPr="000A3861">
              <w:rPr>
                <w:sz w:val="20"/>
                <w:szCs w:val="16"/>
              </w:rPr>
              <w:t>100</w:t>
            </w:r>
          </w:p>
        </w:tc>
        <w:tc>
          <w:tcPr>
            <w:tcW w:w="0" w:type="auto"/>
            <w:tcBorders>
              <w:top w:val="nil"/>
              <w:bottom w:val="nil"/>
            </w:tcBorders>
            <w:vAlign w:val="center"/>
          </w:tcPr>
          <w:p w14:paraId="40CFCEDD" w14:textId="77777777" w:rsidR="00992CF5" w:rsidRPr="00992CF5" w:rsidRDefault="00992CF5" w:rsidP="00626587">
            <w:pPr>
              <w:pStyle w:val="PargrafodaLista"/>
              <w:spacing w:line="276" w:lineRule="auto"/>
              <w:ind w:left="0" w:firstLine="0"/>
              <w:cnfStyle w:val="000000000000" w:firstRow="0" w:lastRow="0" w:firstColumn="0" w:lastColumn="0" w:oddVBand="0" w:evenVBand="0" w:oddHBand="0" w:evenHBand="0" w:firstRowFirstColumn="0" w:firstRowLastColumn="0" w:lastRowFirstColumn="0" w:lastRowLastColumn="0"/>
              <w:rPr>
                <w:sz w:val="20"/>
                <w:szCs w:val="16"/>
                <w:lang w:val="pt-BR"/>
              </w:rPr>
            </w:pPr>
            <w:r w:rsidRPr="00992CF5">
              <w:rPr>
                <w:sz w:val="20"/>
                <w:szCs w:val="16"/>
                <w:lang w:val="pt-BR"/>
              </w:rPr>
              <w:t>Armazenamento de produtos, segmentação de acordo com a quantidade solicitada pelo cliente e expedição.</w:t>
            </w:r>
          </w:p>
        </w:tc>
      </w:tr>
      <w:tr w:rsidR="00992CF5" w:rsidRPr="00F01CC3" w14:paraId="5D49ACA8" w14:textId="77777777" w:rsidTr="00281E52">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vAlign w:val="center"/>
          </w:tcPr>
          <w:p w14:paraId="4DDEF2C7" w14:textId="77777777" w:rsidR="00992CF5" w:rsidRPr="00453A5E" w:rsidRDefault="00992CF5" w:rsidP="001841B7">
            <w:pPr>
              <w:pStyle w:val="PargrafodaLista"/>
              <w:spacing w:line="276" w:lineRule="auto"/>
              <w:ind w:left="0"/>
              <w:jc w:val="center"/>
              <w:rPr>
                <w:sz w:val="20"/>
                <w:szCs w:val="16"/>
              </w:rPr>
            </w:pPr>
            <w:r w:rsidRPr="000A3861">
              <w:rPr>
                <w:sz w:val="20"/>
                <w:szCs w:val="16"/>
              </w:rPr>
              <w:t>E</w:t>
            </w:r>
          </w:p>
        </w:tc>
        <w:tc>
          <w:tcPr>
            <w:tcW w:w="0" w:type="auto"/>
            <w:tcBorders>
              <w:top w:val="nil"/>
              <w:bottom w:val="single" w:sz="4" w:space="0" w:color="auto"/>
            </w:tcBorders>
            <w:vAlign w:val="center"/>
          </w:tcPr>
          <w:p w14:paraId="7D14ABB5" w14:textId="77777777" w:rsidR="00992CF5" w:rsidRPr="00992CF5" w:rsidRDefault="00992CF5" w:rsidP="00626587">
            <w:pPr>
              <w:pStyle w:val="PargrafodaLista"/>
              <w:spacing w:line="276" w:lineRule="auto"/>
              <w:ind w:left="0" w:firstLine="38"/>
              <w:cnfStyle w:val="000000100000" w:firstRow="0" w:lastRow="0" w:firstColumn="0" w:lastColumn="0" w:oddVBand="0" w:evenVBand="0" w:oddHBand="1" w:evenHBand="0" w:firstRowFirstColumn="0" w:firstRowLastColumn="0" w:lastRowFirstColumn="0" w:lastRowLastColumn="0"/>
              <w:rPr>
                <w:sz w:val="20"/>
                <w:szCs w:val="16"/>
                <w:lang w:val="pt-BR"/>
              </w:rPr>
            </w:pPr>
            <w:r w:rsidRPr="00992CF5">
              <w:rPr>
                <w:sz w:val="20"/>
                <w:szCs w:val="16"/>
                <w:lang w:val="pt-BR"/>
              </w:rPr>
              <w:t>Centro de distribuição de polímeros peletizados</w:t>
            </w:r>
          </w:p>
        </w:tc>
        <w:tc>
          <w:tcPr>
            <w:tcW w:w="1236" w:type="dxa"/>
            <w:tcBorders>
              <w:top w:val="nil"/>
              <w:bottom w:val="single" w:sz="4" w:space="0" w:color="auto"/>
            </w:tcBorders>
            <w:vAlign w:val="center"/>
          </w:tcPr>
          <w:p w14:paraId="1D0C42C8" w14:textId="77777777" w:rsidR="00992CF5" w:rsidRPr="000A3861" w:rsidRDefault="00992CF5" w:rsidP="00626587">
            <w:pPr>
              <w:pStyle w:val="PargrafodaLista"/>
              <w:spacing w:line="276" w:lineRule="auto"/>
              <w:ind w:left="0" w:firstLine="0"/>
              <w:jc w:val="center"/>
              <w:cnfStyle w:val="000000100000" w:firstRow="0" w:lastRow="0" w:firstColumn="0" w:lastColumn="0" w:oddVBand="0" w:evenVBand="0" w:oddHBand="1" w:evenHBand="0" w:firstRowFirstColumn="0" w:firstRowLastColumn="0" w:lastRowFirstColumn="0" w:lastRowLastColumn="0"/>
              <w:rPr>
                <w:sz w:val="20"/>
                <w:szCs w:val="16"/>
              </w:rPr>
            </w:pPr>
            <w:r w:rsidRPr="000A3861">
              <w:rPr>
                <w:sz w:val="20"/>
                <w:szCs w:val="16"/>
              </w:rPr>
              <w:t>1.660 m²</w:t>
            </w:r>
          </w:p>
          <w:p w14:paraId="7A6AA83A" w14:textId="77777777" w:rsidR="00992CF5" w:rsidRPr="00453A5E" w:rsidRDefault="00992CF5" w:rsidP="00626587">
            <w:pPr>
              <w:pStyle w:val="PargrafodaLista"/>
              <w:spacing w:line="276" w:lineRule="auto"/>
              <w:ind w:left="0" w:firstLine="0"/>
              <w:jc w:val="center"/>
              <w:cnfStyle w:val="000000100000" w:firstRow="0" w:lastRow="0" w:firstColumn="0" w:lastColumn="0" w:oddVBand="0" w:evenVBand="0" w:oddHBand="1" w:evenHBand="0" w:firstRowFirstColumn="0" w:firstRowLastColumn="0" w:lastRowFirstColumn="0" w:lastRowLastColumn="0"/>
              <w:rPr>
                <w:sz w:val="20"/>
                <w:szCs w:val="16"/>
              </w:rPr>
            </w:pPr>
            <w:r w:rsidRPr="000A3861">
              <w:rPr>
                <w:sz w:val="20"/>
                <w:szCs w:val="16"/>
              </w:rPr>
              <w:t>7</w:t>
            </w:r>
          </w:p>
        </w:tc>
        <w:tc>
          <w:tcPr>
            <w:tcW w:w="0" w:type="auto"/>
            <w:tcBorders>
              <w:top w:val="nil"/>
              <w:bottom w:val="single" w:sz="4" w:space="0" w:color="auto"/>
            </w:tcBorders>
            <w:vAlign w:val="center"/>
          </w:tcPr>
          <w:p w14:paraId="68C4B466" w14:textId="77777777" w:rsidR="00992CF5" w:rsidRPr="00992CF5" w:rsidRDefault="00992CF5" w:rsidP="00626587">
            <w:pPr>
              <w:pStyle w:val="PargrafodaLista"/>
              <w:spacing w:line="276" w:lineRule="auto"/>
              <w:ind w:left="0" w:firstLine="0"/>
              <w:cnfStyle w:val="000000100000" w:firstRow="0" w:lastRow="0" w:firstColumn="0" w:lastColumn="0" w:oddVBand="0" w:evenVBand="0" w:oddHBand="1" w:evenHBand="0" w:firstRowFirstColumn="0" w:firstRowLastColumn="0" w:lastRowFirstColumn="0" w:lastRowLastColumn="0"/>
              <w:rPr>
                <w:sz w:val="20"/>
                <w:szCs w:val="16"/>
                <w:lang w:val="pt-BR"/>
              </w:rPr>
            </w:pPr>
            <w:r w:rsidRPr="00992CF5">
              <w:rPr>
                <w:sz w:val="20"/>
                <w:szCs w:val="16"/>
                <w:lang w:val="pt-BR"/>
              </w:rPr>
              <w:t>Armazenamento de polímeros peletizados, segmentação de acordo com a quantidade solicitada pelo cliente e expedição</w:t>
            </w:r>
          </w:p>
        </w:tc>
      </w:tr>
    </w:tbl>
    <w:p w14:paraId="6E718FAE" w14:textId="24221896" w:rsidR="00992CF5" w:rsidRPr="00281E52" w:rsidRDefault="00281E52" w:rsidP="00281E52">
      <w:pPr>
        <w:jc w:val="center"/>
        <w:rPr>
          <w:b/>
          <w:bCs/>
          <w:lang w:val="pt-BR"/>
        </w:rPr>
      </w:pPr>
      <w:bookmarkStart w:id="18" w:name="_Toc102003237"/>
      <w:r w:rsidRPr="00281E52">
        <w:rPr>
          <w:b/>
          <w:bCs/>
          <w:sz w:val="20"/>
          <w:szCs w:val="16"/>
          <w:lang w:val="pt-BR"/>
        </w:rPr>
        <w:t xml:space="preserve">Tabela </w:t>
      </w:r>
      <w:r w:rsidR="000C240C" w:rsidRPr="000C240C">
        <w:rPr>
          <w:b/>
          <w:bCs/>
          <w:sz w:val="20"/>
          <w:szCs w:val="16"/>
          <w:lang w:val="pt-BR"/>
        </w:rPr>
        <w:t>1</w:t>
      </w:r>
      <w:r w:rsidRPr="00281E52">
        <w:rPr>
          <w:b/>
          <w:bCs/>
          <w:sz w:val="20"/>
          <w:szCs w:val="16"/>
          <w:lang w:val="pt-BR"/>
        </w:rPr>
        <w:t xml:space="preserve"> – </w:t>
      </w:r>
      <w:r w:rsidRPr="00281E52">
        <w:rPr>
          <w:b/>
          <w:bCs/>
          <w:sz w:val="20"/>
          <w:lang w:val="pt-BR"/>
        </w:rPr>
        <w:t>Resumo geral sobre as empresas localizadas na Fase I</w:t>
      </w:r>
      <w:bookmarkEnd w:id="18"/>
    </w:p>
    <w:p w14:paraId="15A20092" w14:textId="77777777" w:rsidR="00992CF5" w:rsidRPr="00992CF5" w:rsidRDefault="00992CF5" w:rsidP="00992CF5">
      <w:pPr>
        <w:pStyle w:val="PargrafodaLista"/>
        <w:ind w:left="0" w:firstLine="720"/>
        <w:rPr>
          <w:szCs w:val="24"/>
          <w:lang w:val="pt-BR"/>
        </w:rPr>
      </w:pPr>
    </w:p>
    <w:p w14:paraId="02FCAC59" w14:textId="4CA302D0" w:rsidR="00992CF5" w:rsidRPr="001841B7" w:rsidRDefault="00992CF5" w:rsidP="00992CF5">
      <w:pPr>
        <w:pStyle w:val="PargrafodaLista"/>
        <w:ind w:left="0"/>
        <w:rPr>
          <w:lang w:val="pt-BR"/>
        </w:rPr>
      </w:pPr>
      <w:r w:rsidRPr="00992CF5">
        <w:rPr>
          <w:szCs w:val="24"/>
          <w:lang w:val="pt-BR"/>
        </w:rPr>
        <w:t xml:space="preserve">Pode-se observar uma diversidade nas atividades executadas pelas empresas localizadas no parque: 3 indústrias (Empresas A, B e C) e 2 centros de distribuição (Empresas D e E), que, ao contrário das indústrias, não realizam atividades de beneficiamento e transformação de materiais. Assim, o parque pode ser caracterizado como misto, possuindo atividades industriais associadas a empresas de logística. </w:t>
      </w:r>
      <w:r w:rsidR="001841B7">
        <w:rPr>
          <w:szCs w:val="24"/>
          <w:lang w:val="pt-BR"/>
        </w:rPr>
        <w:t>N</w:t>
      </w:r>
      <w:r w:rsidRPr="00992CF5">
        <w:rPr>
          <w:lang w:val="pt-BR"/>
        </w:rPr>
        <w:t>enhuma das empresas da Fase I possui um setor de meio ambiente, de modo que colaboradores de outras áreas e com outras formações profissionais acabam por assumir também a responsabilidade pela gestão ambiental da empresa. Essa realidade é comum em empresas de menor porte e acaba por limitar as práticas a ações reativas, podendo ser apontada como uma barreira à transição a EIP</w:t>
      </w:r>
      <w:r w:rsidR="001841B7">
        <w:rPr>
          <w:lang w:val="pt-BR"/>
        </w:rPr>
        <w:t>, mas também como oportunidade para criação de um</w:t>
      </w:r>
      <w:r w:rsidR="001841B7" w:rsidRPr="001841B7">
        <w:rPr>
          <w:lang w:val="pt-BR"/>
        </w:rPr>
        <w:t xml:space="preserve"> grupo de gestão de meio ambiente no parque</w:t>
      </w:r>
      <w:r w:rsidR="001841B7">
        <w:rPr>
          <w:lang w:val="pt-BR"/>
        </w:rPr>
        <w:t>.</w:t>
      </w:r>
    </w:p>
    <w:p w14:paraId="326C7480" w14:textId="536FB5DD" w:rsidR="00992CF5" w:rsidRDefault="00992CF5" w:rsidP="00992CF5">
      <w:pPr>
        <w:pStyle w:val="PargrafodaLista"/>
        <w:ind w:left="0"/>
        <w:rPr>
          <w:lang w:val="pt-BR"/>
        </w:rPr>
      </w:pPr>
      <w:r w:rsidRPr="00992CF5">
        <w:rPr>
          <w:lang w:val="pt-BR"/>
        </w:rPr>
        <w:t xml:space="preserve">Por outro lado, nas Fases II, III e IV, há a previsão de ocupação por grupos de maior porte. Deste modo, espera-se que existam gestores de meio ambiente nas empresas e que sua preocupação ambiental seja maior, mais proativa do que reativa, até mesmo pela cobrança de seus </w:t>
      </w:r>
      <w:r w:rsidRPr="00992CF5">
        <w:rPr>
          <w:i/>
          <w:iCs/>
          <w:lang w:val="pt-BR"/>
        </w:rPr>
        <w:t>stakeholders</w:t>
      </w:r>
      <w:r w:rsidRPr="00992CF5">
        <w:rPr>
          <w:lang w:val="pt-BR"/>
        </w:rPr>
        <w:t xml:space="preserve">. Esse ponto é um elemento positivo para motivar a governança do parque para a transição a EIP. Isso, porque o maior grau de maturidade dos inquilinos pode exigir uma gestão ambiental mais adequada e avançada, em contraposição ao que atualmente é demandado, em razão das empresas da Fase I possuírem uma maturidade ambiental mais básica. </w:t>
      </w:r>
    </w:p>
    <w:p w14:paraId="7FA0C496" w14:textId="77777777" w:rsidR="00807672" w:rsidRPr="00992CF5" w:rsidRDefault="00807672" w:rsidP="00992CF5">
      <w:pPr>
        <w:pStyle w:val="PargrafodaLista"/>
        <w:ind w:left="0"/>
        <w:rPr>
          <w:szCs w:val="24"/>
          <w:lang w:val="pt-BR"/>
        </w:rPr>
      </w:pPr>
    </w:p>
    <w:p w14:paraId="51399456" w14:textId="66EFE803" w:rsidR="00992CF5" w:rsidRPr="00807672" w:rsidRDefault="00992CF5" w:rsidP="000C240C">
      <w:pPr>
        <w:pStyle w:val="Ttulo3"/>
        <w:numPr>
          <w:ilvl w:val="1"/>
          <w:numId w:val="14"/>
        </w:numPr>
        <w:rPr>
          <w:rFonts w:ascii="Times New Roman" w:hAnsi="Times New Roman" w:cs="Times New Roman"/>
          <w:color w:val="auto"/>
        </w:rPr>
      </w:pPr>
      <w:bookmarkStart w:id="19" w:name="_Toc96878021"/>
      <w:bookmarkStart w:id="20" w:name="_Toc96981356"/>
      <w:bookmarkStart w:id="21" w:name="_Toc96981444"/>
      <w:bookmarkStart w:id="22" w:name="_Toc96981563"/>
      <w:bookmarkStart w:id="23" w:name="_Toc96981719"/>
      <w:bookmarkStart w:id="24" w:name="_Toc102331766"/>
      <w:bookmarkEnd w:id="19"/>
      <w:bookmarkEnd w:id="20"/>
      <w:bookmarkEnd w:id="21"/>
      <w:bookmarkEnd w:id="22"/>
      <w:bookmarkEnd w:id="23"/>
      <w:r w:rsidRPr="00807672">
        <w:rPr>
          <w:rFonts w:ascii="Times New Roman" w:hAnsi="Times New Roman" w:cs="Times New Roman"/>
          <w:color w:val="auto"/>
        </w:rPr>
        <w:t>Análise dos processos produtivos</w:t>
      </w:r>
      <w:bookmarkEnd w:id="24"/>
    </w:p>
    <w:p w14:paraId="5AA7D058" w14:textId="77777777" w:rsidR="00807672" w:rsidRPr="00807672" w:rsidRDefault="00807672" w:rsidP="00807672"/>
    <w:p w14:paraId="28FC7F0F" w14:textId="13BE9973" w:rsidR="00992CF5" w:rsidRDefault="00992CF5" w:rsidP="00992CF5">
      <w:pPr>
        <w:pStyle w:val="PargrafodaLista"/>
        <w:ind w:left="0"/>
        <w:rPr>
          <w:szCs w:val="24"/>
          <w:lang w:val="pt-BR"/>
        </w:rPr>
      </w:pPr>
      <w:r w:rsidRPr="00992CF5">
        <w:rPr>
          <w:szCs w:val="24"/>
          <w:lang w:val="pt-BR"/>
        </w:rPr>
        <w:t xml:space="preserve">A partir da coleta de informações pelo questionário e entrevista, foi obtido um panorama acerca das principais entradas e saídas de processo nas empresas avaliadas no estudo de caso na Fase I, como mostra a Figura </w:t>
      </w:r>
      <w:r w:rsidR="006C415C">
        <w:rPr>
          <w:szCs w:val="24"/>
          <w:lang w:val="pt-BR"/>
        </w:rPr>
        <w:t>2</w:t>
      </w:r>
      <w:r w:rsidRPr="00992CF5">
        <w:rPr>
          <w:szCs w:val="24"/>
          <w:lang w:val="pt-BR"/>
        </w:rPr>
        <w:t>. Os recursos empregados para atividades administrativas e para uso humano não foram considerados na figura para fins ilustrativos.</w:t>
      </w:r>
    </w:p>
    <w:p w14:paraId="121179EB" w14:textId="77777777" w:rsidR="006C415C" w:rsidRPr="00992CF5" w:rsidRDefault="006C415C" w:rsidP="00992CF5">
      <w:pPr>
        <w:pStyle w:val="PargrafodaLista"/>
        <w:ind w:left="0"/>
        <w:rPr>
          <w:szCs w:val="24"/>
          <w:lang w:val="pt-BR"/>
        </w:rPr>
      </w:pPr>
    </w:p>
    <w:p w14:paraId="05A03C51" w14:textId="071B9046" w:rsidR="00992CF5" w:rsidRPr="00A80E3D" w:rsidRDefault="001841B7" w:rsidP="00992CF5">
      <w:pPr>
        <w:pStyle w:val="PargrafodaLista"/>
        <w:ind w:left="0"/>
        <w:rPr>
          <w:szCs w:val="24"/>
        </w:rPr>
      </w:pPr>
      <w:r>
        <w:rPr>
          <w:noProof/>
          <w:szCs w:val="24"/>
          <w:lang w:val="pt-BR"/>
        </w:rPr>
        <w:lastRenderedPageBreak/>
        <w:drawing>
          <wp:inline distT="0" distB="0" distL="0" distR="0" wp14:anchorId="28D3C47C" wp14:editId="0B01501E">
            <wp:extent cx="5899291" cy="3618203"/>
            <wp:effectExtent l="0" t="0" r="0" b="1905"/>
            <wp:docPr id="116143285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8505" cy="3636121"/>
                    </a:xfrm>
                    <a:prstGeom prst="rect">
                      <a:avLst/>
                    </a:prstGeom>
                    <a:noFill/>
                  </pic:spPr>
                </pic:pic>
              </a:graphicData>
            </a:graphic>
          </wp:inline>
        </w:drawing>
      </w:r>
    </w:p>
    <w:p w14:paraId="26475CE4" w14:textId="3F3D5316" w:rsidR="006C415C" w:rsidRPr="006C415C" w:rsidRDefault="006C415C" w:rsidP="006C415C">
      <w:pPr>
        <w:pStyle w:val="Legenda"/>
        <w:jc w:val="center"/>
        <w:rPr>
          <w:color w:val="auto"/>
          <w:sz w:val="20"/>
          <w:szCs w:val="20"/>
          <w:lang w:val="pt-BR"/>
        </w:rPr>
      </w:pPr>
      <w:bookmarkStart w:id="25" w:name="_Toc102331699"/>
      <w:r w:rsidRPr="006C415C">
        <w:rPr>
          <w:color w:val="auto"/>
          <w:sz w:val="20"/>
          <w:szCs w:val="20"/>
          <w:lang w:val="pt-BR"/>
        </w:rPr>
        <w:t>Figura 2 – Fluxograma simplificado de entradas e saídas de processo das empresas da Fase I</w:t>
      </w:r>
      <w:bookmarkEnd w:id="25"/>
    </w:p>
    <w:p w14:paraId="6F36B3AF" w14:textId="761CF7C3" w:rsidR="00992CF5" w:rsidRPr="00992CF5" w:rsidRDefault="00992CF5" w:rsidP="00992CF5">
      <w:pPr>
        <w:pStyle w:val="PargrafodaLista"/>
        <w:ind w:left="0"/>
        <w:rPr>
          <w:szCs w:val="24"/>
          <w:lang w:val="pt-BR"/>
        </w:rPr>
      </w:pPr>
      <w:r w:rsidRPr="00992CF5">
        <w:rPr>
          <w:szCs w:val="24"/>
          <w:lang w:val="pt-BR"/>
        </w:rPr>
        <w:t xml:space="preserve">Como pode ser verificado, no </w:t>
      </w:r>
      <w:r w:rsidRPr="00992CF5">
        <w:rPr>
          <w:i/>
          <w:iCs/>
          <w:szCs w:val="24"/>
          <w:lang w:val="pt-BR"/>
        </w:rPr>
        <w:t xml:space="preserve">status </w:t>
      </w:r>
      <w:r w:rsidRPr="00992CF5">
        <w:rPr>
          <w:szCs w:val="24"/>
          <w:lang w:val="pt-BR"/>
        </w:rPr>
        <w:t xml:space="preserve">atual, nenhuma empresa realiza intercâmbios de materiais, água ou energia, distanciando o empreendimento do conceito principal de um EIP. Além disso, por meio da análise realizada, em um primeiro momento, não foram identificadas possibilidades nesse sentido, dado que as atividades são distintas e não se inter-relacionam, mesmo para as duas empresas metalomecânicas. De acordo com a literatura, a diversidade de empresas é um fator considerado como positivo para a realização de intercâmbios simbióticos, visto que há maiores chances e possibilidades para se configurar uma rede </w:t>
      </w:r>
      <w:r>
        <w:rPr>
          <w:szCs w:val="24"/>
        </w:rPr>
        <w:fldChar w:fldCharType="begin" w:fldLock="1"/>
      </w:r>
      <w:r w:rsidRPr="00992CF5">
        <w:rPr>
          <w:szCs w:val="24"/>
          <w:lang w:val="pt-BR"/>
        </w:rPr>
        <w:instrText>ADDIN CSL_CITATION {"citationItems":[{"id":"ITEM-1","itemData":{"DOI":"10.1016/j.jclepro.2008.11.004","abstract":"The necessity to follow the rules of sustainable development in the everyday industrial practice has led to the formulation of the concept of an industrial ecosystem mimicking the natural ecosystem. Following this analogy, the conceptual model of an eco-industrial park, which is an organised form of the industrial ecosystem, was presented in this paper. The model comprises of (1) the structure of the ecosystem, (2) the classification of the enterprises as producers, consumers and decomposers, (3) mass and energy flows and (4) types of interactions. The classification of the enterprises introduced here as well as the analysis of mass and energy flows indicates that the diversity of the enterprises in eco-industrial parks is desired. Furthermore, the minimal condition to create the symbiotic relationships between the enterprises is established, claiming that at least one industrial producer or decomposer must be involved in the eco-industrial park. The application of this model will facilitate the design and development of eco-industrial parks and enable the identification of symbiotic relationships between the entities of such a park and other types of industrial ecosystems. In order to show the applicability of the proposed model and its potential for the practical implementation two case studies are presented. © 2008 Elsevier Ltd. All rights reserved.","author":[{"dropping-particle":"","family":"Liwarska-Bizukojc","given":"E","non-dropping-particle":"","parse-names":false,"suffix":""},{"dropping-particle":"","family":"Bizukojc","given":"M","non-dropping-particle":"","parse-names":false,"suffix":""},{"dropping-particle":"","family":"Marcinkowski","given":"A","non-dropping-particle":"","parse-names":false,"suffix":""},{"dropping-particle":"","family":"Doniec","given":"A","non-dropping-particle":"","parse-names":false,"suffix":""}],"container-title":"Journal of Cleaner Production","id":"ITEM-1","issue":"8","issued":{"date-parts":[["2009"]]},"note":"Export Date: 4 November 2021","page":"732-741","title":"The conceptual model of an eco-industrial park based upon ecological relationships","type":"article-journal","volume":"17"},"uris":["http://www.mendeley.com/documents/?uuid=556860d9-e5d3-45b8-8c20-56f3fb5835e8"]}],"mendeley":{"formattedCitation":"(Liwarska-Bizukojc, Bizukojc, Marcinkowski, &amp; Doniec, 2009)","plainTextFormattedCitation":"(Liwarska-Bizukojc, Bizukojc, Marcinkowski, &amp; Doniec, 2009)","previouslyFormattedCitation":"(Liwarska-Bizukojc, Bizukojc, Marcinkowski, &amp; Doniec, 2009)"},"properties":{"noteIndex":0},"schema":"https://github.com/citation-style-language/schema/raw/master/csl-citation.json"}</w:instrText>
      </w:r>
      <w:r>
        <w:rPr>
          <w:szCs w:val="24"/>
        </w:rPr>
        <w:fldChar w:fldCharType="separate"/>
      </w:r>
      <w:r w:rsidR="00F421CC" w:rsidRPr="00992CF5">
        <w:rPr>
          <w:noProof/>
          <w:szCs w:val="24"/>
          <w:lang w:val="pt-BR"/>
        </w:rPr>
        <w:t xml:space="preserve">(LIWARSKA-BIZUKOJC, </w:t>
      </w:r>
      <w:r w:rsidR="00F421CC">
        <w:rPr>
          <w:noProof/>
          <w:szCs w:val="24"/>
          <w:lang w:val="pt-BR"/>
        </w:rPr>
        <w:t xml:space="preserve">et al., </w:t>
      </w:r>
      <w:r w:rsidR="00F421CC" w:rsidRPr="00992CF5">
        <w:rPr>
          <w:noProof/>
          <w:szCs w:val="24"/>
          <w:lang w:val="pt-BR"/>
        </w:rPr>
        <w:t>2009</w:t>
      </w:r>
      <w:r w:rsidRPr="00992CF5">
        <w:rPr>
          <w:noProof/>
          <w:szCs w:val="24"/>
          <w:lang w:val="pt-BR"/>
        </w:rPr>
        <w:t>)</w:t>
      </w:r>
      <w:r>
        <w:rPr>
          <w:szCs w:val="24"/>
        </w:rPr>
        <w:fldChar w:fldCharType="end"/>
      </w:r>
      <w:r w:rsidRPr="00992CF5">
        <w:rPr>
          <w:szCs w:val="24"/>
          <w:lang w:val="pt-BR"/>
        </w:rPr>
        <w:t xml:space="preserve">. Entretanto, no caso em estudo, são identificadas apenas organizações geradoras de resíduos, quando devem existir, paralelamente, empresas consumidoras para viabilizar as relações simbióticas, conforme discutem </w:t>
      </w:r>
      <w:r>
        <w:rPr>
          <w:szCs w:val="24"/>
        </w:rPr>
        <w:fldChar w:fldCharType="begin" w:fldLock="1"/>
      </w:r>
      <w:r w:rsidRPr="00992CF5">
        <w:rPr>
          <w:szCs w:val="24"/>
          <w:lang w:val="pt-BR"/>
        </w:rPr>
        <w:instrText>ADDIN CSL_CITATION {"citationItems":[{"id":"ITEM-1","itemData":{"DOI":"10.1080/13504500209470128","abstract":"Industrial ecology is an approach to industrial development which emphasizes material cycling and webs of producers, consumers, scavengers and decomposers, and encourages resource conservation and waste prevention that leads to improved efficiency, competitiveness and sustainability. This article first introduces the functions and roles of scavengers and decomposers in the natural ecosystem. Then, by using this natural system metaphor, it studies how the industrial world can realize closing loop operation by encouraging the development of scavenger and decomposer businesses. A case study of Burnside Industrial Park is employed to further help the reader understand how to analyze the roles and functions of different businesses in an industrial system. © 2002 Taylor &amp; Francis Group, LLC.","author":[{"dropping-particle":"","family":"Geng","given":"Y","non-dropping-particle":"","parse-names":false,"suffix":""},{"dropping-particle":"","family":"Côté","given":"R P","non-dropping-particle":"","parse-names":false,"suffix":""}],"container-title":"International Journal of Sustainable Development and World Ecology","id":"ITEM-1","issue":"4","issued":{"date-parts":[["2002"]]},"note":"Burnisde EIP:\n1300 business\nintercambio de resíduos para reciclagem, entre empresas, não oferecida pelo parque","page":"333-340","title":"Scavengers and decomposers in an eco-industrial park","type":"article-journal","volume":"9"},"uris":["http://www.mendeley.com/documents/?uuid=ebd4277d-e2e6-422e-b1b7-beb41331a62a"]}],"mendeley":{"formattedCitation":"(Geng &amp; Côté, 2002)","manualFormatting":"Geng e Côte (2002)","plainTextFormattedCitation":"(Geng &amp; Côté, 2002)","previouslyFormattedCitation":"(Geng &amp; Côté, 2002)"},"properties":{"noteIndex":0},"schema":"https://github.com/citation-style-language/schema/raw/master/csl-citation.json"}</w:instrText>
      </w:r>
      <w:r>
        <w:rPr>
          <w:szCs w:val="24"/>
        </w:rPr>
        <w:fldChar w:fldCharType="separate"/>
      </w:r>
      <w:r w:rsidRPr="00992CF5">
        <w:rPr>
          <w:noProof/>
          <w:szCs w:val="24"/>
          <w:lang w:val="pt-BR"/>
        </w:rPr>
        <w:t>Geng e Côte (2002)</w:t>
      </w:r>
      <w:r>
        <w:rPr>
          <w:szCs w:val="24"/>
        </w:rPr>
        <w:fldChar w:fldCharType="end"/>
      </w:r>
      <w:r w:rsidRPr="00992CF5">
        <w:rPr>
          <w:szCs w:val="24"/>
          <w:lang w:val="pt-BR"/>
        </w:rPr>
        <w:t xml:space="preserve">. </w:t>
      </w:r>
      <w:r w:rsidR="00F421CC">
        <w:rPr>
          <w:szCs w:val="24"/>
          <w:lang w:val="pt-BR"/>
        </w:rPr>
        <w:t xml:space="preserve">Todavia, por gerarem resíduos sólidos de tipologias semelhantes, essa pode ser uma oportunidade. </w:t>
      </w:r>
      <w:r w:rsidRPr="00992CF5">
        <w:rPr>
          <w:szCs w:val="24"/>
          <w:lang w:val="pt-BR"/>
        </w:rPr>
        <w:t xml:space="preserve">A perspectiva para as Fases II, III e IV é que essa diversidade seja ainda menor, tendo em vista que os pavilhões serão dedicados a atividades de logística. </w:t>
      </w:r>
    </w:p>
    <w:p w14:paraId="20982CA0" w14:textId="35CDDE31" w:rsidR="00992CF5" w:rsidRDefault="00992CF5" w:rsidP="00992CF5">
      <w:pPr>
        <w:pStyle w:val="PargrafodaLista"/>
        <w:ind w:left="0"/>
        <w:rPr>
          <w:szCs w:val="24"/>
          <w:lang w:val="pt-BR"/>
        </w:rPr>
      </w:pPr>
      <w:r w:rsidRPr="00992CF5">
        <w:rPr>
          <w:szCs w:val="24"/>
          <w:lang w:val="pt-BR"/>
        </w:rPr>
        <w:t xml:space="preserve">Nada obstante, a ausência de relações simbióticas envolvendo intercâmbios físicos era, de certa forma, esperada para o estudo de caso. De fato, essa limitação serviu como uma das motivações para a execução do estudo nesse tipo de empreendimento, a fim de verificar de que outra forma a Simbiose Industrial e a Ecologia Industrial poderiam colaborar com a gestão de recursos e melhorias socioambientais. Enquanto nos complexos industriais clássicos há maior propensão em existir certa similaridade e complementariedade, nos parques mistos não há interações óbvias entre as organizações em termos de materiais, água e energia, tornando-se mais desafiador encontrar potenciais sinergias </w:t>
      </w:r>
      <w:r>
        <w:rPr>
          <w:szCs w:val="24"/>
        </w:rPr>
        <w:fldChar w:fldCharType="begin" w:fldLock="1"/>
      </w:r>
      <w:r w:rsidRPr="00992CF5">
        <w:rPr>
          <w:szCs w:val="24"/>
          <w:lang w:val="pt-BR"/>
        </w:rPr>
        <w:instrText>ADDIN CSL_CITATION {"citationItems":[{"id":"ITEM-1","itemData":{"DOI":"10.1016/S0166-4972(01)00040-2","ISSN":"01664972","abstract":"In several industrialised countries, there have occurred initiatives to establish eco-industrial parks. Originally, these were mainly based upon the exchange of resources between heavy industries in industrial complexes. These initiatives are generally referred to with the concepts of industrial symbiosis and eco-industrial parks. Since then, the concept of eco-industrial parks has been extended to another relevant type of industrial park, the so-called mixed industrial park, which consists of various small- and medium-sized enterprises (SMEs), sometimes complemented by a small number of larger industries. Because of the resulting growing ambiguity in the significance of eco-industrial park initiatives, a typology is desirable for entangling the confusion that is introduced. It is argued that mixed industrial parks are poorly investigated although they have a major environmental and spatial impact. Starting from a general consideration of eco-industrial park initiatives, this paper describes the societal and environmental problems that are related to the mixed industrial parks, proposes solutions and discusses the counteracting factors. While our argument relates strongly to the traditionally industrialised countries, it is also relevant to newly industrialised countries, as they are faced with similar problems, or will encounter them in the near future. © 2002 Elsevier Science Ltd. All rights reserved.","author":[{"dropping-particle":"","family":"Lambert","given":"A. J.D. D","non-dropping-particle":"","parse-names":false,"suffix":""},{"dropping-particle":"","family":"Boons","given":"F. A.","non-dropping-particle":"","parse-names":false,"suffix":""}],"container-title":"Technovation","id":"ITEM-1","issue":"8","issued":{"date-parts":[["2002","8","1"]]},"note":"From Duplicate 2 (Eco-industrial parks: Stimulating sustainable development in mixed industrial parks - Lambert, A J D; Boons, F A)\n\nThey mainly include the establishment of an information centre for cleaner production (Eco-Efficiency Centre) and some regulation on the environ-mental performance of individual companies.","page":"471-484","publisher":"Elsevier","title":"Eco-industrial parks: Stimulating sustainable development in mixed industrial parks","type":"article-journal","volume":"22"},"uris":["http://www.mendeley.com/documents/?uuid=ac87d77a-0d15-4cc2-ab0f-11ff4351f11d"]}],"mendeley":{"formattedCitation":"(A. J. D. D. Lambert &amp; Boons, 2002)","manualFormatting":"(LAMBERT; BOONS, 2002)","plainTextFormattedCitation":"(A. J. D. D. Lambert &amp; Boons, 2002)","previouslyFormattedCitation":"(A. J. D. D. Lambert &amp; Boons, 2002)"},"properties":{"noteIndex":0},"schema":"https://github.com/citation-style-language/schema/raw/master/csl-citation.json"}</w:instrText>
      </w:r>
      <w:r>
        <w:rPr>
          <w:szCs w:val="24"/>
        </w:rPr>
        <w:fldChar w:fldCharType="separate"/>
      </w:r>
      <w:r w:rsidRPr="00992CF5">
        <w:rPr>
          <w:noProof/>
          <w:szCs w:val="24"/>
          <w:lang w:val="pt-BR"/>
        </w:rPr>
        <w:t>(LAMBERT; BOONS, 2002)</w:t>
      </w:r>
      <w:r>
        <w:rPr>
          <w:szCs w:val="24"/>
        </w:rPr>
        <w:fldChar w:fldCharType="end"/>
      </w:r>
      <w:r w:rsidRPr="00992CF5">
        <w:rPr>
          <w:szCs w:val="24"/>
          <w:lang w:val="pt-BR"/>
        </w:rPr>
        <w:t xml:space="preserve">. </w:t>
      </w:r>
      <w:r w:rsidR="00F421CC">
        <w:rPr>
          <w:szCs w:val="24"/>
          <w:lang w:val="pt-BR"/>
        </w:rPr>
        <w:t xml:space="preserve"> </w:t>
      </w:r>
      <w:r w:rsidRPr="00992CF5">
        <w:rPr>
          <w:szCs w:val="24"/>
          <w:lang w:val="pt-BR"/>
        </w:rPr>
        <w:t xml:space="preserve">Nesse sentido, as oportunidades de aplicação da SI como fator determinante para transição a EIP devem passar </w:t>
      </w:r>
      <w:r w:rsidRPr="00992CF5">
        <w:rPr>
          <w:szCs w:val="24"/>
          <w:lang w:val="pt-BR"/>
        </w:rPr>
        <w:lastRenderedPageBreak/>
        <w:t xml:space="preserve">por outras estratégias, inclusive mencionadas pelos gestores entrevistados, como o compartilhamento de serviços, utilidades e informações. Concomitantemente, ações complementares são sugeridas, visando aumentar o potencial simbiótico entre as organizações e entre o parque e seus </w:t>
      </w:r>
      <w:r w:rsidRPr="00992CF5">
        <w:rPr>
          <w:i/>
          <w:iCs/>
          <w:szCs w:val="24"/>
          <w:lang w:val="pt-BR"/>
        </w:rPr>
        <w:t>stakeholders</w:t>
      </w:r>
      <w:r w:rsidRPr="00992CF5">
        <w:rPr>
          <w:szCs w:val="24"/>
          <w:lang w:val="pt-BR"/>
        </w:rPr>
        <w:t>.</w:t>
      </w:r>
    </w:p>
    <w:p w14:paraId="387D9C4A" w14:textId="77777777" w:rsidR="00807672" w:rsidRPr="00992CF5" w:rsidRDefault="00807672" w:rsidP="00992CF5">
      <w:pPr>
        <w:pStyle w:val="PargrafodaLista"/>
        <w:ind w:left="0"/>
        <w:rPr>
          <w:szCs w:val="24"/>
          <w:lang w:val="pt-BR"/>
        </w:rPr>
      </w:pPr>
    </w:p>
    <w:p w14:paraId="0FC479DB" w14:textId="3793DAEC" w:rsidR="000C240C" w:rsidRPr="000C240C" w:rsidRDefault="00992CF5" w:rsidP="000C240C">
      <w:pPr>
        <w:pStyle w:val="Ttulo2"/>
        <w:numPr>
          <w:ilvl w:val="1"/>
          <w:numId w:val="14"/>
        </w:numPr>
        <w:tabs>
          <w:tab w:val="num" w:pos="360"/>
        </w:tabs>
        <w:ind w:left="0" w:firstLine="0"/>
        <w:rPr>
          <w:rFonts w:ascii="Times New Roman" w:hAnsi="Times New Roman" w:cs="Times New Roman"/>
          <w:color w:val="auto"/>
          <w:sz w:val="24"/>
          <w:szCs w:val="24"/>
        </w:rPr>
      </w:pPr>
      <w:bookmarkStart w:id="26" w:name="_Toc96878025"/>
      <w:bookmarkStart w:id="27" w:name="_Toc96981360"/>
      <w:bookmarkStart w:id="28" w:name="_Toc96981448"/>
      <w:bookmarkStart w:id="29" w:name="_Toc96981567"/>
      <w:bookmarkStart w:id="30" w:name="_Toc96981723"/>
      <w:bookmarkStart w:id="31" w:name="_Toc102331775"/>
      <w:bookmarkEnd w:id="26"/>
      <w:bookmarkEnd w:id="27"/>
      <w:bookmarkEnd w:id="28"/>
      <w:bookmarkEnd w:id="29"/>
      <w:bookmarkEnd w:id="30"/>
      <w:r w:rsidRPr="00807672">
        <w:rPr>
          <w:rFonts w:ascii="Times New Roman" w:hAnsi="Times New Roman" w:cs="Times New Roman"/>
          <w:color w:val="auto"/>
          <w:sz w:val="24"/>
          <w:szCs w:val="24"/>
        </w:rPr>
        <w:t>Plano de Ação</w:t>
      </w:r>
      <w:bookmarkEnd w:id="31"/>
    </w:p>
    <w:p w14:paraId="40AF5AA5" w14:textId="77777777" w:rsidR="00807672" w:rsidRPr="00807672" w:rsidRDefault="00807672" w:rsidP="00807672"/>
    <w:p w14:paraId="21449295" w14:textId="6F7FD338" w:rsidR="00992CF5" w:rsidRPr="00C14E3D" w:rsidRDefault="00992CF5" w:rsidP="00992CF5">
      <w:pPr>
        <w:rPr>
          <w:lang w:val="pt-BR"/>
        </w:rPr>
        <w:sectPr w:rsidR="00992CF5" w:rsidRPr="00C14E3D" w:rsidSect="006C760E">
          <w:headerReference w:type="default" r:id="rId10"/>
          <w:footnotePr>
            <w:numRestart w:val="eachSect"/>
          </w:footnotePr>
          <w:pgSz w:w="11906" w:h="16838" w:code="9"/>
          <w:pgMar w:top="1701" w:right="1134" w:bottom="1134" w:left="1701" w:header="1134" w:footer="709" w:gutter="0"/>
          <w:cols w:space="708"/>
          <w:docGrid w:linePitch="360"/>
        </w:sectPr>
      </w:pPr>
      <w:r w:rsidRPr="00C14E3D">
        <w:rPr>
          <w:lang w:val="pt-BR"/>
        </w:rPr>
        <w:t xml:space="preserve">De acordo com </w:t>
      </w:r>
      <w:r>
        <w:fldChar w:fldCharType="begin" w:fldLock="1"/>
      </w:r>
      <w:r>
        <w:rPr>
          <w:lang w:val="pt-BR"/>
        </w:rPr>
        <w:instrText>ADDIN CSL_CITATION {"citationItems":[{"id":"ITEM-1","itemData":{"DOI":"10.1016/j.jenvman.2021.112735","ISSN":"10958630","PMID":"33992872","abstract":"Eco-industrial parks promise to reduce environmental and social impacts and improve the economic performance of industrial parks. However, the transition from industrial parks to eco-industrial parks is still not well understood. This study contributes to developing valid hierarchical eco-industrial park transition attribute sets with qualitative information, as prior studies lack an exploration of the attributes in the transition of eco-industrial parks in Hungary. In nature, eco-industrial park transition attributes have causal and hierarchical interrelationships and are described with qualitative information. The assessment involves an analysis of the industrial symbiosis principles by using linguistic preferences. However, multiple attributes are involved in the assessment; therefore, this study proposes the Delphi method to develop a valid attribute set and applies fuzzy set theory to translate qualitative information into crisp values. The fuzzy decision-making trial evaluation laboratory method is used to visualize the attributes’ causal interrelationships under uncertainties. The results indicate that the policy and regulatory framework leads to collaboration among firms in the eco-industrial park transition model. In practice, price reforms, management commitment, strategic planning, cognitive barriers and the integration of external information are the practical criteria for improvement. Theoretical and practical implications are also discussed. © 2021 Elsevier Ltd","author":[{"dropping-particle":"","family":"Tseng","given":"M.-L. Ming Lang","non-dropping-particle":"","parse-names":false,"suffix":""},{"dropping-particle":"","family":"Negash","given":"Yeneneh Tamirat","non-dropping-particle":"","parse-names":false,"suffix":""},{"dropping-particle":"","family":"Nagypál","given":"Noémi Csigéné","non-dropping-particle":"","parse-names":false,"suffix":""},{"dropping-particle":"","family":"Iranmanesh","given":"Mohammad","non-dropping-particle":"","parse-names":false,"suffix":""},{"dropping-particle":"","family":"Tan","given":"Raymond R.","non-dropping-particle":"","parse-names":false,"suffix":""}],"container-title":"Journal of Environmental Management","id":"ITEM-1","issued":{"date-parts":[["2021","8","15"]]},"note":"From Duplicate 2 (A causal eco-industrial park hierarchical transition model with qualitative information: Policy and regulatory framework leads to collaboration among firms - Tseng, M.-L. Ming Lang; Negash, Yeneneh Tamirat; Nagypál, Noémi Csigéné; Iranmanesh, Mohammad; Tan, Raymond R.)\n\nFrom Duplicate 2 (A causal eco-industrial park hierarchical transition model with qualitative information: Policy and regulatory framework leads to collaboration among firms - Tseng, M.-L.; Negash, Y T; Nagypál, N C; Iranmanesh, M; Tan, R R)\n\nExport Date: 4 November 2021\n\nFrom Duplicate 3 (A causal eco-industrial park hierarchical transition model with qualitative information: Policy and regulatory framework leads to collaboration among firms - Tseng, M.-L.; Negash, Y T; Nagypál, N C; Iranmanesh, M; Tan, R R)\n\nExport Date: 4 November 2021","page":"112735","publisher":"Academic Press","title":"A causal eco-industrial park hierarchical transition model with qualitative information: Policy and regulatory framework leads to collaboration among firms","type":"article-journal","volume":"292"},"uris":["http://www.mendeley.com/documents/?uuid=d7a8eaf5-e50c-436c-84f9-2f16b8dcbbee"]}],"mendeley":{"formattedCitation":"(Tseng et al., 2021)","manualFormatting":"Tseng et al. (2021)","plainTextFormattedCitation":"(Tseng et al., 2021)","previouslyFormattedCitation":"(Tseng et al., 2021)"},"properties":{"noteIndex":0},"schema":"https://github.com/citation-style-language/schema/raw/master/csl-citation.json"}</w:instrText>
      </w:r>
      <w:r>
        <w:fldChar w:fldCharType="separate"/>
      </w:r>
      <w:r w:rsidRPr="00C14E3D">
        <w:rPr>
          <w:noProof/>
          <w:lang w:val="pt-BR"/>
        </w:rPr>
        <w:t xml:space="preserve">Tseng </w:t>
      </w:r>
      <w:r w:rsidRPr="00C14E3D">
        <w:rPr>
          <w:i/>
          <w:noProof/>
          <w:lang w:val="pt-BR"/>
        </w:rPr>
        <w:t>et al.</w:t>
      </w:r>
      <w:r w:rsidRPr="00C14E3D">
        <w:rPr>
          <w:noProof/>
          <w:lang w:val="pt-BR"/>
        </w:rPr>
        <w:t xml:space="preserve"> (2021)</w:t>
      </w:r>
      <w:r>
        <w:fldChar w:fldCharType="end"/>
      </w:r>
      <w:r w:rsidRPr="00C14E3D">
        <w:rPr>
          <w:lang w:val="pt-BR"/>
        </w:rPr>
        <w:t xml:space="preserve">, a transição a EIP é um processo que exige ações coordenadas e esforços constantes para alcançar uma cultura de sinergia e cooperação. Assim sendo, um Plano de Ação foi formulado a partir das experiências e metodologia adotada, sendo apresentado na Tabela </w:t>
      </w:r>
      <w:r w:rsidR="000C240C">
        <w:rPr>
          <w:lang w:val="pt-BR"/>
        </w:rPr>
        <w:t>2</w:t>
      </w:r>
      <w:r w:rsidRPr="00C14E3D">
        <w:rPr>
          <w:lang w:val="pt-BR"/>
        </w:rPr>
        <w:t>. As estratégias estão estruturadas em uma sequência lógica de implementação, apresentando uma interface com o modelo proposto por Rocha (2010). Inicialmente, tem-se um enfoque para as questões legais e organizacionais, indispensáveis para a operação adequada dos empreendimentos e para o processo de aprendizagem organizacional e implantação de uma cultura preventiva. O amadurecimento por parte dos gestores das empresas e do Ecoparque acarretam que ações mais avançadas sejam propostas</w:t>
      </w:r>
      <w:r w:rsidR="000C240C">
        <w:rPr>
          <w:lang w:val="pt-BR"/>
        </w:rPr>
        <w:t>.</w:t>
      </w:r>
    </w:p>
    <w:p w14:paraId="5EB82A1B" w14:textId="79E0D23E" w:rsidR="00992CF5" w:rsidRPr="000C240C" w:rsidRDefault="00992CF5" w:rsidP="000C240C">
      <w:pPr>
        <w:jc w:val="center"/>
        <w:rPr>
          <w:b/>
          <w:bCs/>
          <w:sz w:val="20"/>
          <w:szCs w:val="16"/>
          <w:lang w:val="pt-BR"/>
        </w:rPr>
      </w:pPr>
      <w:r w:rsidRPr="000C240C">
        <w:rPr>
          <w:b/>
          <w:bCs/>
          <w:sz w:val="20"/>
          <w:szCs w:val="16"/>
          <w:lang w:val="pt-BR"/>
        </w:rPr>
        <w:lastRenderedPageBreak/>
        <w:t xml:space="preserve">Tabela </w:t>
      </w:r>
      <w:r w:rsidR="000C240C" w:rsidRPr="000C240C">
        <w:rPr>
          <w:b/>
          <w:bCs/>
          <w:sz w:val="20"/>
          <w:szCs w:val="16"/>
          <w:lang w:val="pt-BR"/>
        </w:rPr>
        <w:t>2</w:t>
      </w:r>
      <w:r w:rsidRPr="000C240C">
        <w:rPr>
          <w:b/>
          <w:bCs/>
          <w:sz w:val="20"/>
          <w:szCs w:val="16"/>
          <w:lang w:val="pt-BR"/>
        </w:rPr>
        <w:t xml:space="preserve"> – Plano de Ação: o quê, por quê, como e quando iniciar as ações</w:t>
      </w:r>
    </w:p>
    <w:p w14:paraId="5A342EB1" w14:textId="77777777" w:rsidR="00992CF5" w:rsidRPr="000A3861" w:rsidRDefault="00992CF5" w:rsidP="00626587">
      <w:pPr>
        <w:ind w:right="-881"/>
        <w:jc w:val="right"/>
        <w:rPr>
          <w:sz w:val="20"/>
        </w:rPr>
      </w:pPr>
      <w:r w:rsidRPr="000A3861">
        <w:rPr>
          <w:sz w:val="20"/>
        </w:rPr>
        <w:t>(continua)</w:t>
      </w:r>
    </w:p>
    <w:tbl>
      <w:tblPr>
        <w:tblW w:w="14884" w:type="dxa"/>
        <w:tblLook w:val="04A0" w:firstRow="1" w:lastRow="0" w:firstColumn="1" w:lastColumn="0" w:noHBand="0" w:noVBand="1"/>
      </w:tblPr>
      <w:tblGrid>
        <w:gridCol w:w="1701"/>
        <w:gridCol w:w="6554"/>
        <w:gridCol w:w="5212"/>
        <w:gridCol w:w="1417"/>
      </w:tblGrid>
      <w:tr w:rsidR="00992CF5" w:rsidRPr="00E6005F" w14:paraId="5B28E2A1" w14:textId="77777777" w:rsidTr="00F421CC">
        <w:trPr>
          <w:trHeight w:val="268"/>
        </w:trPr>
        <w:tc>
          <w:tcPr>
            <w:tcW w:w="1701" w:type="dxa"/>
            <w:tcBorders>
              <w:top w:val="single" w:sz="4" w:space="0" w:color="auto"/>
              <w:bottom w:val="single" w:sz="4" w:space="0" w:color="auto"/>
            </w:tcBorders>
            <w:vAlign w:val="center"/>
          </w:tcPr>
          <w:p w14:paraId="1EF010D2" w14:textId="77777777" w:rsidR="00992CF5" w:rsidRPr="00030002" w:rsidRDefault="00992CF5" w:rsidP="00626587">
            <w:pPr>
              <w:pStyle w:val="PargrafodaLista"/>
              <w:ind w:left="0" w:firstLine="0"/>
              <w:rPr>
                <w:b/>
                <w:bCs/>
                <w:i/>
                <w:iCs/>
                <w:color w:val="000000" w:themeColor="text1"/>
                <w:sz w:val="20"/>
              </w:rPr>
            </w:pPr>
            <w:r w:rsidRPr="00030002">
              <w:rPr>
                <w:b/>
                <w:bCs/>
                <w:color w:val="000000" w:themeColor="text1"/>
                <w:sz w:val="20"/>
              </w:rPr>
              <w:t>O que</w:t>
            </w:r>
            <w:r>
              <w:rPr>
                <w:b/>
                <w:bCs/>
                <w:color w:val="000000" w:themeColor="text1"/>
                <w:sz w:val="20"/>
              </w:rPr>
              <w:t xml:space="preserve"> fazer</w:t>
            </w:r>
            <w:r w:rsidRPr="00030002">
              <w:rPr>
                <w:b/>
                <w:bCs/>
                <w:color w:val="000000" w:themeColor="text1"/>
                <w:sz w:val="20"/>
              </w:rPr>
              <w:t>?</w:t>
            </w:r>
          </w:p>
        </w:tc>
        <w:tc>
          <w:tcPr>
            <w:tcW w:w="6554" w:type="dxa"/>
            <w:tcBorders>
              <w:top w:val="single" w:sz="4" w:space="0" w:color="auto"/>
              <w:bottom w:val="single" w:sz="4" w:space="0" w:color="auto"/>
            </w:tcBorders>
            <w:vAlign w:val="center"/>
          </w:tcPr>
          <w:p w14:paraId="7AC21DEE" w14:textId="77777777" w:rsidR="00992CF5" w:rsidRPr="00030002" w:rsidRDefault="00992CF5" w:rsidP="00626587">
            <w:pPr>
              <w:pStyle w:val="PargrafodaLista"/>
              <w:ind w:left="0" w:firstLine="0"/>
              <w:jc w:val="center"/>
              <w:rPr>
                <w:b/>
                <w:bCs/>
                <w:i/>
                <w:iCs/>
                <w:color w:val="000000" w:themeColor="text1"/>
                <w:sz w:val="20"/>
              </w:rPr>
            </w:pPr>
            <w:r w:rsidRPr="00030002">
              <w:rPr>
                <w:b/>
                <w:bCs/>
                <w:color w:val="000000" w:themeColor="text1"/>
                <w:sz w:val="20"/>
              </w:rPr>
              <w:t>Por que fazer?</w:t>
            </w:r>
          </w:p>
        </w:tc>
        <w:tc>
          <w:tcPr>
            <w:tcW w:w="5212" w:type="dxa"/>
            <w:tcBorders>
              <w:top w:val="single" w:sz="4" w:space="0" w:color="auto"/>
              <w:bottom w:val="single" w:sz="4" w:space="0" w:color="auto"/>
            </w:tcBorders>
            <w:vAlign w:val="center"/>
          </w:tcPr>
          <w:p w14:paraId="040324E8" w14:textId="77777777" w:rsidR="00992CF5" w:rsidRPr="00030002" w:rsidRDefault="00992CF5" w:rsidP="00626587">
            <w:pPr>
              <w:pStyle w:val="PargrafodaLista"/>
              <w:ind w:left="0" w:firstLine="0"/>
              <w:jc w:val="center"/>
              <w:rPr>
                <w:b/>
                <w:bCs/>
                <w:i/>
                <w:iCs/>
                <w:color w:val="000000" w:themeColor="text1"/>
                <w:sz w:val="20"/>
              </w:rPr>
            </w:pPr>
            <w:r w:rsidRPr="00030002">
              <w:rPr>
                <w:b/>
                <w:bCs/>
                <w:color w:val="000000" w:themeColor="text1"/>
                <w:sz w:val="20"/>
              </w:rPr>
              <w:t>Como fazer?</w:t>
            </w:r>
          </w:p>
        </w:tc>
        <w:tc>
          <w:tcPr>
            <w:tcW w:w="1417" w:type="dxa"/>
            <w:tcBorders>
              <w:top w:val="single" w:sz="4" w:space="0" w:color="auto"/>
              <w:bottom w:val="single" w:sz="4" w:space="0" w:color="auto"/>
            </w:tcBorders>
            <w:vAlign w:val="center"/>
          </w:tcPr>
          <w:p w14:paraId="07AB8C0F" w14:textId="77777777" w:rsidR="00992CF5" w:rsidRPr="00030002" w:rsidRDefault="00992CF5" w:rsidP="00626587">
            <w:pPr>
              <w:pStyle w:val="PargrafodaLista"/>
              <w:ind w:left="0" w:firstLine="0"/>
              <w:rPr>
                <w:b/>
                <w:bCs/>
                <w:color w:val="000000" w:themeColor="text1"/>
                <w:sz w:val="20"/>
              </w:rPr>
            </w:pPr>
            <w:r w:rsidRPr="00030002">
              <w:rPr>
                <w:b/>
                <w:bCs/>
                <w:color w:val="000000" w:themeColor="text1"/>
                <w:sz w:val="20"/>
              </w:rPr>
              <w:t>Quando fazer?</w:t>
            </w:r>
          </w:p>
        </w:tc>
      </w:tr>
      <w:tr w:rsidR="00992CF5" w:rsidRPr="00E6005F" w14:paraId="6D3E4ECE" w14:textId="77777777" w:rsidTr="0060764D">
        <w:trPr>
          <w:trHeight w:val="1418"/>
        </w:trPr>
        <w:tc>
          <w:tcPr>
            <w:tcW w:w="1701" w:type="dxa"/>
            <w:tcBorders>
              <w:top w:val="single" w:sz="4" w:space="0" w:color="auto"/>
            </w:tcBorders>
            <w:vAlign w:val="center"/>
          </w:tcPr>
          <w:p w14:paraId="4A8B29C2" w14:textId="47FC77A7" w:rsidR="00992CF5" w:rsidRPr="00992CF5" w:rsidRDefault="00992CF5" w:rsidP="00626587">
            <w:pPr>
              <w:pStyle w:val="PargrafodaLista"/>
              <w:ind w:left="0" w:firstLine="0"/>
              <w:rPr>
                <w:b/>
                <w:bCs/>
                <w:color w:val="000000" w:themeColor="text1"/>
                <w:sz w:val="20"/>
                <w:lang w:val="pt-BR"/>
              </w:rPr>
            </w:pPr>
            <w:r w:rsidRPr="00992CF5">
              <w:rPr>
                <w:color w:val="000000" w:themeColor="text1"/>
                <w:sz w:val="20"/>
                <w:lang w:val="pt-BR"/>
              </w:rPr>
              <w:t>1 –</w:t>
            </w:r>
            <w:r w:rsidR="00626587">
              <w:rPr>
                <w:color w:val="000000" w:themeColor="text1"/>
                <w:sz w:val="20"/>
                <w:lang w:val="pt-BR"/>
              </w:rPr>
              <w:t xml:space="preserve"> </w:t>
            </w:r>
            <w:r w:rsidRPr="00992CF5">
              <w:rPr>
                <w:color w:val="000000" w:themeColor="text1"/>
                <w:sz w:val="20"/>
                <w:lang w:val="pt-BR"/>
              </w:rPr>
              <w:t>Normas Ambientais Internas do Ecoparque</w:t>
            </w:r>
          </w:p>
        </w:tc>
        <w:tc>
          <w:tcPr>
            <w:tcW w:w="6554" w:type="dxa"/>
            <w:tcBorders>
              <w:top w:val="single" w:sz="4" w:space="0" w:color="auto"/>
            </w:tcBorders>
            <w:vAlign w:val="center"/>
          </w:tcPr>
          <w:p w14:paraId="57CDC733" w14:textId="77777777" w:rsidR="00992CF5" w:rsidRPr="00030002" w:rsidRDefault="00992CF5" w:rsidP="00626587">
            <w:pPr>
              <w:pStyle w:val="PargrafodaLista"/>
              <w:ind w:left="0" w:firstLine="0"/>
              <w:rPr>
                <w:b/>
                <w:bCs/>
                <w:color w:val="000000" w:themeColor="text1"/>
                <w:sz w:val="20"/>
              </w:rPr>
            </w:pPr>
            <w:r w:rsidRPr="00992CF5">
              <w:rPr>
                <w:color w:val="000000" w:themeColor="text1"/>
                <w:sz w:val="20"/>
                <w:lang w:val="pt-BR"/>
              </w:rPr>
              <w:t xml:space="preserve">Demonstra organização, padronização e comprometimento com as questões ambientais e sociais (internas e externas), além de ser um resguardo legal. </w:t>
            </w:r>
            <w:r w:rsidRPr="00030002">
              <w:rPr>
                <w:color w:val="000000" w:themeColor="text1"/>
                <w:sz w:val="20"/>
              </w:rPr>
              <w:t>Permite maior controle sobre a conduta de seus inquilinos.</w:t>
            </w:r>
          </w:p>
        </w:tc>
        <w:tc>
          <w:tcPr>
            <w:tcW w:w="5212" w:type="dxa"/>
            <w:tcBorders>
              <w:top w:val="single" w:sz="4" w:space="0" w:color="auto"/>
            </w:tcBorders>
            <w:vAlign w:val="center"/>
          </w:tcPr>
          <w:p w14:paraId="0C5FD38F" w14:textId="77777777" w:rsidR="00992CF5" w:rsidRPr="00030002" w:rsidRDefault="00992CF5" w:rsidP="00626587">
            <w:pPr>
              <w:pStyle w:val="PargrafodaLista"/>
              <w:ind w:left="0" w:firstLine="0"/>
              <w:rPr>
                <w:b/>
                <w:bCs/>
                <w:color w:val="000000" w:themeColor="text1"/>
                <w:sz w:val="20"/>
              </w:rPr>
            </w:pPr>
            <w:r w:rsidRPr="00992CF5">
              <w:rPr>
                <w:color w:val="000000" w:themeColor="text1"/>
                <w:sz w:val="20"/>
                <w:lang w:val="pt-BR"/>
              </w:rPr>
              <w:t xml:space="preserve">Agregar às Normas Internas do Ecoparque já existentes as questões ambientais legais pertinentes ao licenciamento ambiental, gerenciamento de resíduos, uso consciente de recursos materiais, água e energia, prevenção de acidentes ambientais e de poluição. </w:t>
            </w:r>
            <w:r>
              <w:rPr>
                <w:color w:val="000000" w:themeColor="text1"/>
                <w:sz w:val="20"/>
              </w:rPr>
              <w:t>A</w:t>
            </w:r>
            <w:r w:rsidRPr="00030002">
              <w:rPr>
                <w:color w:val="000000" w:themeColor="text1"/>
                <w:sz w:val="20"/>
              </w:rPr>
              <w:t>provar mediante Convenção.</w:t>
            </w:r>
          </w:p>
        </w:tc>
        <w:tc>
          <w:tcPr>
            <w:tcW w:w="1417" w:type="dxa"/>
            <w:tcBorders>
              <w:top w:val="single" w:sz="4" w:space="0" w:color="auto"/>
            </w:tcBorders>
            <w:vAlign w:val="center"/>
          </w:tcPr>
          <w:p w14:paraId="5343DB3B" w14:textId="77777777" w:rsidR="00992CF5" w:rsidRPr="00030002" w:rsidRDefault="00992CF5" w:rsidP="00626587">
            <w:pPr>
              <w:pStyle w:val="PargrafodaLista"/>
              <w:ind w:left="0" w:firstLine="0"/>
              <w:rPr>
                <w:color w:val="000000" w:themeColor="text1"/>
                <w:sz w:val="20"/>
              </w:rPr>
            </w:pPr>
            <w:r w:rsidRPr="00030002">
              <w:rPr>
                <w:color w:val="000000" w:themeColor="text1"/>
                <w:sz w:val="20"/>
              </w:rPr>
              <w:t>Curto prazo</w:t>
            </w:r>
          </w:p>
        </w:tc>
      </w:tr>
      <w:tr w:rsidR="00992CF5" w:rsidRPr="00E6005F" w14:paraId="0A495167" w14:textId="77777777" w:rsidTr="00626587">
        <w:trPr>
          <w:trHeight w:val="647"/>
        </w:trPr>
        <w:tc>
          <w:tcPr>
            <w:tcW w:w="1701" w:type="dxa"/>
            <w:vAlign w:val="center"/>
          </w:tcPr>
          <w:p w14:paraId="0A623604"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2 - Plano de Gerenciamento de Resíduos Sólidos (PGRS)</w:t>
            </w:r>
          </w:p>
        </w:tc>
        <w:tc>
          <w:tcPr>
            <w:tcW w:w="6554" w:type="dxa"/>
            <w:vAlign w:val="center"/>
          </w:tcPr>
          <w:p w14:paraId="74BEF09F"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Documento necessário por lei para diversas empresas, que aborda os principais procedimentos para o gerenciamento adequado de resíduos, incluindo conceitos e oportunidades de Prevenção da Poluição e de Produção mais Limpa. Pode ser realizado tanto para o Parque como para cada empresa instalada.</w:t>
            </w:r>
          </w:p>
        </w:tc>
        <w:tc>
          <w:tcPr>
            <w:tcW w:w="5212" w:type="dxa"/>
            <w:vAlign w:val="center"/>
          </w:tcPr>
          <w:p w14:paraId="5C21F44D"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 xml:space="preserve">Viabilizar empresa parceira para elaborar e executar o PGRS do parque. No caso individual de cada empresa, cada uma poderá ter seu responsável técnico. </w:t>
            </w:r>
          </w:p>
        </w:tc>
        <w:tc>
          <w:tcPr>
            <w:tcW w:w="1417" w:type="dxa"/>
            <w:vAlign w:val="center"/>
          </w:tcPr>
          <w:p w14:paraId="1DA62795" w14:textId="77777777" w:rsidR="00992CF5" w:rsidRPr="00030002" w:rsidRDefault="00992CF5" w:rsidP="00626587">
            <w:pPr>
              <w:pStyle w:val="PargrafodaLista"/>
              <w:ind w:left="0" w:firstLine="0"/>
              <w:rPr>
                <w:color w:val="000000" w:themeColor="text1"/>
                <w:sz w:val="20"/>
              </w:rPr>
            </w:pPr>
            <w:r w:rsidRPr="00030002">
              <w:rPr>
                <w:color w:val="000000" w:themeColor="text1"/>
                <w:sz w:val="20"/>
              </w:rPr>
              <w:t>Curto prazo</w:t>
            </w:r>
          </w:p>
        </w:tc>
      </w:tr>
      <w:tr w:rsidR="00992CF5" w:rsidRPr="00E6005F" w14:paraId="20D10D33" w14:textId="77777777" w:rsidTr="00626587">
        <w:trPr>
          <w:trHeight w:val="2268"/>
        </w:trPr>
        <w:tc>
          <w:tcPr>
            <w:tcW w:w="1701" w:type="dxa"/>
            <w:vAlign w:val="center"/>
          </w:tcPr>
          <w:p w14:paraId="39C4A0D4" w14:textId="77777777" w:rsidR="00992CF5" w:rsidRPr="00992CF5" w:rsidRDefault="00992CF5" w:rsidP="00626587">
            <w:pPr>
              <w:pStyle w:val="PargrafodaLista"/>
              <w:ind w:left="0" w:firstLine="0"/>
              <w:rPr>
                <w:i/>
                <w:iCs/>
                <w:color w:val="000000" w:themeColor="text1"/>
                <w:sz w:val="20"/>
                <w:lang w:val="pt-BR"/>
              </w:rPr>
            </w:pPr>
            <w:r w:rsidRPr="00992CF5">
              <w:rPr>
                <w:color w:val="000000" w:themeColor="text1"/>
                <w:sz w:val="20"/>
                <w:lang w:val="pt-BR"/>
              </w:rPr>
              <w:t>3 - Gerenciamento coletivo de Resíduos Sólidos</w:t>
            </w:r>
          </w:p>
        </w:tc>
        <w:tc>
          <w:tcPr>
            <w:tcW w:w="6554" w:type="dxa"/>
            <w:vAlign w:val="center"/>
          </w:tcPr>
          <w:p w14:paraId="475AB8A3" w14:textId="77777777" w:rsidR="00992CF5" w:rsidRPr="00992CF5" w:rsidRDefault="00992CF5" w:rsidP="00626587">
            <w:pPr>
              <w:pStyle w:val="PargrafodaLista"/>
              <w:spacing w:before="0"/>
              <w:ind w:left="0" w:firstLine="0"/>
              <w:rPr>
                <w:color w:val="000000" w:themeColor="text1"/>
                <w:sz w:val="20"/>
                <w:lang w:val="pt-BR"/>
              </w:rPr>
            </w:pPr>
            <w:r w:rsidRPr="00992CF5">
              <w:rPr>
                <w:color w:val="000000" w:themeColor="text1"/>
                <w:sz w:val="20"/>
                <w:lang w:val="pt-BR"/>
              </w:rPr>
              <w:t>Padroniza o gerenciamento, evita problemas como descarte incorreto e multas ambientais, possibilita a reutilização e a reciclagem em razão do maior volume armazenado e reduz os custos com transporte e destinação. É um serviço adicional que pode ser oferecido/indicado pelo parque, como uma solução para as empresas. Com uma Central Única de Resíduos, melhora a organização para resíduos das 2 classes (Perigosos e Não-Perigosos) em um único local, facilitando o licenciamento ambiental e seu gerenciamento. Cresce a possibilidade de venda como coproduto de algum dos resíduos não recebidos por cooperativas.</w:t>
            </w:r>
          </w:p>
        </w:tc>
        <w:tc>
          <w:tcPr>
            <w:tcW w:w="5212" w:type="dxa"/>
            <w:vAlign w:val="center"/>
          </w:tcPr>
          <w:p w14:paraId="7E6A13F6"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Viabilizar um PSA (empresa privada ou cooperativa) que fará a coleta e a destinação dos resíduos, podendo existir uma Central Única de Resíduos no parque, com o devido controle do volume depositado por cada empresa. Para impacto social positivo, viabilizar parceria com cooperativas para coleta dos recicláveis (papelão, plásticos de rotulagem 1 a 5, vidros e metais).</w:t>
            </w:r>
          </w:p>
        </w:tc>
        <w:tc>
          <w:tcPr>
            <w:tcW w:w="1417" w:type="dxa"/>
            <w:vAlign w:val="center"/>
          </w:tcPr>
          <w:p w14:paraId="468CC0E6" w14:textId="77777777" w:rsidR="00992CF5" w:rsidRPr="00030002" w:rsidRDefault="00992CF5" w:rsidP="00626587">
            <w:pPr>
              <w:pStyle w:val="PargrafodaLista"/>
              <w:ind w:left="0" w:firstLine="0"/>
              <w:rPr>
                <w:color w:val="000000" w:themeColor="text1"/>
                <w:sz w:val="20"/>
              </w:rPr>
            </w:pPr>
            <w:r w:rsidRPr="00030002">
              <w:rPr>
                <w:color w:val="000000" w:themeColor="text1"/>
                <w:sz w:val="20"/>
              </w:rPr>
              <w:t>Médio prazo</w:t>
            </w:r>
          </w:p>
        </w:tc>
      </w:tr>
      <w:tr w:rsidR="00992CF5" w:rsidRPr="00E6005F" w14:paraId="68F698BF" w14:textId="77777777" w:rsidTr="00626587">
        <w:trPr>
          <w:trHeight w:val="74"/>
        </w:trPr>
        <w:tc>
          <w:tcPr>
            <w:tcW w:w="1701" w:type="dxa"/>
            <w:vAlign w:val="center"/>
          </w:tcPr>
          <w:p w14:paraId="0EF4289C"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4 - Oferecimento de serviço de suporte ambiental</w:t>
            </w:r>
          </w:p>
        </w:tc>
        <w:tc>
          <w:tcPr>
            <w:tcW w:w="6554" w:type="dxa"/>
            <w:vAlign w:val="center"/>
          </w:tcPr>
          <w:p w14:paraId="47C69C4C"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Agrega mais um serviço aos oferecidos pelo Ecoparque às organizações, apresentando-as soluções completas para sua instalação em termos de licenças ambientais, alvarás e projetos necessários. Para o Ecoparque, maior suporte e controle das condições de operação, evitando problemas para os quais o parque pode ser inclusive corresponsabilizado. Custo compartilhado/repassado não onera em demasia nenhuma empresa nem o parque.</w:t>
            </w:r>
          </w:p>
        </w:tc>
        <w:tc>
          <w:tcPr>
            <w:tcW w:w="5212" w:type="dxa"/>
            <w:vAlign w:val="center"/>
          </w:tcPr>
          <w:p w14:paraId="2966EF38"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Viabilizar empresa parceira para prestação do serviço</w:t>
            </w:r>
          </w:p>
        </w:tc>
        <w:tc>
          <w:tcPr>
            <w:tcW w:w="1417" w:type="dxa"/>
            <w:vAlign w:val="center"/>
          </w:tcPr>
          <w:p w14:paraId="6CF4087D" w14:textId="77777777" w:rsidR="00992CF5" w:rsidRPr="00030002" w:rsidRDefault="00992CF5" w:rsidP="00626587">
            <w:pPr>
              <w:pStyle w:val="PargrafodaLista"/>
              <w:ind w:left="0" w:firstLine="0"/>
              <w:rPr>
                <w:color w:val="000000" w:themeColor="text1"/>
                <w:sz w:val="20"/>
              </w:rPr>
            </w:pPr>
            <w:r w:rsidRPr="00030002">
              <w:rPr>
                <w:color w:val="000000" w:themeColor="text1"/>
                <w:sz w:val="20"/>
              </w:rPr>
              <w:t>Curto prazo</w:t>
            </w:r>
          </w:p>
        </w:tc>
      </w:tr>
    </w:tbl>
    <w:p w14:paraId="278299FF" w14:textId="77777777" w:rsidR="00626587" w:rsidRDefault="00992CF5" w:rsidP="00F421CC">
      <w:pPr>
        <w:ind w:left="12035" w:right="-172"/>
        <w:jc w:val="right"/>
        <w:rPr>
          <w:sz w:val="20"/>
          <w:szCs w:val="16"/>
        </w:rPr>
      </w:pPr>
      <w:r>
        <w:rPr>
          <w:sz w:val="20"/>
          <w:szCs w:val="16"/>
        </w:rPr>
        <w:t xml:space="preserve">  </w:t>
      </w:r>
    </w:p>
    <w:p w14:paraId="7C278F12" w14:textId="77777777" w:rsidR="00626587" w:rsidRPr="000C240C" w:rsidRDefault="00626587" w:rsidP="00626587">
      <w:pPr>
        <w:jc w:val="center"/>
        <w:rPr>
          <w:b/>
          <w:bCs/>
          <w:sz w:val="20"/>
          <w:szCs w:val="16"/>
          <w:lang w:val="pt-BR"/>
        </w:rPr>
      </w:pPr>
      <w:r w:rsidRPr="000C240C">
        <w:rPr>
          <w:b/>
          <w:bCs/>
          <w:sz w:val="20"/>
          <w:szCs w:val="16"/>
          <w:lang w:val="pt-BR"/>
        </w:rPr>
        <w:lastRenderedPageBreak/>
        <w:t>Tabela 2 – Plano de Ação: o quê, por quê, como e quando iniciar as ações</w:t>
      </w:r>
    </w:p>
    <w:p w14:paraId="574EC29C" w14:textId="0C334FA1" w:rsidR="00992CF5" w:rsidRPr="00B36DC6" w:rsidRDefault="00992CF5" w:rsidP="00626587">
      <w:pPr>
        <w:ind w:left="12035" w:right="-881" w:firstLine="1290"/>
        <w:jc w:val="right"/>
        <w:rPr>
          <w:sz w:val="20"/>
          <w:szCs w:val="16"/>
        </w:rPr>
      </w:pPr>
      <w:r w:rsidRPr="000C45D1">
        <w:rPr>
          <w:sz w:val="20"/>
          <w:szCs w:val="16"/>
          <w:lang w:val="pt-BR"/>
        </w:rPr>
        <w:t xml:space="preserve">   </w:t>
      </w:r>
      <w:r w:rsidRPr="00B36DC6">
        <w:rPr>
          <w:sz w:val="20"/>
          <w:szCs w:val="16"/>
        </w:rPr>
        <w:t>(conclusão)</w:t>
      </w:r>
    </w:p>
    <w:tbl>
      <w:tblPr>
        <w:tblW w:w="14969" w:type="dxa"/>
        <w:tblLook w:val="04A0" w:firstRow="1" w:lastRow="0" w:firstColumn="1" w:lastColumn="0" w:noHBand="0" w:noVBand="1"/>
      </w:tblPr>
      <w:tblGrid>
        <w:gridCol w:w="1961"/>
        <w:gridCol w:w="6319"/>
        <w:gridCol w:w="5270"/>
        <w:gridCol w:w="1419"/>
      </w:tblGrid>
      <w:tr w:rsidR="00992CF5" w:rsidRPr="00E6005F" w14:paraId="477541FE" w14:textId="77777777" w:rsidTr="00626587">
        <w:trPr>
          <w:trHeight w:val="486"/>
        </w:trPr>
        <w:tc>
          <w:tcPr>
            <w:tcW w:w="1961" w:type="dxa"/>
            <w:tcBorders>
              <w:top w:val="single" w:sz="4" w:space="0" w:color="auto"/>
              <w:bottom w:val="single" w:sz="4" w:space="0" w:color="auto"/>
            </w:tcBorders>
            <w:vAlign w:val="center"/>
          </w:tcPr>
          <w:p w14:paraId="038CB1BE" w14:textId="77777777" w:rsidR="00992CF5" w:rsidRPr="00030002" w:rsidRDefault="00992CF5" w:rsidP="00626587">
            <w:pPr>
              <w:pStyle w:val="PargrafodaLista"/>
              <w:ind w:left="0" w:firstLine="0"/>
              <w:jc w:val="center"/>
              <w:rPr>
                <w:color w:val="000000" w:themeColor="text1"/>
                <w:sz w:val="20"/>
              </w:rPr>
            </w:pPr>
            <w:r w:rsidRPr="00030002">
              <w:rPr>
                <w:b/>
                <w:bCs/>
                <w:color w:val="000000" w:themeColor="text1"/>
                <w:sz w:val="20"/>
              </w:rPr>
              <w:t>O quê?</w:t>
            </w:r>
          </w:p>
        </w:tc>
        <w:tc>
          <w:tcPr>
            <w:tcW w:w="6319" w:type="dxa"/>
            <w:tcBorders>
              <w:top w:val="single" w:sz="4" w:space="0" w:color="auto"/>
              <w:bottom w:val="single" w:sz="4" w:space="0" w:color="auto"/>
            </w:tcBorders>
            <w:vAlign w:val="center"/>
          </w:tcPr>
          <w:p w14:paraId="478B7C0C" w14:textId="77777777" w:rsidR="00992CF5" w:rsidRPr="00030002" w:rsidRDefault="00992CF5" w:rsidP="00626587">
            <w:pPr>
              <w:pStyle w:val="PargrafodaLista"/>
              <w:ind w:left="0" w:firstLine="0"/>
              <w:jc w:val="center"/>
              <w:rPr>
                <w:color w:val="000000" w:themeColor="text1"/>
                <w:sz w:val="20"/>
              </w:rPr>
            </w:pPr>
            <w:r w:rsidRPr="00030002">
              <w:rPr>
                <w:b/>
                <w:bCs/>
                <w:color w:val="000000" w:themeColor="text1"/>
                <w:sz w:val="20"/>
              </w:rPr>
              <w:t>Por que fazer?</w:t>
            </w:r>
          </w:p>
        </w:tc>
        <w:tc>
          <w:tcPr>
            <w:tcW w:w="5270" w:type="dxa"/>
            <w:tcBorders>
              <w:top w:val="single" w:sz="4" w:space="0" w:color="auto"/>
              <w:bottom w:val="single" w:sz="4" w:space="0" w:color="auto"/>
            </w:tcBorders>
            <w:vAlign w:val="center"/>
          </w:tcPr>
          <w:p w14:paraId="4D22B0C6" w14:textId="77777777" w:rsidR="00992CF5" w:rsidRPr="00030002" w:rsidRDefault="00992CF5" w:rsidP="00626587">
            <w:pPr>
              <w:pStyle w:val="PargrafodaLista"/>
              <w:ind w:left="0" w:firstLine="0"/>
              <w:jc w:val="center"/>
              <w:rPr>
                <w:color w:val="000000" w:themeColor="text1"/>
                <w:sz w:val="20"/>
              </w:rPr>
            </w:pPr>
            <w:r w:rsidRPr="00030002">
              <w:rPr>
                <w:b/>
                <w:bCs/>
                <w:color w:val="000000" w:themeColor="text1"/>
                <w:sz w:val="20"/>
              </w:rPr>
              <w:t>Como fazer?</w:t>
            </w:r>
          </w:p>
        </w:tc>
        <w:tc>
          <w:tcPr>
            <w:tcW w:w="1419" w:type="dxa"/>
            <w:tcBorders>
              <w:top w:val="single" w:sz="4" w:space="0" w:color="auto"/>
              <w:bottom w:val="single" w:sz="4" w:space="0" w:color="auto"/>
            </w:tcBorders>
            <w:vAlign w:val="center"/>
          </w:tcPr>
          <w:p w14:paraId="46E482A8" w14:textId="77777777" w:rsidR="00992CF5" w:rsidRPr="00030002" w:rsidRDefault="00992CF5" w:rsidP="00626587">
            <w:pPr>
              <w:pStyle w:val="PargrafodaLista"/>
              <w:ind w:left="0" w:firstLine="0"/>
              <w:jc w:val="center"/>
              <w:rPr>
                <w:color w:val="000000" w:themeColor="text1"/>
                <w:sz w:val="20"/>
              </w:rPr>
            </w:pPr>
            <w:r w:rsidRPr="00030002">
              <w:rPr>
                <w:b/>
                <w:bCs/>
                <w:color w:val="000000" w:themeColor="text1"/>
                <w:sz w:val="20"/>
              </w:rPr>
              <w:t>Quando fazer?</w:t>
            </w:r>
          </w:p>
        </w:tc>
      </w:tr>
      <w:tr w:rsidR="00992CF5" w:rsidRPr="00E6005F" w14:paraId="151CB334" w14:textId="77777777" w:rsidTr="00626587">
        <w:trPr>
          <w:trHeight w:val="1095"/>
        </w:trPr>
        <w:tc>
          <w:tcPr>
            <w:tcW w:w="1961" w:type="dxa"/>
            <w:tcBorders>
              <w:top w:val="single" w:sz="4" w:space="0" w:color="auto"/>
            </w:tcBorders>
            <w:vAlign w:val="center"/>
          </w:tcPr>
          <w:p w14:paraId="78719ABE"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5 - Prevenção da Poluição e P+L nas empresas</w:t>
            </w:r>
          </w:p>
        </w:tc>
        <w:tc>
          <w:tcPr>
            <w:tcW w:w="6319" w:type="dxa"/>
            <w:tcBorders>
              <w:top w:val="single" w:sz="4" w:space="0" w:color="auto"/>
            </w:tcBorders>
            <w:vAlign w:val="center"/>
          </w:tcPr>
          <w:p w14:paraId="394A5353"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Redução dos impactos ambientais negativos em cada empresa, prevenindo a geração de poluentes e consequentes problemas ambientais. Foco na gestão da demanda de materiais, água e energia.</w:t>
            </w:r>
          </w:p>
        </w:tc>
        <w:tc>
          <w:tcPr>
            <w:tcW w:w="5270" w:type="dxa"/>
            <w:tcBorders>
              <w:top w:val="single" w:sz="4" w:space="0" w:color="auto"/>
            </w:tcBorders>
            <w:vAlign w:val="center"/>
          </w:tcPr>
          <w:p w14:paraId="736B6AFF"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Incentivar as empresas a adotarem melhores práticas e redução de seus impactos. Pode ser viabilidade junto ao suporte técnico ambiental oferecido às empresas.</w:t>
            </w:r>
          </w:p>
        </w:tc>
        <w:tc>
          <w:tcPr>
            <w:tcW w:w="1419" w:type="dxa"/>
            <w:tcBorders>
              <w:top w:val="single" w:sz="4" w:space="0" w:color="auto"/>
            </w:tcBorders>
            <w:vAlign w:val="center"/>
          </w:tcPr>
          <w:p w14:paraId="7AF49C4A" w14:textId="77777777" w:rsidR="00992CF5" w:rsidRPr="00030002" w:rsidRDefault="00992CF5" w:rsidP="00626587">
            <w:pPr>
              <w:pStyle w:val="PargrafodaLista"/>
              <w:ind w:left="0" w:firstLine="0"/>
              <w:rPr>
                <w:color w:val="000000" w:themeColor="text1"/>
                <w:sz w:val="20"/>
              </w:rPr>
            </w:pPr>
            <w:r w:rsidRPr="00030002">
              <w:rPr>
                <w:color w:val="000000" w:themeColor="text1"/>
                <w:sz w:val="20"/>
              </w:rPr>
              <w:t>Médio-Longo Prazo</w:t>
            </w:r>
          </w:p>
        </w:tc>
      </w:tr>
      <w:tr w:rsidR="00992CF5" w:rsidRPr="00E6005F" w14:paraId="49262793" w14:textId="77777777" w:rsidTr="00626587">
        <w:trPr>
          <w:trHeight w:val="1136"/>
        </w:trPr>
        <w:tc>
          <w:tcPr>
            <w:tcW w:w="1961" w:type="dxa"/>
            <w:vAlign w:val="center"/>
          </w:tcPr>
          <w:p w14:paraId="09139029"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 xml:space="preserve">6 – Buscar o apoio de </w:t>
            </w:r>
            <w:r w:rsidRPr="00992CF5">
              <w:rPr>
                <w:i/>
                <w:iCs/>
                <w:color w:val="000000" w:themeColor="text1"/>
                <w:sz w:val="20"/>
                <w:lang w:val="pt-BR"/>
              </w:rPr>
              <w:t>stakeholders</w:t>
            </w:r>
            <w:r w:rsidRPr="00992CF5">
              <w:rPr>
                <w:color w:val="000000" w:themeColor="text1"/>
                <w:sz w:val="20"/>
                <w:lang w:val="pt-BR"/>
              </w:rPr>
              <w:t xml:space="preserve"> e firmar novas parcerias</w:t>
            </w:r>
          </w:p>
        </w:tc>
        <w:tc>
          <w:tcPr>
            <w:tcW w:w="6319" w:type="dxa"/>
            <w:vAlign w:val="center"/>
          </w:tcPr>
          <w:p w14:paraId="4E8E2632"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Inúmeras possibilidades de investimentos e projetos podem ser realizadas com parcerias estratégicas. Exemplo: parceria com universidades e agências de emprego para banco de currículos para oferecer às empresas; projetos para qualificar mão de obra etc.</w:t>
            </w:r>
          </w:p>
        </w:tc>
        <w:tc>
          <w:tcPr>
            <w:tcW w:w="5270" w:type="dxa"/>
            <w:vAlign w:val="center"/>
          </w:tcPr>
          <w:p w14:paraId="3E5C39EF"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Buscar parcerias com universidades, centros de pesquisa, associações, prefeitura, na ótica da tríplice hélice.</w:t>
            </w:r>
          </w:p>
        </w:tc>
        <w:tc>
          <w:tcPr>
            <w:tcW w:w="1419" w:type="dxa"/>
            <w:vAlign w:val="center"/>
          </w:tcPr>
          <w:p w14:paraId="732763A2" w14:textId="77777777" w:rsidR="00992CF5" w:rsidRPr="00030002" w:rsidRDefault="00992CF5" w:rsidP="00626587">
            <w:pPr>
              <w:pStyle w:val="PargrafodaLista"/>
              <w:ind w:left="0" w:firstLine="0"/>
              <w:rPr>
                <w:color w:val="000000" w:themeColor="text1"/>
                <w:sz w:val="20"/>
              </w:rPr>
            </w:pPr>
            <w:r>
              <w:rPr>
                <w:color w:val="000000" w:themeColor="text1"/>
                <w:sz w:val="20"/>
              </w:rPr>
              <w:t>Curto-</w:t>
            </w:r>
            <w:r w:rsidRPr="00030002">
              <w:rPr>
                <w:color w:val="000000" w:themeColor="text1"/>
                <w:sz w:val="20"/>
              </w:rPr>
              <w:t>Médio prazo</w:t>
            </w:r>
          </w:p>
        </w:tc>
      </w:tr>
      <w:tr w:rsidR="00992CF5" w:rsidRPr="00E6005F" w14:paraId="15A41F68" w14:textId="77777777" w:rsidTr="00626587">
        <w:trPr>
          <w:trHeight w:val="1217"/>
        </w:trPr>
        <w:tc>
          <w:tcPr>
            <w:tcW w:w="1961" w:type="dxa"/>
            <w:vAlign w:val="center"/>
          </w:tcPr>
          <w:p w14:paraId="57C917A1"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7 – Formação de time com representantes das empresas</w:t>
            </w:r>
          </w:p>
        </w:tc>
        <w:tc>
          <w:tcPr>
            <w:tcW w:w="6319" w:type="dxa"/>
            <w:vAlign w:val="center"/>
          </w:tcPr>
          <w:p w14:paraId="589C6489"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Facilita a comunicação e o diálogo das empresas entre si e com a gestão do Ecoparque. Permite a resolução de problemas e demandas de modo mais assertivo, gerando um ambiente de cooperação e coletividade.</w:t>
            </w:r>
          </w:p>
        </w:tc>
        <w:tc>
          <w:tcPr>
            <w:tcW w:w="5270" w:type="dxa"/>
            <w:vAlign w:val="center"/>
          </w:tcPr>
          <w:p w14:paraId="02C9CEF0" w14:textId="77777777" w:rsidR="00992CF5" w:rsidRPr="00030002" w:rsidRDefault="00992CF5" w:rsidP="00626587">
            <w:pPr>
              <w:pStyle w:val="PargrafodaLista"/>
              <w:ind w:left="0" w:firstLine="0"/>
              <w:rPr>
                <w:color w:val="000000" w:themeColor="text1"/>
                <w:sz w:val="20"/>
              </w:rPr>
            </w:pPr>
            <w:r w:rsidRPr="00992CF5">
              <w:rPr>
                <w:color w:val="000000" w:themeColor="text1"/>
                <w:sz w:val="20"/>
                <w:lang w:val="pt-BR"/>
              </w:rPr>
              <w:t xml:space="preserve">Contatar as empresas para apresentar a ideia e verificar o colaborador que participará do time. </w:t>
            </w:r>
            <w:r w:rsidRPr="00030002">
              <w:rPr>
                <w:color w:val="000000" w:themeColor="text1"/>
                <w:sz w:val="20"/>
              </w:rPr>
              <w:t>Reunir-se ordinariamente, com periodicidade a definir (ex.: trimestralmente)</w:t>
            </w:r>
          </w:p>
        </w:tc>
        <w:tc>
          <w:tcPr>
            <w:tcW w:w="1419" w:type="dxa"/>
            <w:vAlign w:val="center"/>
          </w:tcPr>
          <w:p w14:paraId="131487A2" w14:textId="77777777" w:rsidR="00992CF5" w:rsidRPr="00030002" w:rsidRDefault="00992CF5" w:rsidP="00626587">
            <w:pPr>
              <w:pStyle w:val="PargrafodaLista"/>
              <w:ind w:left="0" w:firstLine="0"/>
              <w:rPr>
                <w:color w:val="000000" w:themeColor="text1"/>
                <w:sz w:val="20"/>
              </w:rPr>
            </w:pPr>
            <w:r w:rsidRPr="00030002">
              <w:rPr>
                <w:color w:val="000000" w:themeColor="text1"/>
                <w:sz w:val="20"/>
              </w:rPr>
              <w:t>Curto-médio prazo</w:t>
            </w:r>
          </w:p>
        </w:tc>
      </w:tr>
      <w:tr w:rsidR="00992CF5" w:rsidRPr="00E6005F" w14:paraId="2B1EAD71" w14:textId="77777777" w:rsidTr="00626587">
        <w:trPr>
          <w:trHeight w:val="1629"/>
        </w:trPr>
        <w:tc>
          <w:tcPr>
            <w:tcW w:w="1961" w:type="dxa"/>
            <w:vAlign w:val="center"/>
          </w:tcPr>
          <w:p w14:paraId="5455A32F" w14:textId="77777777" w:rsidR="00992CF5" w:rsidRPr="00992CF5" w:rsidRDefault="00992CF5" w:rsidP="00626587">
            <w:pPr>
              <w:pStyle w:val="PargrafodaLista"/>
              <w:ind w:left="0" w:firstLine="0"/>
              <w:rPr>
                <w:i/>
                <w:iCs/>
                <w:color w:val="000000" w:themeColor="text1"/>
                <w:sz w:val="20"/>
                <w:lang w:val="pt-BR"/>
              </w:rPr>
            </w:pPr>
            <w:r w:rsidRPr="00992CF5">
              <w:rPr>
                <w:color w:val="000000" w:themeColor="text1"/>
                <w:sz w:val="20"/>
                <w:lang w:val="pt-BR"/>
              </w:rPr>
              <w:t>8 – Aquisição/Geração de Energia Renovável (solar fotovoltaica)</w:t>
            </w:r>
          </w:p>
        </w:tc>
        <w:tc>
          <w:tcPr>
            <w:tcW w:w="6319" w:type="dxa"/>
            <w:vAlign w:val="center"/>
          </w:tcPr>
          <w:p w14:paraId="74622A12"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Reduz as emissões de carbono (melhora os indicadores de pegada de carbono). Pode tornar o parque autossuficiente em energia. Custos de instalação cada vez menores, telhados já possuem estrutura para instalação. Custos podem ser divididos (instalação e manutenção) entre parque e empresas. Medida de gestão de oferta a ser implementada após gestão adequada da demanda.</w:t>
            </w:r>
          </w:p>
        </w:tc>
        <w:tc>
          <w:tcPr>
            <w:tcW w:w="5270" w:type="dxa"/>
            <w:vAlign w:val="center"/>
          </w:tcPr>
          <w:p w14:paraId="74F4F93C"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À medida em que os pavilhões forem sendo locados, viabilizar a instalação das placas solares, considerando as questões comerciais envolvidas.</w:t>
            </w:r>
          </w:p>
        </w:tc>
        <w:tc>
          <w:tcPr>
            <w:tcW w:w="1419" w:type="dxa"/>
            <w:vAlign w:val="center"/>
          </w:tcPr>
          <w:p w14:paraId="750A6702" w14:textId="77777777" w:rsidR="00992CF5" w:rsidRPr="00030002" w:rsidRDefault="00992CF5" w:rsidP="00626587">
            <w:pPr>
              <w:pStyle w:val="PargrafodaLista"/>
              <w:ind w:left="0" w:firstLine="0"/>
              <w:rPr>
                <w:color w:val="000000" w:themeColor="text1"/>
                <w:sz w:val="20"/>
              </w:rPr>
            </w:pPr>
            <w:r w:rsidRPr="00030002">
              <w:rPr>
                <w:color w:val="000000" w:themeColor="text1"/>
                <w:sz w:val="20"/>
              </w:rPr>
              <w:t>Longo prazo</w:t>
            </w:r>
          </w:p>
        </w:tc>
      </w:tr>
      <w:tr w:rsidR="00992CF5" w:rsidRPr="00E6005F" w14:paraId="385A24AE" w14:textId="77777777" w:rsidTr="00626587">
        <w:trPr>
          <w:trHeight w:val="1122"/>
        </w:trPr>
        <w:tc>
          <w:tcPr>
            <w:tcW w:w="1961" w:type="dxa"/>
            <w:tcBorders>
              <w:bottom w:val="single" w:sz="4" w:space="0" w:color="auto"/>
            </w:tcBorders>
            <w:vAlign w:val="center"/>
          </w:tcPr>
          <w:p w14:paraId="52F08950" w14:textId="18B2A1D6"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 xml:space="preserve">9 – </w:t>
            </w:r>
            <w:r w:rsidR="0060764D">
              <w:rPr>
                <w:color w:val="000000" w:themeColor="text1"/>
                <w:sz w:val="20"/>
                <w:lang w:val="pt-BR"/>
              </w:rPr>
              <w:t>Uso</w:t>
            </w:r>
            <w:r w:rsidRPr="00992CF5">
              <w:rPr>
                <w:color w:val="000000" w:themeColor="text1"/>
                <w:sz w:val="20"/>
                <w:lang w:val="pt-BR"/>
              </w:rPr>
              <w:t xml:space="preserve"> da água da chuva</w:t>
            </w:r>
          </w:p>
        </w:tc>
        <w:tc>
          <w:tcPr>
            <w:tcW w:w="6319" w:type="dxa"/>
            <w:tcBorders>
              <w:bottom w:val="single" w:sz="4" w:space="0" w:color="auto"/>
            </w:tcBorders>
            <w:vAlign w:val="center"/>
          </w:tcPr>
          <w:p w14:paraId="70D0A3EB"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Redução do consumo de água potável e melhoria do indicador de pegada hídrica. Redução de custos com aquisição de água potável e disponibilidade em caso de falta de abastecimento. Medida de gestão de oferta a ser implementada após gestão adequada da demanda.</w:t>
            </w:r>
          </w:p>
        </w:tc>
        <w:tc>
          <w:tcPr>
            <w:tcW w:w="5270" w:type="dxa"/>
            <w:tcBorders>
              <w:bottom w:val="single" w:sz="4" w:space="0" w:color="auto"/>
            </w:tcBorders>
            <w:vAlign w:val="center"/>
          </w:tcPr>
          <w:p w14:paraId="0F2D50C1" w14:textId="77777777" w:rsidR="00992CF5" w:rsidRPr="00992CF5" w:rsidRDefault="00992CF5" w:rsidP="00626587">
            <w:pPr>
              <w:pStyle w:val="PargrafodaLista"/>
              <w:ind w:left="0" w:firstLine="0"/>
              <w:rPr>
                <w:color w:val="000000" w:themeColor="text1"/>
                <w:sz w:val="20"/>
                <w:lang w:val="pt-BR"/>
              </w:rPr>
            </w:pPr>
            <w:r w:rsidRPr="00992CF5">
              <w:rPr>
                <w:color w:val="000000" w:themeColor="text1"/>
                <w:sz w:val="20"/>
                <w:lang w:val="pt-BR"/>
              </w:rPr>
              <w:t>Viabilizar empresa para realizar a instalação do sistema de captação, armazenamento e distribuição.</w:t>
            </w:r>
          </w:p>
        </w:tc>
        <w:tc>
          <w:tcPr>
            <w:tcW w:w="1419" w:type="dxa"/>
            <w:tcBorders>
              <w:bottom w:val="single" w:sz="4" w:space="0" w:color="auto"/>
            </w:tcBorders>
            <w:vAlign w:val="center"/>
          </w:tcPr>
          <w:p w14:paraId="587FC29F" w14:textId="77777777" w:rsidR="00992CF5" w:rsidRPr="00030002" w:rsidRDefault="00992CF5" w:rsidP="00626587">
            <w:pPr>
              <w:pStyle w:val="PargrafodaLista"/>
              <w:ind w:left="0" w:firstLine="0"/>
              <w:rPr>
                <w:color w:val="000000" w:themeColor="text1"/>
                <w:sz w:val="20"/>
              </w:rPr>
            </w:pPr>
            <w:r w:rsidRPr="00030002">
              <w:rPr>
                <w:color w:val="000000" w:themeColor="text1"/>
                <w:sz w:val="20"/>
              </w:rPr>
              <w:t>Longo prazo</w:t>
            </w:r>
          </w:p>
        </w:tc>
      </w:tr>
    </w:tbl>
    <w:p w14:paraId="15A289C7" w14:textId="07E60A5F" w:rsidR="00992CF5" w:rsidRPr="00281E52" w:rsidRDefault="00992CF5" w:rsidP="00281E52">
      <w:pPr>
        <w:pStyle w:val="Legenda"/>
        <w:rPr>
          <w:lang w:val="pt-BR"/>
        </w:rPr>
      </w:pPr>
    </w:p>
    <w:p w14:paraId="7E3F60AA" w14:textId="77777777" w:rsidR="00992CF5" w:rsidRDefault="00992CF5" w:rsidP="00992CF5">
      <w:pPr>
        <w:sectPr w:rsidR="00992CF5" w:rsidSect="00F421CC">
          <w:footnotePr>
            <w:numRestart w:val="eachSect"/>
          </w:footnotePr>
          <w:pgSz w:w="16838" w:h="11906" w:orient="landscape" w:code="9"/>
          <w:pgMar w:top="1701" w:right="1701" w:bottom="709" w:left="1134" w:header="1134" w:footer="709" w:gutter="0"/>
          <w:cols w:space="708"/>
          <w:docGrid w:linePitch="360"/>
        </w:sectPr>
      </w:pPr>
    </w:p>
    <w:p w14:paraId="367E857C" w14:textId="77777777" w:rsidR="00626587" w:rsidRDefault="000C240C" w:rsidP="000C240C">
      <w:pPr>
        <w:rPr>
          <w:lang w:val="pt-BR"/>
        </w:rPr>
      </w:pPr>
      <w:bookmarkStart w:id="32" w:name="_Toc102331777"/>
      <w:r>
        <w:rPr>
          <w:lang w:val="pt-BR"/>
        </w:rPr>
        <w:lastRenderedPageBreak/>
        <w:t>As</w:t>
      </w:r>
      <w:r w:rsidRPr="00C14E3D">
        <w:rPr>
          <w:lang w:val="pt-BR"/>
        </w:rPr>
        <w:t xml:space="preserve"> possibilidades de aplicação da Simbiose Industrial</w:t>
      </w:r>
      <w:r>
        <w:rPr>
          <w:lang w:val="pt-BR"/>
        </w:rPr>
        <w:t xml:space="preserve"> merecem destaque.</w:t>
      </w:r>
      <w:r w:rsidRPr="00C14E3D">
        <w:rPr>
          <w:lang w:val="pt-BR"/>
        </w:rPr>
        <w:t xml:space="preserve"> Fatores como diferenças entre as entradas e saídas nos processos produtivos, existência de somente geradores de resíduos e de nenhum consumidor potencial e de inúmeras atividades que não envolvem processos de beneficiamento e transformação, dificultam a realização de intercâmbios físicos envolvendo materiais, água e energia. Por isso, para o parque analisado, as oportunidades são restritas, inicialmente, ao compartilhamento de utilidades (água e energia elétrica) e serviços. Sem embargo, do ponto de vista prático, elas se apresentam como mais factíveis, pragmáticas e mais próximas da realidade das empresas. </w:t>
      </w:r>
    </w:p>
    <w:p w14:paraId="30BC2A7A" w14:textId="6CD15A35" w:rsidR="000C240C" w:rsidRPr="00C14E3D" w:rsidRDefault="000C240C" w:rsidP="000C240C">
      <w:pPr>
        <w:rPr>
          <w:lang w:val="pt-BR"/>
        </w:rPr>
      </w:pPr>
      <w:r w:rsidRPr="00C14E3D">
        <w:rPr>
          <w:lang w:val="pt-BR"/>
        </w:rPr>
        <w:t xml:space="preserve">Durante as </w:t>
      </w:r>
      <w:r>
        <w:rPr>
          <w:lang w:val="pt-BR"/>
        </w:rPr>
        <w:t>visitas técnicas,</w:t>
      </w:r>
      <w:r w:rsidRPr="00C14E3D">
        <w:rPr>
          <w:lang w:val="pt-BR"/>
        </w:rPr>
        <w:t xml:space="preserve"> </w:t>
      </w:r>
      <w:r>
        <w:rPr>
          <w:lang w:val="pt-BR"/>
        </w:rPr>
        <w:t xml:space="preserve">as empresas </w:t>
      </w:r>
      <w:r w:rsidRPr="00C14E3D">
        <w:rPr>
          <w:lang w:val="pt-BR"/>
        </w:rPr>
        <w:t>demonstraram interesse em participar de um projeto de transição a EIP que contivesse estratégias de compartilhamento, pois vislumbram mais claramente os potenciais benefícios e os riscos são menores. Porém, quaisquer ações que demandem um risco e investimento financeiro mais elevado devem ser objeto de estudo mais cuidadoso e construção de projetos sob a liderança da governança do parque. Por conseguinte, fica evidente uma barreira econômica associada a investimentos em ações de gestão ambiental, tendo em vista que esses custos não estão internalizados nas empresas, especialmente de menor porte. Além disso, tratando-se de um espaço locado e coletivo, a governança do parque deve aprovar modificações que impliquem em intervenções estruturais ou nas interações com as atividades vizinhas. Nesse sentido, barreiras comerciais e técnicas podem surgir entre as empresas e a gestão do parque.</w:t>
      </w:r>
    </w:p>
    <w:p w14:paraId="0D6EA713" w14:textId="77777777" w:rsidR="000C240C" w:rsidRPr="000C240C" w:rsidRDefault="000C240C" w:rsidP="000C240C">
      <w:pPr>
        <w:rPr>
          <w:lang w:val="pt-BR"/>
        </w:rPr>
      </w:pPr>
    </w:p>
    <w:p w14:paraId="3971515A" w14:textId="52EE4CAA" w:rsidR="00992CF5" w:rsidRPr="00807672" w:rsidRDefault="00992CF5" w:rsidP="000C240C">
      <w:pPr>
        <w:pStyle w:val="Ttulo2"/>
        <w:numPr>
          <w:ilvl w:val="0"/>
          <w:numId w:val="14"/>
        </w:numPr>
        <w:rPr>
          <w:rFonts w:ascii="Times New Roman" w:hAnsi="Times New Roman" w:cs="Times New Roman"/>
          <w:b/>
          <w:bCs/>
          <w:color w:val="auto"/>
          <w:sz w:val="24"/>
          <w:szCs w:val="24"/>
        </w:rPr>
      </w:pPr>
      <w:r w:rsidRPr="00807672">
        <w:rPr>
          <w:rFonts w:ascii="Times New Roman" w:hAnsi="Times New Roman" w:cs="Times New Roman"/>
          <w:b/>
          <w:bCs/>
          <w:color w:val="auto"/>
          <w:sz w:val="24"/>
          <w:szCs w:val="24"/>
        </w:rPr>
        <w:t>CONCLUSÃO</w:t>
      </w:r>
      <w:bookmarkEnd w:id="32"/>
    </w:p>
    <w:p w14:paraId="2E00BB9D" w14:textId="77777777" w:rsidR="00807672" w:rsidRPr="00807672" w:rsidRDefault="00807672" w:rsidP="00807672"/>
    <w:p w14:paraId="0B6AB0E8" w14:textId="13176889" w:rsidR="00992CF5" w:rsidRPr="00C14E3D" w:rsidRDefault="00992CF5" w:rsidP="00992CF5">
      <w:pPr>
        <w:rPr>
          <w:lang w:val="pt-BR"/>
        </w:rPr>
      </w:pPr>
      <w:r w:rsidRPr="00C14E3D">
        <w:rPr>
          <w:lang w:val="pt-BR"/>
        </w:rPr>
        <w:t>A pesquisa realizada dedicou-se à problemática que envolve a transição a EIP em parques de uso misto</w:t>
      </w:r>
      <w:r w:rsidR="00807672">
        <w:rPr>
          <w:lang w:val="pt-BR"/>
        </w:rPr>
        <w:t xml:space="preserve">. </w:t>
      </w:r>
      <w:r w:rsidRPr="00C14E3D">
        <w:rPr>
          <w:lang w:val="pt-BR"/>
        </w:rPr>
        <w:t>Por meio de metodologia exploratória, evidenciou-se como a Simbiose Industrial pode contribuir para práticas mais sustentáveis, tendo como estudo de caso o Ecoparque Empresarial Lourenço e Souza, um parque de uso misto (industrial e logístico) situado na região sul do Brasil. Como resultado, foram estabelecidas estratégias em um Plano de Ação com ações a curto, médio e longo prazo, para melhorias socioambientais que podem ser estendidas e replicadas nas futuras fases do empreendimento, assim como em outros parques de tipologia semelhante.</w:t>
      </w:r>
      <w:r w:rsidR="00807672">
        <w:rPr>
          <w:lang w:val="pt-BR"/>
        </w:rPr>
        <w:t xml:space="preserve"> </w:t>
      </w:r>
    </w:p>
    <w:p w14:paraId="117E7262" w14:textId="0D8DD3CE" w:rsidR="00992CF5" w:rsidRPr="00C14E3D" w:rsidRDefault="00992CF5" w:rsidP="00992CF5">
      <w:pPr>
        <w:rPr>
          <w:lang w:val="pt-BR"/>
        </w:rPr>
      </w:pPr>
      <w:r w:rsidRPr="00C14E3D">
        <w:rPr>
          <w:lang w:val="pt-BR"/>
        </w:rPr>
        <w:t xml:space="preserve">Em contrapartida, foram identificados elementos pré-existentes no parque, relacionados à gestão da oferta de água e energia, que podem ser aproveitados como oportunidades para aplicação da Simbiose Industrial e fomentar o processo de transição a EIP. Em que pese a ausência de correlação e complementariedade entre as entradas e saídas nos processos produtivos, existem oportunidades de sinergias envolvendo o compartilhamento de serviços de gerenciamento de materiais excedentes dos processos produtivos. Além disso, a estrutura e proximidade física proporcionada por parques que seguem um modelo de condomínio empresarial favorece o compartilhamento de utilidades de processo. </w:t>
      </w:r>
      <w:r w:rsidR="005230D9">
        <w:rPr>
          <w:lang w:val="pt-BR"/>
        </w:rPr>
        <w:t xml:space="preserve">Assim, </w:t>
      </w:r>
      <w:r w:rsidRPr="00C14E3D">
        <w:rPr>
          <w:lang w:val="pt-BR"/>
        </w:rPr>
        <w:t xml:space="preserve">essa pesquisa identificou, como principal estratégia para transição de parques de uso misto e logístico a EIP, o compartilhamento de utilidades e serviços, aliando-se a gestão da oferta e da demanda de recursos como materiais, água e energia. </w:t>
      </w:r>
    </w:p>
    <w:p w14:paraId="61E0CC8D" w14:textId="214D185B" w:rsidR="005B099A" w:rsidRDefault="00992CF5" w:rsidP="005230D9">
      <w:pPr>
        <w:rPr>
          <w:lang w:val="pt-BR"/>
        </w:rPr>
      </w:pPr>
      <w:r w:rsidRPr="00C14E3D">
        <w:rPr>
          <w:lang w:val="pt-BR"/>
        </w:rPr>
        <w:lastRenderedPageBreak/>
        <w:t xml:space="preserve">A pesquisa apresenta algumas limitações. </w:t>
      </w:r>
      <w:r w:rsidR="005230D9">
        <w:rPr>
          <w:lang w:val="pt-BR"/>
        </w:rPr>
        <w:t>Pela</w:t>
      </w:r>
      <w:r w:rsidRPr="00C14E3D">
        <w:rPr>
          <w:lang w:val="pt-BR"/>
        </w:rPr>
        <w:t xml:space="preserve"> ausência de dados quantitativos, o estudo delimitou-se em uma análise empírica qualitativa de estudo de caso único. </w:t>
      </w:r>
      <w:r w:rsidR="005230D9">
        <w:rPr>
          <w:lang w:val="pt-BR"/>
        </w:rPr>
        <w:t>P</w:t>
      </w:r>
      <w:r w:rsidRPr="00C14E3D">
        <w:rPr>
          <w:lang w:val="pt-BR"/>
        </w:rPr>
        <w:t>ara trabalhos futuros, outros parques logísticos podem ser investigados</w:t>
      </w:r>
      <w:r w:rsidR="005230D9">
        <w:rPr>
          <w:lang w:val="pt-BR"/>
        </w:rPr>
        <w:t xml:space="preserve">, assim como </w:t>
      </w:r>
      <w:r w:rsidRPr="00C14E3D">
        <w:rPr>
          <w:lang w:val="pt-BR"/>
        </w:rPr>
        <w:t xml:space="preserve">uma continuidade pode ser realizada por meio da implementação das estratégias propostas, elaboração de indicadores e monitoramento das ações. Outra possibilidade é a realização do estudo abrangendo os </w:t>
      </w:r>
      <w:r w:rsidRPr="00C14E3D">
        <w:rPr>
          <w:i/>
          <w:iCs/>
          <w:lang w:val="pt-BR"/>
        </w:rPr>
        <w:t>stakeholders</w:t>
      </w:r>
      <w:r w:rsidRPr="00C14E3D">
        <w:rPr>
          <w:lang w:val="pt-BR"/>
        </w:rPr>
        <w:t xml:space="preserve"> principais das empresas, como seus principais clientes e fornecedores.</w:t>
      </w:r>
    </w:p>
    <w:p w14:paraId="00953FF7" w14:textId="77777777" w:rsidR="00961299" w:rsidRDefault="00961299" w:rsidP="005230D9">
      <w:pPr>
        <w:rPr>
          <w:lang w:val="pt-BR"/>
        </w:rPr>
      </w:pPr>
    </w:p>
    <w:p w14:paraId="60334773" w14:textId="1414043D" w:rsidR="00961299" w:rsidRPr="00961299" w:rsidRDefault="00961299" w:rsidP="005230D9">
      <w:pPr>
        <w:rPr>
          <w:b/>
          <w:bCs/>
          <w:lang w:val="pt-BR"/>
        </w:rPr>
      </w:pPr>
      <w:r w:rsidRPr="00961299">
        <w:rPr>
          <w:b/>
          <w:bCs/>
          <w:lang w:val="pt-BR"/>
        </w:rPr>
        <w:t>Agradecimentos</w:t>
      </w:r>
    </w:p>
    <w:p w14:paraId="365638A4" w14:textId="473D1B75" w:rsidR="00961299" w:rsidRPr="005230D9" w:rsidRDefault="00961299" w:rsidP="005230D9">
      <w:pPr>
        <w:rPr>
          <w:b/>
          <w:lang w:val="pt-BR"/>
        </w:rPr>
      </w:pPr>
      <w:r>
        <w:rPr>
          <w:lang w:val="pt-BR"/>
        </w:rPr>
        <w:t>Os autores agradecem ao CNPq pela bolsa DT2 a um dos pesquisadores.</w:t>
      </w:r>
      <w:r w:rsidR="004F1D91">
        <w:rPr>
          <w:lang w:val="pt-BR"/>
        </w:rPr>
        <w:t xml:space="preserve"> Agradecemos também o </w:t>
      </w:r>
      <w:r w:rsidR="004F1D91" w:rsidRPr="004F1D91">
        <w:rPr>
          <w:lang w:val="pt-BR"/>
        </w:rPr>
        <w:t>Ecoparque Lourenço &amp; Souza</w:t>
      </w:r>
      <w:r w:rsidR="004F1D91">
        <w:rPr>
          <w:lang w:val="pt-BR"/>
        </w:rPr>
        <w:t xml:space="preserve"> de Sapucai</w:t>
      </w:r>
      <w:r w:rsidR="000D4C81">
        <w:rPr>
          <w:lang w:val="pt-BR"/>
        </w:rPr>
        <w:t xml:space="preserve">a </w:t>
      </w:r>
      <w:r w:rsidR="004F1D91">
        <w:rPr>
          <w:lang w:val="pt-BR"/>
        </w:rPr>
        <w:t>do Sul – RS</w:t>
      </w:r>
      <w:r w:rsidR="000D4C81">
        <w:rPr>
          <w:lang w:val="pt-BR"/>
        </w:rPr>
        <w:t xml:space="preserve"> </w:t>
      </w:r>
      <w:r w:rsidR="004F1D91">
        <w:rPr>
          <w:lang w:val="pt-BR"/>
        </w:rPr>
        <w:t>pela oportunidade do estudo.</w:t>
      </w:r>
    </w:p>
    <w:p w14:paraId="44E0A3C3" w14:textId="6A4909EE" w:rsidR="00BE083D" w:rsidRPr="008E416D" w:rsidRDefault="004E3765" w:rsidP="00E97ED4">
      <w:pPr>
        <w:spacing w:after="120"/>
        <w:rPr>
          <w:b/>
          <w:szCs w:val="24"/>
          <w:lang w:val="pt-BR"/>
        </w:rPr>
      </w:pPr>
      <w:r w:rsidRPr="008E416D">
        <w:rPr>
          <w:b/>
          <w:szCs w:val="24"/>
          <w:lang w:val="pt-BR"/>
        </w:rPr>
        <w:t>Referências</w:t>
      </w:r>
    </w:p>
    <w:p w14:paraId="3F45FDBE" w14:textId="33B9F266" w:rsidR="00276160" w:rsidRDefault="00276160" w:rsidP="005230D9">
      <w:pPr>
        <w:spacing w:before="240" w:after="240"/>
        <w:jc w:val="left"/>
        <w:rPr>
          <w:szCs w:val="24"/>
          <w:lang w:val="pt-BR"/>
        </w:rPr>
      </w:pPr>
      <w:r>
        <w:rPr>
          <w:szCs w:val="24"/>
          <w:lang w:val="pt-BR"/>
        </w:rPr>
        <w:t xml:space="preserve">ABRALOG. E-commerce garante crescimento do setor de condomínios logísticos. 2021. Disponível em: </w:t>
      </w:r>
      <w:r w:rsidRPr="00276160">
        <w:rPr>
          <w:szCs w:val="24"/>
          <w:lang w:val="pt-BR"/>
        </w:rPr>
        <w:t>https://www.abralog.com.br/noticias/e-commerce-garante-crescimento-do-setor-de-condominios-logisticos/</w:t>
      </w:r>
      <w:r>
        <w:rPr>
          <w:szCs w:val="24"/>
          <w:lang w:val="pt-BR"/>
        </w:rPr>
        <w:t>. Acesso em: 28 abr. 2021.</w:t>
      </w:r>
    </w:p>
    <w:p w14:paraId="03CBE37B" w14:textId="74822157" w:rsidR="005230D9" w:rsidRPr="005230D9" w:rsidRDefault="005230D9" w:rsidP="005230D9">
      <w:pPr>
        <w:spacing w:before="240" w:after="240"/>
        <w:jc w:val="left"/>
        <w:rPr>
          <w:szCs w:val="24"/>
          <w:lang w:val="pt-BR"/>
        </w:rPr>
      </w:pPr>
      <w:r w:rsidRPr="005230D9">
        <w:rPr>
          <w:szCs w:val="24"/>
          <w:lang w:val="pt-BR"/>
        </w:rPr>
        <w:t xml:space="preserve">BORO, G. </w:t>
      </w:r>
      <w:r w:rsidRPr="005230D9">
        <w:rPr>
          <w:b/>
          <w:bCs/>
          <w:szCs w:val="24"/>
          <w:lang w:val="pt-BR"/>
        </w:rPr>
        <w:t>A Expansão do varejo on-line no Brasil (2010-2020) e seus potenciais impactos econômicos no setor logístico: o caso do Mercado Livre</w:t>
      </w:r>
      <w:r w:rsidRPr="005230D9">
        <w:rPr>
          <w:szCs w:val="24"/>
          <w:lang w:val="pt-BR"/>
        </w:rPr>
        <w:t>. 2021. Trabalho de Conclusão de Curso (Bacharelado em Ciências Econômicas) - Universidade Federal de São Paulo, São Paulo, 2021. Disponível em: https://repositorio.unifesp.br/bitstream/handle/11600/61610/Monografia - Guilherme Boro - 113.738 - versão final.pdf?sequence=1&amp;isAllowed=y. Acesso em: 20 fev. 2022.</w:t>
      </w:r>
    </w:p>
    <w:p w14:paraId="4C2DA576" w14:textId="77777777" w:rsidR="005230D9" w:rsidRPr="005230D9" w:rsidRDefault="005230D9" w:rsidP="005230D9">
      <w:pPr>
        <w:spacing w:before="240" w:after="240"/>
        <w:jc w:val="left"/>
        <w:rPr>
          <w:szCs w:val="24"/>
          <w:lang w:val="pt-BR"/>
        </w:rPr>
      </w:pPr>
      <w:r w:rsidRPr="005230D9">
        <w:rPr>
          <w:color w:val="000000"/>
          <w:szCs w:val="24"/>
        </w:rPr>
        <w:t xml:space="preserve">CHERTOW, M. Industrial symbiosis: Literature and taxonomy. </w:t>
      </w:r>
      <w:r w:rsidRPr="000A3861">
        <w:rPr>
          <w:b/>
          <w:bCs/>
          <w:color w:val="000000"/>
          <w:szCs w:val="24"/>
        </w:rPr>
        <w:t>Annual Review of Energy and the Environment</w:t>
      </w:r>
      <w:r w:rsidRPr="000A3861">
        <w:rPr>
          <w:color w:val="000000"/>
          <w:szCs w:val="24"/>
        </w:rPr>
        <w:t>, [</w:t>
      </w:r>
      <w:r w:rsidRPr="000A3861">
        <w:rPr>
          <w:i/>
          <w:iCs/>
          <w:color w:val="000000"/>
          <w:szCs w:val="24"/>
        </w:rPr>
        <w:t>s. l.</w:t>
      </w:r>
      <w:r w:rsidRPr="000A3861">
        <w:rPr>
          <w:color w:val="000000"/>
          <w:szCs w:val="24"/>
        </w:rPr>
        <w:t xml:space="preserve">], v. 25, n. 1, p. 313–337, 2000. </w:t>
      </w:r>
      <w:r w:rsidRPr="005230D9">
        <w:rPr>
          <w:color w:val="000000"/>
          <w:szCs w:val="24"/>
          <w:lang w:val="pt-BR"/>
        </w:rPr>
        <w:t>Disponível em: https://doi.org/10.1146/annurev.energy.25.1.313. Acesso em: 3 mar. 2021.</w:t>
      </w:r>
    </w:p>
    <w:p w14:paraId="0E31706B" w14:textId="77777777" w:rsidR="005230D9" w:rsidRPr="005230D9" w:rsidRDefault="005230D9" w:rsidP="005230D9">
      <w:pPr>
        <w:spacing w:before="240" w:after="240"/>
        <w:jc w:val="left"/>
        <w:rPr>
          <w:szCs w:val="24"/>
          <w:lang w:val="pt-BR"/>
        </w:rPr>
      </w:pPr>
      <w:r w:rsidRPr="000A3861">
        <w:rPr>
          <w:color w:val="000000"/>
          <w:szCs w:val="24"/>
        </w:rPr>
        <w:t xml:space="preserve">CHERTOW, M. </w:t>
      </w:r>
      <w:r w:rsidRPr="000A3861">
        <w:rPr>
          <w:i/>
          <w:iCs/>
          <w:color w:val="000000"/>
          <w:szCs w:val="24"/>
        </w:rPr>
        <w:t xml:space="preserve">et al. </w:t>
      </w:r>
      <w:r w:rsidRPr="000A3861">
        <w:rPr>
          <w:color w:val="000000"/>
          <w:szCs w:val="24"/>
        </w:rPr>
        <w:t xml:space="preserve">Tracking the diffusion of industrial symbiosis scholarship using bibliometrics: Comparing across Web of Science, Scopus, and Google Scholar. </w:t>
      </w:r>
      <w:r w:rsidRPr="005230D9">
        <w:rPr>
          <w:b/>
          <w:bCs/>
          <w:color w:val="000000"/>
          <w:szCs w:val="24"/>
          <w:lang w:val="pt-BR"/>
        </w:rPr>
        <w:t>Journal of Industrial Ecology</w:t>
      </w:r>
      <w:r w:rsidRPr="005230D9">
        <w:rPr>
          <w:color w:val="000000"/>
          <w:szCs w:val="24"/>
          <w:lang w:val="pt-BR"/>
        </w:rPr>
        <w:t>, [</w:t>
      </w:r>
      <w:r w:rsidRPr="005230D9">
        <w:rPr>
          <w:i/>
          <w:iCs/>
          <w:color w:val="000000"/>
          <w:szCs w:val="24"/>
          <w:lang w:val="pt-BR"/>
        </w:rPr>
        <w:t>s. l.</w:t>
      </w:r>
      <w:r w:rsidRPr="005230D9">
        <w:rPr>
          <w:color w:val="000000"/>
          <w:szCs w:val="24"/>
          <w:lang w:val="pt-BR"/>
        </w:rPr>
        <w:t>], 2021. Disponível em: https://doi.org/10.1111/jiec.13099. Acesso em: 3 mar. 2021.</w:t>
      </w:r>
    </w:p>
    <w:p w14:paraId="65CDC090" w14:textId="77777777" w:rsidR="005230D9" w:rsidRPr="000A3861" w:rsidRDefault="005230D9" w:rsidP="005230D9">
      <w:pPr>
        <w:spacing w:before="240" w:after="240"/>
        <w:jc w:val="left"/>
        <w:rPr>
          <w:szCs w:val="24"/>
        </w:rPr>
      </w:pPr>
      <w:r w:rsidRPr="00EC6579">
        <w:rPr>
          <w:color w:val="000000"/>
          <w:szCs w:val="24"/>
        </w:rPr>
        <w:t xml:space="preserve">DONG, L. </w:t>
      </w:r>
      <w:r w:rsidRPr="00EC6579">
        <w:rPr>
          <w:i/>
          <w:iCs/>
          <w:color w:val="000000"/>
          <w:szCs w:val="24"/>
        </w:rPr>
        <w:t>et al.</w:t>
      </w:r>
      <w:r w:rsidRPr="00EC6579">
        <w:rPr>
          <w:color w:val="000000"/>
          <w:szCs w:val="24"/>
        </w:rPr>
        <w:t xml:space="preserve"> </w:t>
      </w:r>
      <w:r w:rsidRPr="000A3861">
        <w:rPr>
          <w:color w:val="000000"/>
          <w:szCs w:val="24"/>
        </w:rPr>
        <w:t xml:space="preserve">Promoting low-carbon city through industrial symbiosis: A case in China by applying HPIMO model. </w:t>
      </w:r>
      <w:r w:rsidRPr="005230D9">
        <w:rPr>
          <w:b/>
          <w:bCs/>
          <w:color w:val="000000"/>
          <w:szCs w:val="24"/>
          <w:lang w:val="pt-BR"/>
        </w:rPr>
        <w:t>Energy Policy</w:t>
      </w:r>
      <w:r w:rsidRPr="005230D9">
        <w:rPr>
          <w:color w:val="000000"/>
          <w:szCs w:val="24"/>
          <w:lang w:val="pt-BR"/>
        </w:rPr>
        <w:t>, [</w:t>
      </w:r>
      <w:r w:rsidRPr="005230D9">
        <w:rPr>
          <w:i/>
          <w:iCs/>
          <w:color w:val="000000"/>
          <w:szCs w:val="24"/>
          <w:lang w:val="pt-BR"/>
        </w:rPr>
        <w:t>s. l.</w:t>
      </w:r>
      <w:r w:rsidRPr="005230D9">
        <w:rPr>
          <w:color w:val="000000"/>
          <w:szCs w:val="24"/>
          <w:lang w:val="pt-BR"/>
        </w:rPr>
        <w:t xml:space="preserve">], v. 61, p. 864–873, 2013. Disponível em: https://doi.org/10.1016/j.enpol.2013.06.084. </w:t>
      </w:r>
      <w:r w:rsidRPr="000A3861">
        <w:rPr>
          <w:color w:val="000000"/>
          <w:szCs w:val="24"/>
        </w:rPr>
        <w:t>Acesso em: 20 mar. 2021.</w:t>
      </w:r>
    </w:p>
    <w:p w14:paraId="200AEB0C" w14:textId="77777777" w:rsidR="005230D9" w:rsidRPr="00EC6579" w:rsidRDefault="005230D9" w:rsidP="005230D9">
      <w:pPr>
        <w:spacing w:before="240" w:after="240"/>
        <w:jc w:val="left"/>
        <w:rPr>
          <w:szCs w:val="24"/>
          <w:lang w:val="pt-BR"/>
        </w:rPr>
      </w:pPr>
      <w:r w:rsidRPr="000A3861">
        <w:rPr>
          <w:color w:val="000000"/>
          <w:szCs w:val="24"/>
        </w:rPr>
        <w:t xml:space="preserve">GENC, O. </w:t>
      </w:r>
      <w:r w:rsidRPr="000A3861">
        <w:rPr>
          <w:i/>
          <w:iCs/>
          <w:color w:val="000000"/>
          <w:szCs w:val="24"/>
        </w:rPr>
        <w:t>et al.</w:t>
      </w:r>
      <w:r w:rsidRPr="000A3861">
        <w:rPr>
          <w:color w:val="000000"/>
          <w:szCs w:val="24"/>
        </w:rPr>
        <w:t xml:space="preserve"> A socio-ecological approach to improve industrial zones towards eco-industrial parks. </w:t>
      </w:r>
      <w:r w:rsidRPr="000A3861">
        <w:rPr>
          <w:b/>
          <w:bCs/>
          <w:color w:val="000000"/>
          <w:szCs w:val="24"/>
        </w:rPr>
        <w:t>Journal of Environmental Management</w:t>
      </w:r>
      <w:r w:rsidRPr="000A3861">
        <w:rPr>
          <w:color w:val="000000"/>
          <w:szCs w:val="24"/>
        </w:rPr>
        <w:t>, [</w:t>
      </w:r>
      <w:r w:rsidRPr="000A3861">
        <w:rPr>
          <w:i/>
          <w:iCs/>
          <w:color w:val="000000"/>
          <w:szCs w:val="24"/>
        </w:rPr>
        <w:t>s. l.</w:t>
      </w:r>
      <w:r w:rsidRPr="000A3861">
        <w:rPr>
          <w:color w:val="000000"/>
          <w:szCs w:val="24"/>
        </w:rPr>
        <w:t xml:space="preserve">], v. 250, 2019. </w:t>
      </w:r>
      <w:r w:rsidRPr="00EC6579">
        <w:rPr>
          <w:color w:val="000000"/>
          <w:szCs w:val="24"/>
          <w:lang w:val="pt-BR"/>
        </w:rPr>
        <w:t>Disponível em: https://doi.org/10.1016/j.jenvman.2019.109507. Acesso em: 21 set. 2021.</w:t>
      </w:r>
    </w:p>
    <w:p w14:paraId="5DE7F0D1" w14:textId="77777777" w:rsidR="005230D9" w:rsidRPr="005230D9" w:rsidRDefault="005230D9" w:rsidP="005230D9">
      <w:pPr>
        <w:spacing w:before="240" w:after="240"/>
        <w:jc w:val="left"/>
        <w:rPr>
          <w:szCs w:val="24"/>
          <w:lang w:val="pt-BR"/>
        </w:rPr>
      </w:pPr>
      <w:r w:rsidRPr="000A3861">
        <w:rPr>
          <w:color w:val="000000"/>
          <w:szCs w:val="24"/>
        </w:rPr>
        <w:t xml:space="preserve">GENG, Y.; CÔTÉ, R. P. Scavengers and decomposers in an eco-industrial park. </w:t>
      </w:r>
      <w:r w:rsidRPr="000A3861">
        <w:rPr>
          <w:b/>
          <w:bCs/>
          <w:color w:val="000000"/>
          <w:szCs w:val="24"/>
        </w:rPr>
        <w:t>International Journal of Sustainable Development and World Ecology</w:t>
      </w:r>
      <w:r w:rsidRPr="000A3861">
        <w:rPr>
          <w:color w:val="000000"/>
          <w:szCs w:val="24"/>
        </w:rPr>
        <w:t>, [</w:t>
      </w:r>
      <w:r w:rsidRPr="000A3861">
        <w:rPr>
          <w:i/>
          <w:iCs/>
          <w:color w:val="000000"/>
          <w:szCs w:val="24"/>
        </w:rPr>
        <w:t>s. l.</w:t>
      </w:r>
      <w:r w:rsidRPr="000A3861">
        <w:rPr>
          <w:color w:val="000000"/>
          <w:szCs w:val="24"/>
        </w:rPr>
        <w:t xml:space="preserve">], v. 9, n. 4, p. </w:t>
      </w:r>
      <w:r w:rsidRPr="000A3861">
        <w:rPr>
          <w:color w:val="000000"/>
          <w:szCs w:val="24"/>
        </w:rPr>
        <w:lastRenderedPageBreak/>
        <w:t xml:space="preserve">333–340, 2002. </w:t>
      </w:r>
      <w:r w:rsidRPr="005230D9">
        <w:rPr>
          <w:color w:val="000000"/>
          <w:szCs w:val="24"/>
          <w:lang w:val="pt-BR"/>
        </w:rPr>
        <w:t>Disponível em: https://doi.org/10.1080/13504500209470128. Acesso em: 3 nov. 2021.</w:t>
      </w:r>
    </w:p>
    <w:p w14:paraId="6AC2388A" w14:textId="77777777" w:rsidR="005230D9" w:rsidRDefault="005230D9" w:rsidP="005230D9">
      <w:pPr>
        <w:spacing w:before="240" w:after="240"/>
        <w:jc w:val="left"/>
        <w:rPr>
          <w:color w:val="000000"/>
          <w:szCs w:val="24"/>
        </w:rPr>
      </w:pPr>
      <w:r w:rsidRPr="005230D9">
        <w:rPr>
          <w:color w:val="000000"/>
          <w:szCs w:val="24"/>
          <w:lang w:val="pt-BR"/>
        </w:rPr>
        <w:t xml:space="preserve">HERZER, E. </w:t>
      </w:r>
      <w:r w:rsidRPr="005230D9">
        <w:rPr>
          <w:i/>
          <w:iCs/>
          <w:color w:val="000000"/>
          <w:szCs w:val="24"/>
          <w:lang w:val="pt-BR"/>
        </w:rPr>
        <w:t>et al.</w:t>
      </w:r>
      <w:r w:rsidRPr="005230D9">
        <w:rPr>
          <w:color w:val="000000"/>
          <w:szCs w:val="24"/>
          <w:lang w:val="pt-BR"/>
        </w:rPr>
        <w:t xml:space="preserve"> Simbiose Industrial e a redução dos impactos ambientais dos processos produtivos: estudos realizados entre 2012 e 2017.</w:t>
      </w:r>
      <w:r w:rsidRPr="005230D9">
        <w:rPr>
          <w:b/>
          <w:bCs/>
          <w:color w:val="000000"/>
          <w:szCs w:val="24"/>
          <w:lang w:val="pt-BR"/>
        </w:rPr>
        <w:t xml:space="preserve"> COLÓQUIO - Revista do Desenvolvimento Regional</w:t>
      </w:r>
      <w:r w:rsidRPr="005230D9">
        <w:rPr>
          <w:color w:val="000000"/>
          <w:szCs w:val="24"/>
          <w:lang w:val="pt-BR"/>
        </w:rPr>
        <w:t xml:space="preserve">. Taquara, 2020. Disponível em: https://doi.org/10.26767/COLOQUIO.V17I3.1742. </w:t>
      </w:r>
      <w:r w:rsidRPr="002E1C02">
        <w:rPr>
          <w:color w:val="000000"/>
          <w:szCs w:val="24"/>
        </w:rPr>
        <w:t>Acesso em: 7 set. 2021.</w:t>
      </w:r>
    </w:p>
    <w:p w14:paraId="0991F383" w14:textId="77777777" w:rsidR="005230D9" w:rsidRPr="005230D9" w:rsidRDefault="005230D9" w:rsidP="005230D9">
      <w:pPr>
        <w:spacing w:before="240" w:after="240"/>
        <w:jc w:val="left"/>
        <w:rPr>
          <w:szCs w:val="24"/>
          <w:lang w:val="pt-BR"/>
        </w:rPr>
      </w:pPr>
      <w:r w:rsidRPr="000A3861">
        <w:rPr>
          <w:color w:val="000000"/>
          <w:szCs w:val="24"/>
        </w:rPr>
        <w:t xml:space="preserve">JI, Y. </w:t>
      </w:r>
      <w:r w:rsidRPr="000A3861">
        <w:rPr>
          <w:i/>
          <w:iCs/>
          <w:color w:val="000000"/>
          <w:szCs w:val="24"/>
        </w:rPr>
        <w:t>et al.</w:t>
      </w:r>
      <w:r w:rsidRPr="000A3861">
        <w:rPr>
          <w:color w:val="000000"/>
          <w:szCs w:val="24"/>
        </w:rPr>
        <w:t xml:space="preserve"> Which factors promote or inhibit enterprises’ participation in industrial symbiosis? An analytical approach and a case study in China. </w:t>
      </w:r>
      <w:r w:rsidRPr="000A3861">
        <w:rPr>
          <w:b/>
          <w:bCs/>
          <w:color w:val="000000"/>
          <w:szCs w:val="24"/>
        </w:rPr>
        <w:t>Journal of Cleaner Production</w:t>
      </w:r>
      <w:r w:rsidRPr="000A3861">
        <w:rPr>
          <w:color w:val="000000"/>
          <w:szCs w:val="24"/>
        </w:rPr>
        <w:t>, [</w:t>
      </w:r>
      <w:r w:rsidRPr="000A3861">
        <w:rPr>
          <w:i/>
          <w:iCs/>
          <w:color w:val="000000"/>
          <w:szCs w:val="24"/>
        </w:rPr>
        <w:t>s. l.</w:t>
      </w:r>
      <w:r w:rsidRPr="000A3861">
        <w:rPr>
          <w:color w:val="000000"/>
          <w:szCs w:val="24"/>
        </w:rPr>
        <w:t xml:space="preserve">], v. 244, p. 118600, 2020a. </w:t>
      </w:r>
      <w:r w:rsidRPr="005230D9">
        <w:rPr>
          <w:color w:val="000000"/>
          <w:szCs w:val="24"/>
          <w:lang w:val="pt-BR"/>
        </w:rPr>
        <w:t>Disponível em: https://doi.org/10.1016/J.JCLEPRO.2019.118600. Acesso em: 18 mar. 2021.</w:t>
      </w:r>
    </w:p>
    <w:p w14:paraId="3F379061" w14:textId="77777777" w:rsidR="005230D9" w:rsidRPr="000A3861" w:rsidRDefault="005230D9" w:rsidP="005230D9">
      <w:pPr>
        <w:spacing w:before="240" w:after="240"/>
        <w:jc w:val="left"/>
        <w:rPr>
          <w:szCs w:val="24"/>
        </w:rPr>
      </w:pPr>
      <w:r w:rsidRPr="000C45D1">
        <w:rPr>
          <w:color w:val="000000"/>
          <w:szCs w:val="24"/>
        </w:rPr>
        <w:t xml:space="preserve">KALUNDBORG SYMBIOSIS. </w:t>
      </w:r>
      <w:r w:rsidRPr="000C45D1">
        <w:rPr>
          <w:b/>
          <w:bCs/>
          <w:color w:val="000000"/>
          <w:szCs w:val="24"/>
        </w:rPr>
        <w:t>Guide for industrial symbiosis facilitators</w:t>
      </w:r>
      <w:r w:rsidRPr="000C45D1">
        <w:rPr>
          <w:color w:val="000000"/>
          <w:szCs w:val="24"/>
        </w:rPr>
        <w:t xml:space="preserve">. </w:t>
      </w:r>
      <w:r w:rsidRPr="005230D9">
        <w:rPr>
          <w:color w:val="000000"/>
          <w:szCs w:val="24"/>
          <w:lang w:val="pt-BR"/>
        </w:rPr>
        <w:t>[s.l.]: [</w:t>
      </w:r>
      <w:r w:rsidRPr="005230D9">
        <w:rPr>
          <w:i/>
          <w:iCs/>
          <w:color w:val="000000"/>
          <w:szCs w:val="24"/>
          <w:lang w:val="pt-BR"/>
        </w:rPr>
        <w:t>s. n.</w:t>
      </w:r>
      <w:r w:rsidRPr="005230D9">
        <w:rPr>
          <w:color w:val="000000"/>
          <w:szCs w:val="24"/>
          <w:lang w:val="pt-BR"/>
        </w:rPr>
        <w:t xml:space="preserve">], 2021. Disponível em: http://www.symbiosis.dk/en/. </w:t>
      </w:r>
      <w:r w:rsidRPr="000A3861">
        <w:rPr>
          <w:color w:val="000000"/>
          <w:szCs w:val="24"/>
        </w:rPr>
        <w:t>Acesso em: 13 mar. 2021.</w:t>
      </w:r>
    </w:p>
    <w:p w14:paraId="51AA9E06" w14:textId="77777777" w:rsidR="005230D9" w:rsidRPr="00EC6579" w:rsidRDefault="005230D9" w:rsidP="005230D9">
      <w:pPr>
        <w:spacing w:before="240" w:after="240"/>
        <w:jc w:val="left"/>
        <w:rPr>
          <w:szCs w:val="24"/>
          <w:lang w:val="pt-BR"/>
        </w:rPr>
      </w:pPr>
      <w:r w:rsidRPr="000A3861">
        <w:rPr>
          <w:color w:val="000000"/>
          <w:szCs w:val="24"/>
        </w:rPr>
        <w:t xml:space="preserve">KECHICHIAN, E.; JEONG, M. H. </w:t>
      </w:r>
      <w:r w:rsidRPr="000A3861">
        <w:rPr>
          <w:b/>
          <w:bCs/>
          <w:color w:val="000000"/>
          <w:szCs w:val="24"/>
        </w:rPr>
        <w:t>Mainstreaming Eco-Industrial Parks</w:t>
      </w:r>
      <w:r w:rsidRPr="000A3861">
        <w:rPr>
          <w:color w:val="000000"/>
          <w:szCs w:val="24"/>
        </w:rPr>
        <w:t xml:space="preserve">. </w:t>
      </w:r>
      <w:r w:rsidRPr="00EC6579">
        <w:rPr>
          <w:color w:val="000000"/>
          <w:szCs w:val="24"/>
        </w:rPr>
        <w:t>Washington, DC: [</w:t>
      </w:r>
      <w:r w:rsidRPr="00EC6579">
        <w:rPr>
          <w:i/>
          <w:iCs/>
          <w:color w:val="000000"/>
          <w:szCs w:val="24"/>
        </w:rPr>
        <w:t>s. n.</w:t>
      </w:r>
      <w:r w:rsidRPr="00EC6579">
        <w:rPr>
          <w:color w:val="000000"/>
          <w:szCs w:val="24"/>
        </w:rPr>
        <w:t xml:space="preserve">], 2016. </w:t>
      </w:r>
      <w:r w:rsidRPr="005230D9">
        <w:rPr>
          <w:color w:val="000000"/>
          <w:szCs w:val="24"/>
          <w:lang w:val="pt-BR"/>
        </w:rPr>
        <w:t xml:space="preserve">Disponível em: https://openknowledge.worldbank.org/handle/10986/24921. </w:t>
      </w:r>
      <w:r w:rsidRPr="00EC6579">
        <w:rPr>
          <w:color w:val="000000"/>
          <w:szCs w:val="24"/>
          <w:lang w:val="pt-BR"/>
        </w:rPr>
        <w:t>Acesso em: 05 nov. 2021.</w:t>
      </w:r>
    </w:p>
    <w:p w14:paraId="00B1276B" w14:textId="77777777" w:rsidR="005230D9" w:rsidRPr="000A3861" w:rsidRDefault="005230D9" w:rsidP="005230D9">
      <w:pPr>
        <w:spacing w:before="240" w:after="240"/>
        <w:jc w:val="left"/>
        <w:rPr>
          <w:szCs w:val="24"/>
        </w:rPr>
      </w:pPr>
      <w:r w:rsidRPr="000A3861">
        <w:rPr>
          <w:color w:val="000000"/>
          <w:szCs w:val="24"/>
        </w:rPr>
        <w:t xml:space="preserve">LAMBERT, A.; BOONS, F. Eco-industrial parks: Stimulating sustainable development in mixed industrial parks. </w:t>
      </w:r>
      <w:r w:rsidRPr="005230D9">
        <w:rPr>
          <w:b/>
          <w:bCs/>
          <w:color w:val="000000"/>
          <w:szCs w:val="24"/>
          <w:lang w:val="pt-BR"/>
        </w:rPr>
        <w:t>Technovation</w:t>
      </w:r>
      <w:r w:rsidRPr="005230D9">
        <w:rPr>
          <w:color w:val="000000"/>
          <w:szCs w:val="24"/>
          <w:lang w:val="pt-BR"/>
        </w:rPr>
        <w:t>, [</w:t>
      </w:r>
      <w:r w:rsidRPr="005230D9">
        <w:rPr>
          <w:i/>
          <w:iCs/>
          <w:color w:val="000000"/>
          <w:szCs w:val="24"/>
          <w:lang w:val="pt-BR"/>
        </w:rPr>
        <w:t>s. l.</w:t>
      </w:r>
      <w:r w:rsidRPr="005230D9">
        <w:rPr>
          <w:color w:val="000000"/>
          <w:szCs w:val="24"/>
          <w:lang w:val="pt-BR"/>
        </w:rPr>
        <w:t xml:space="preserve">], v. 22, n. 8, p. 471–484, 2002. Disponível em: https://doi.org/10.1016/S0166-4972(01)00040-2. </w:t>
      </w:r>
      <w:r w:rsidRPr="000A3861">
        <w:rPr>
          <w:color w:val="000000"/>
          <w:szCs w:val="24"/>
        </w:rPr>
        <w:t>Acesso em: 6 set. 2021.</w:t>
      </w:r>
    </w:p>
    <w:p w14:paraId="24E243B1" w14:textId="77777777" w:rsidR="005230D9" w:rsidRPr="000E1E1D" w:rsidRDefault="005230D9" w:rsidP="005230D9">
      <w:pPr>
        <w:spacing w:before="240" w:after="240"/>
        <w:jc w:val="left"/>
        <w:rPr>
          <w:szCs w:val="24"/>
        </w:rPr>
      </w:pPr>
      <w:r w:rsidRPr="000A3861">
        <w:rPr>
          <w:color w:val="000000"/>
          <w:szCs w:val="24"/>
        </w:rPr>
        <w:t xml:space="preserve">LE TELLIER, M. </w:t>
      </w:r>
      <w:r w:rsidRPr="000A3861">
        <w:rPr>
          <w:i/>
          <w:iCs/>
          <w:color w:val="000000"/>
          <w:szCs w:val="24"/>
        </w:rPr>
        <w:t>et al.</w:t>
      </w:r>
      <w:r w:rsidRPr="000A3861">
        <w:rPr>
          <w:color w:val="000000"/>
          <w:szCs w:val="24"/>
        </w:rPr>
        <w:t xml:space="preserve"> Towards sustainable business parks: A literature review and a systemic model. </w:t>
      </w:r>
      <w:r w:rsidRPr="000A3861">
        <w:rPr>
          <w:b/>
          <w:bCs/>
          <w:color w:val="000000"/>
          <w:szCs w:val="24"/>
        </w:rPr>
        <w:t>Journal of Cleaner Production</w:t>
      </w:r>
      <w:r w:rsidRPr="000A3861">
        <w:rPr>
          <w:color w:val="000000"/>
          <w:szCs w:val="24"/>
        </w:rPr>
        <w:t>, [</w:t>
      </w:r>
      <w:r w:rsidRPr="000A3861">
        <w:rPr>
          <w:i/>
          <w:iCs/>
          <w:color w:val="000000"/>
          <w:szCs w:val="24"/>
        </w:rPr>
        <w:t>s. l.</w:t>
      </w:r>
      <w:r w:rsidRPr="000A3861">
        <w:rPr>
          <w:color w:val="000000"/>
          <w:szCs w:val="24"/>
        </w:rPr>
        <w:t xml:space="preserve">], v. 216, p. 129–138, 2019. </w:t>
      </w:r>
      <w:r w:rsidRPr="00AB05B1">
        <w:rPr>
          <w:color w:val="000000"/>
          <w:szCs w:val="24"/>
        </w:rPr>
        <w:t xml:space="preserve">Disponível em: https://doi.org/10.1016/j.jclepro.2019.01.145. </w:t>
      </w:r>
      <w:r w:rsidRPr="000E1E1D">
        <w:rPr>
          <w:color w:val="000000"/>
          <w:szCs w:val="24"/>
        </w:rPr>
        <w:t>Acesso em: 2 set. 2021.</w:t>
      </w:r>
    </w:p>
    <w:p w14:paraId="331C9F16" w14:textId="7BB6D0E7" w:rsidR="005230D9" w:rsidRPr="005230D9" w:rsidRDefault="005230D9" w:rsidP="005230D9">
      <w:pPr>
        <w:spacing w:before="240" w:after="240"/>
        <w:jc w:val="left"/>
        <w:rPr>
          <w:szCs w:val="24"/>
          <w:lang w:val="pt-BR"/>
        </w:rPr>
      </w:pPr>
      <w:r w:rsidRPr="000A3861">
        <w:rPr>
          <w:color w:val="000000"/>
          <w:szCs w:val="24"/>
        </w:rPr>
        <w:t xml:space="preserve">LOWE, E. A. </w:t>
      </w:r>
      <w:r w:rsidRPr="000A3861">
        <w:rPr>
          <w:i/>
          <w:iCs/>
          <w:color w:val="000000"/>
          <w:szCs w:val="24"/>
        </w:rPr>
        <w:t>et al.</w:t>
      </w:r>
      <w:r w:rsidRPr="000A3861">
        <w:rPr>
          <w:color w:val="000000"/>
          <w:szCs w:val="24"/>
        </w:rPr>
        <w:t xml:space="preserve"> </w:t>
      </w:r>
      <w:r w:rsidRPr="000A3861">
        <w:rPr>
          <w:b/>
          <w:bCs/>
          <w:color w:val="000000"/>
          <w:szCs w:val="24"/>
        </w:rPr>
        <w:t>Fieldbook for the Development of Eco-Industrial ParksIndigo Development</w:t>
      </w:r>
      <w:r w:rsidRPr="000A3861">
        <w:rPr>
          <w:color w:val="000000"/>
          <w:szCs w:val="24"/>
        </w:rPr>
        <w:t xml:space="preserve">. </w:t>
      </w:r>
      <w:r w:rsidRPr="005230D9">
        <w:rPr>
          <w:color w:val="000000"/>
          <w:szCs w:val="24"/>
          <w:lang w:val="pt-BR"/>
        </w:rPr>
        <w:t>[</w:t>
      </w:r>
      <w:r w:rsidRPr="005230D9">
        <w:rPr>
          <w:i/>
          <w:iCs/>
          <w:color w:val="000000"/>
          <w:szCs w:val="24"/>
          <w:lang w:val="pt-BR"/>
        </w:rPr>
        <w:t>S. l.: s. n.</w:t>
      </w:r>
      <w:r w:rsidRPr="005230D9">
        <w:rPr>
          <w:color w:val="000000"/>
          <w:szCs w:val="24"/>
          <w:lang w:val="pt-BR"/>
        </w:rPr>
        <w:t>], 1996. Disponível em: http://infohouse.p2ric.org/ref/10/09932.pdf. Acesso em: 13 mar. 2021.</w:t>
      </w:r>
    </w:p>
    <w:p w14:paraId="56AE4367" w14:textId="77777777" w:rsidR="005230D9" w:rsidRPr="005230D9" w:rsidRDefault="005230D9" w:rsidP="005230D9">
      <w:pPr>
        <w:spacing w:before="240" w:after="240"/>
        <w:jc w:val="left"/>
        <w:rPr>
          <w:szCs w:val="24"/>
          <w:lang w:val="pt-BR"/>
        </w:rPr>
      </w:pPr>
      <w:r w:rsidRPr="000A3861">
        <w:rPr>
          <w:color w:val="000000"/>
          <w:szCs w:val="24"/>
        </w:rPr>
        <w:t xml:space="preserve">NEVES, A. </w:t>
      </w:r>
      <w:r w:rsidRPr="000A3861">
        <w:rPr>
          <w:i/>
          <w:iCs/>
          <w:color w:val="000000"/>
          <w:szCs w:val="24"/>
        </w:rPr>
        <w:t>et al.</w:t>
      </w:r>
      <w:r w:rsidRPr="000A3861">
        <w:rPr>
          <w:color w:val="000000"/>
          <w:szCs w:val="24"/>
        </w:rPr>
        <w:t xml:space="preserve"> A comprehensive review of industrial symbiosis. </w:t>
      </w:r>
      <w:r w:rsidRPr="000A3861">
        <w:rPr>
          <w:b/>
          <w:bCs/>
          <w:color w:val="000000"/>
          <w:szCs w:val="24"/>
        </w:rPr>
        <w:t>Journal of Cleaner Production</w:t>
      </w:r>
      <w:r w:rsidRPr="000A3861">
        <w:rPr>
          <w:color w:val="000000"/>
          <w:szCs w:val="24"/>
        </w:rPr>
        <w:t>, [</w:t>
      </w:r>
      <w:r w:rsidRPr="000A3861">
        <w:rPr>
          <w:i/>
          <w:iCs/>
          <w:color w:val="000000"/>
          <w:szCs w:val="24"/>
        </w:rPr>
        <w:t>s. l.</w:t>
      </w:r>
      <w:r w:rsidRPr="000A3861">
        <w:rPr>
          <w:color w:val="000000"/>
          <w:szCs w:val="24"/>
        </w:rPr>
        <w:t xml:space="preserve">], v. 247, p. 119113, 2020. </w:t>
      </w:r>
      <w:r w:rsidRPr="00EC6579">
        <w:rPr>
          <w:color w:val="000000"/>
          <w:szCs w:val="24"/>
        </w:rPr>
        <w:t xml:space="preserve">Disponível em: https://doi.org/10.1016/j.jclepro.2019.119113. </w:t>
      </w:r>
      <w:r w:rsidRPr="005230D9">
        <w:rPr>
          <w:color w:val="000000"/>
          <w:szCs w:val="24"/>
          <w:lang w:val="pt-BR"/>
        </w:rPr>
        <w:t>Acesso em: 11 dez. 2020.</w:t>
      </w:r>
    </w:p>
    <w:p w14:paraId="7BB22A17" w14:textId="77777777" w:rsidR="005230D9" w:rsidRPr="005230D9" w:rsidRDefault="005230D9" w:rsidP="005230D9">
      <w:pPr>
        <w:spacing w:before="240" w:after="240"/>
        <w:jc w:val="left"/>
        <w:rPr>
          <w:color w:val="000000"/>
          <w:szCs w:val="24"/>
          <w:lang w:val="pt-BR"/>
        </w:rPr>
      </w:pPr>
      <w:r w:rsidRPr="005230D9">
        <w:rPr>
          <w:color w:val="000000"/>
          <w:szCs w:val="24"/>
          <w:lang w:val="pt-BR"/>
        </w:rPr>
        <w:t xml:space="preserve">ROCHA, L. K. </w:t>
      </w:r>
      <w:r w:rsidRPr="005230D9">
        <w:rPr>
          <w:b/>
          <w:bCs/>
          <w:color w:val="000000"/>
          <w:szCs w:val="24"/>
          <w:lang w:val="pt-BR"/>
        </w:rPr>
        <w:t>A Simbiose Industrial aplicada na inter-relação de empresas e seus stakeholders na cadeia produtiva metal-mecânica na bacia do Rio dos Sinos</w:t>
      </w:r>
      <w:r w:rsidRPr="005230D9">
        <w:rPr>
          <w:color w:val="000000"/>
          <w:szCs w:val="24"/>
          <w:lang w:val="pt-BR"/>
        </w:rPr>
        <w:t>. 210 f.  2010. Dissertação (Mestrado em Engenharia Civil), Universidade do Vale do Rio dos Sinos, São Leopoldo: 2010. </w:t>
      </w:r>
    </w:p>
    <w:p w14:paraId="115BB4F8" w14:textId="77777777" w:rsidR="005230D9" w:rsidRPr="00EC6579" w:rsidRDefault="005230D9" w:rsidP="005230D9">
      <w:pPr>
        <w:spacing w:before="240" w:after="240"/>
        <w:jc w:val="left"/>
        <w:rPr>
          <w:color w:val="000000"/>
          <w:szCs w:val="24"/>
        </w:rPr>
      </w:pPr>
      <w:r w:rsidRPr="000A3861">
        <w:rPr>
          <w:color w:val="000000"/>
          <w:szCs w:val="24"/>
        </w:rPr>
        <w:t xml:space="preserve">SUSUR, E.; </w:t>
      </w:r>
      <w:r w:rsidRPr="000A3861">
        <w:rPr>
          <w:i/>
          <w:iCs/>
          <w:color w:val="000000"/>
          <w:szCs w:val="24"/>
        </w:rPr>
        <w:t>et al</w:t>
      </w:r>
      <w:r w:rsidRPr="000A3861">
        <w:rPr>
          <w:color w:val="000000"/>
          <w:szCs w:val="24"/>
        </w:rPr>
        <w:t xml:space="preserve">. A strategic niche management perspective on transitions to eco-industrial park development: A systematic review of case studies. </w:t>
      </w:r>
      <w:r w:rsidRPr="000A3861">
        <w:rPr>
          <w:b/>
          <w:bCs/>
          <w:color w:val="000000"/>
          <w:szCs w:val="24"/>
        </w:rPr>
        <w:t>Resources, Conservation and Recycling</w:t>
      </w:r>
      <w:r w:rsidRPr="000A3861">
        <w:rPr>
          <w:color w:val="000000"/>
          <w:szCs w:val="24"/>
        </w:rPr>
        <w:t>, [</w:t>
      </w:r>
      <w:r w:rsidRPr="000A3861">
        <w:rPr>
          <w:i/>
          <w:iCs/>
          <w:color w:val="000000"/>
          <w:szCs w:val="24"/>
        </w:rPr>
        <w:t>s. l.</w:t>
      </w:r>
      <w:r w:rsidRPr="000A3861">
        <w:rPr>
          <w:color w:val="000000"/>
          <w:szCs w:val="24"/>
        </w:rPr>
        <w:t xml:space="preserve">], v. 140, p. 338–359, 2019. Disponível em: https://doi.org/10.1016/j.resconrec.2018.06.002. </w:t>
      </w:r>
      <w:r w:rsidRPr="00EC6579">
        <w:rPr>
          <w:color w:val="000000"/>
          <w:szCs w:val="24"/>
        </w:rPr>
        <w:t>Acesso em: 6 set. 2021.</w:t>
      </w:r>
    </w:p>
    <w:p w14:paraId="06A430AD" w14:textId="77777777" w:rsidR="005230D9" w:rsidRPr="005230D9" w:rsidRDefault="005230D9" w:rsidP="005230D9">
      <w:pPr>
        <w:spacing w:before="240" w:after="240"/>
        <w:jc w:val="left"/>
        <w:rPr>
          <w:szCs w:val="24"/>
          <w:lang w:val="pt-BR"/>
        </w:rPr>
      </w:pPr>
      <w:r w:rsidRPr="000A3861">
        <w:rPr>
          <w:color w:val="000000"/>
          <w:szCs w:val="24"/>
        </w:rPr>
        <w:lastRenderedPageBreak/>
        <w:t xml:space="preserve">TSENG, M.-L. </w:t>
      </w:r>
      <w:r w:rsidRPr="000A3861">
        <w:rPr>
          <w:i/>
          <w:iCs/>
          <w:color w:val="000000"/>
          <w:szCs w:val="24"/>
        </w:rPr>
        <w:t>et al.</w:t>
      </w:r>
      <w:r w:rsidRPr="000A3861">
        <w:rPr>
          <w:color w:val="000000"/>
          <w:szCs w:val="24"/>
        </w:rPr>
        <w:t xml:space="preserve"> A causal eco-industrial park hierarchical transition model with qualitative information: Policy and regulatory framework leads to collaboration among firms. </w:t>
      </w:r>
      <w:r w:rsidRPr="005230D9">
        <w:rPr>
          <w:b/>
          <w:bCs/>
          <w:color w:val="000000"/>
          <w:szCs w:val="24"/>
          <w:lang w:val="pt-BR"/>
        </w:rPr>
        <w:t>Journal of Environmental Management</w:t>
      </w:r>
      <w:r w:rsidRPr="005230D9">
        <w:rPr>
          <w:color w:val="000000"/>
          <w:szCs w:val="24"/>
          <w:lang w:val="pt-BR"/>
        </w:rPr>
        <w:t>, [</w:t>
      </w:r>
      <w:r w:rsidRPr="005230D9">
        <w:rPr>
          <w:i/>
          <w:iCs/>
          <w:color w:val="000000"/>
          <w:szCs w:val="24"/>
          <w:lang w:val="pt-BR"/>
        </w:rPr>
        <w:t>s. l.</w:t>
      </w:r>
      <w:r w:rsidRPr="005230D9">
        <w:rPr>
          <w:color w:val="000000"/>
          <w:szCs w:val="24"/>
          <w:lang w:val="pt-BR"/>
        </w:rPr>
        <w:t>], v. 292, p. 112735, 2021. Disponível em: https://doi.org/10.1016/j.jenvman.2021.112735. Acesso em: 25 ago. 2021.</w:t>
      </w:r>
    </w:p>
    <w:p w14:paraId="63EC1844" w14:textId="77777777" w:rsidR="005230D9" w:rsidRPr="000A3861" w:rsidRDefault="005230D9" w:rsidP="005230D9">
      <w:pPr>
        <w:spacing w:before="240" w:after="240"/>
        <w:jc w:val="left"/>
        <w:rPr>
          <w:szCs w:val="24"/>
        </w:rPr>
      </w:pPr>
      <w:r w:rsidRPr="000A3861">
        <w:rPr>
          <w:color w:val="000000"/>
          <w:szCs w:val="24"/>
        </w:rPr>
        <w:t xml:space="preserve">USPCSD. Eco-Industrial Park Workshop Proceedings. </w:t>
      </w:r>
      <w:r w:rsidRPr="000A3861">
        <w:rPr>
          <w:b/>
          <w:bCs/>
          <w:color w:val="000000"/>
          <w:szCs w:val="24"/>
        </w:rPr>
        <w:t>Eco-Industrial Park Workshop</w:t>
      </w:r>
      <w:r w:rsidRPr="000A3861">
        <w:rPr>
          <w:color w:val="000000"/>
          <w:szCs w:val="24"/>
        </w:rPr>
        <w:t xml:space="preserve">, Washington, 1996. </w:t>
      </w:r>
      <w:r w:rsidRPr="005230D9">
        <w:rPr>
          <w:color w:val="000000"/>
          <w:szCs w:val="24"/>
          <w:lang w:val="pt-BR"/>
        </w:rPr>
        <w:t xml:space="preserve">Disponível em: https://clintonwhitehouse2.archives.gov/PCSD/Publications/Eco_Workshop.html%0Ahttp://clinton2.nara.gov/PCSD/Publications/Eco_Workshop.html#for. </w:t>
      </w:r>
      <w:r w:rsidRPr="000A3861">
        <w:rPr>
          <w:color w:val="000000"/>
          <w:szCs w:val="24"/>
        </w:rPr>
        <w:t>Acesso em: 05 nov. 2021.</w:t>
      </w:r>
    </w:p>
    <w:p w14:paraId="51826637" w14:textId="77777777" w:rsidR="005230D9" w:rsidRPr="005230D9" w:rsidRDefault="005230D9" w:rsidP="005230D9">
      <w:pPr>
        <w:spacing w:before="240" w:after="240"/>
        <w:jc w:val="left"/>
        <w:rPr>
          <w:szCs w:val="24"/>
          <w:lang w:val="pt-BR"/>
        </w:rPr>
      </w:pPr>
      <w:r w:rsidRPr="000A3861">
        <w:rPr>
          <w:color w:val="000000"/>
          <w:szCs w:val="24"/>
        </w:rPr>
        <w:t xml:space="preserve">WANG, C. </w:t>
      </w:r>
      <w:r w:rsidRPr="000A3861">
        <w:rPr>
          <w:i/>
          <w:iCs/>
          <w:color w:val="000000"/>
          <w:szCs w:val="24"/>
        </w:rPr>
        <w:t>et al.</w:t>
      </w:r>
      <w:r w:rsidRPr="000A3861">
        <w:rPr>
          <w:color w:val="000000"/>
          <w:szCs w:val="24"/>
        </w:rPr>
        <w:t xml:space="preserve"> Emergy-based ecological efficiency evaluation and optimization method for logistics park. </w:t>
      </w:r>
      <w:r w:rsidRPr="000A3861">
        <w:rPr>
          <w:b/>
          <w:bCs/>
          <w:color w:val="000000"/>
          <w:szCs w:val="24"/>
        </w:rPr>
        <w:t>Environmental Science and Pollution Research</w:t>
      </w:r>
      <w:r w:rsidRPr="000A3861">
        <w:rPr>
          <w:color w:val="000000"/>
          <w:szCs w:val="24"/>
        </w:rPr>
        <w:t>, [</w:t>
      </w:r>
      <w:r w:rsidRPr="000A3861">
        <w:rPr>
          <w:i/>
          <w:iCs/>
          <w:color w:val="000000"/>
          <w:szCs w:val="24"/>
        </w:rPr>
        <w:t>s. l.</w:t>
      </w:r>
      <w:r w:rsidRPr="000A3861">
        <w:rPr>
          <w:color w:val="000000"/>
          <w:szCs w:val="24"/>
        </w:rPr>
        <w:t xml:space="preserve">], v. 28, n. 41, p. 58342–58354, 2021. </w:t>
      </w:r>
      <w:r w:rsidRPr="005230D9">
        <w:rPr>
          <w:color w:val="000000"/>
          <w:szCs w:val="24"/>
          <w:lang w:val="pt-BR"/>
        </w:rPr>
        <w:t>Disponível em: https://doi.org/10.1007/s11356-021-14781-x. Acesso em: 11 nov. 2021.</w:t>
      </w:r>
    </w:p>
    <w:p w14:paraId="22C4BA3C" w14:textId="77777777" w:rsidR="005230D9" w:rsidRPr="005230D9" w:rsidRDefault="005230D9" w:rsidP="005230D9">
      <w:pPr>
        <w:spacing w:before="240" w:after="240"/>
        <w:jc w:val="left"/>
        <w:rPr>
          <w:szCs w:val="24"/>
          <w:lang w:val="pt-BR"/>
        </w:rPr>
      </w:pPr>
      <w:r w:rsidRPr="000A3861">
        <w:rPr>
          <w:color w:val="000000"/>
          <w:szCs w:val="24"/>
        </w:rPr>
        <w:t xml:space="preserve">WORLD BANK. </w:t>
      </w:r>
      <w:r w:rsidRPr="000A3861">
        <w:rPr>
          <w:b/>
          <w:bCs/>
          <w:color w:val="000000"/>
          <w:szCs w:val="24"/>
        </w:rPr>
        <w:t>International Framework for Eco-Industrial Parks v.2</w:t>
      </w:r>
      <w:r w:rsidRPr="000A3861">
        <w:rPr>
          <w:color w:val="000000"/>
          <w:szCs w:val="24"/>
        </w:rPr>
        <w:t xml:space="preserve">. </w:t>
      </w:r>
      <w:r w:rsidRPr="005230D9">
        <w:rPr>
          <w:color w:val="000000"/>
          <w:szCs w:val="24"/>
          <w:lang w:val="pt-BR"/>
        </w:rPr>
        <w:t>Washington, DC: n. 2, 2021. Disponível em: https://www.unido.org/sites/default/files/files/2021-04/An international framework for eco-industrial parks v2.0.pdf. Acesso em: 08 nov. 2021.</w:t>
      </w:r>
    </w:p>
    <w:p w14:paraId="7EF48D53" w14:textId="77777777" w:rsidR="005230D9" w:rsidRPr="000A3861" w:rsidRDefault="005230D9" w:rsidP="005230D9">
      <w:pPr>
        <w:spacing w:before="240" w:after="240"/>
        <w:jc w:val="left"/>
        <w:rPr>
          <w:szCs w:val="24"/>
        </w:rPr>
      </w:pPr>
      <w:r w:rsidRPr="000A3861">
        <w:rPr>
          <w:color w:val="000000"/>
          <w:szCs w:val="24"/>
        </w:rPr>
        <w:t xml:space="preserve">XU, Y. </w:t>
      </w:r>
      <w:r w:rsidRPr="000A3861">
        <w:rPr>
          <w:i/>
          <w:iCs/>
          <w:color w:val="000000"/>
          <w:szCs w:val="24"/>
        </w:rPr>
        <w:t>et al.</w:t>
      </w:r>
      <w:r w:rsidRPr="000A3861">
        <w:rPr>
          <w:color w:val="000000"/>
          <w:szCs w:val="24"/>
        </w:rPr>
        <w:t xml:space="preserve"> Analysis on the location of green logistics park based on heuristic algorithm. </w:t>
      </w:r>
      <w:r w:rsidRPr="000A3861">
        <w:rPr>
          <w:b/>
          <w:bCs/>
          <w:color w:val="000000"/>
          <w:szCs w:val="24"/>
        </w:rPr>
        <w:t>Advances in Mechanical Engineering</w:t>
      </w:r>
      <w:r w:rsidRPr="000A3861">
        <w:rPr>
          <w:color w:val="000000"/>
          <w:szCs w:val="24"/>
        </w:rPr>
        <w:t>, [</w:t>
      </w:r>
      <w:r w:rsidRPr="000A3861">
        <w:rPr>
          <w:i/>
          <w:iCs/>
          <w:color w:val="000000"/>
          <w:szCs w:val="24"/>
        </w:rPr>
        <w:t>s. l.</w:t>
      </w:r>
      <w:r w:rsidRPr="000A3861">
        <w:rPr>
          <w:color w:val="000000"/>
          <w:szCs w:val="24"/>
        </w:rPr>
        <w:t>], v. 10, n. 5, p. 1–13, 2018. Disponível em: https://doi.org/10.1177/1687814018774635. Acesso em: 10 dez. 2021.</w:t>
      </w:r>
    </w:p>
    <w:p w14:paraId="30E037D5" w14:textId="77777777" w:rsidR="005230D9" w:rsidRPr="00AB05B1" w:rsidRDefault="005230D9" w:rsidP="005230D9">
      <w:pPr>
        <w:spacing w:before="240" w:after="240"/>
        <w:jc w:val="left"/>
        <w:rPr>
          <w:szCs w:val="24"/>
          <w:lang w:val="pt-BR"/>
        </w:rPr>
      </w:pPr>
      <w:r w:rsidRPr="000A3861">
        <w:rPr>
          <w:color w:val="000000"/>
          <w:szCs w:val="24"/>
        </w:rPr>
        <w:t xml:space="preserve">ZENG, D. </w:t>
      </w:r>
      <w:r w:rsidRPr="000A3861">
        <w:rPr>
          <w:i/>
          <w:iCs/>
          <w:color w:val="000000"/>
          <w:szCs w:val="24"/>
        </w:rPr>
        <w:t>et al.</w:t>
      </w:r>
      <w:r w:rsidRPr="000A3861">
        <w:rPr>
          <w:color w:val="000000"/>
          <w:szCs w:val="24"/>
        </w:rPr>
        <w:t xml:space="preserve"> China’s green transformation through eco-industrial parks. </w:t>
      </w:r>
      <w:r w:rsidRPr="00AB05B1">
        <w:rPr>
          <w:b/>
          <w:bCs/>
          <w:color w:val="000000"/>
          <w:szCs w:val="24"/>
          <w:lang w:val="pt-BR"/>
        </w:rPr>
        <w:t>World Development</w:t>
      </w:r>
      <w:r w:rsidRPr="00AB05B1">
        <w:rPr>
          <w:color w:val="000000"/>
          <w:szCs w:val="24"/>
          <w:lang w:val="pt-BR"/>
        </w:rPr>
        <w:t>, [</w:t>
      </w:r>
      <w:r w:rsidRPr="00AB05B1">
        <w:rPr>
          <w:i/>
          <w:iCs/>
          <w:color w:val="000000"/>
          <w:szCs w:val="24"/>
          <w:lang w:val="pt-BR"/>
        </w:rPr>
        <w:t>s. l.</w:t>
      </w:r>
      <w:r w:rsidRPr="00AB05B1">
        <w:rPr>
          <w:color w:val="000000"/>
          <w:szCs w:val="24"/>
          <w:lang w:val="pt-BR"/>
        </w:rPr>
        <w:t>], v. 140, p. 105249, 2021. Disponível em: https://doi.org/10.1016/j.worlddev.2020.105249. Acesso em: 6 set. 2021.</w:t>
      </w:r>
    </w:p>
    <w:p w14:paraId="24CAAF83" w14:textId="77777777" w:rsidR="005230D9" w:rsidRPr="000A3861" w:rsidRDefault="005230D9" w:rsidP="005230D9">
      <w:pPr>
        <w:spacing w:before="240" w:after="240"/>
        <w:jc w:val="left"/>
        <w:rPr>
          <w:szCs w:val="24"/>
        </w:rPr>
      </w:pPr>
      <w:r w:rsidRPr="000A3861">
        <w:rPr>
          <w:color w:val="000000"/>
          <w:szCs w:val="24"/>
        </w:rPr>
        <w:t xml:space="preserve">ZHANG, D. </w:t>
      </w:r>
      <w:r w:rsidRPr="000A3861">
        <w:rPr>
          <w:i/>
          <w:iCs/>
          <w:color w:val="000000"/>
          <w:szCs w:val="24"/>
        </w:rPr>
        <w:t>et al.</w:t>
      </w:r>
      <w:r w:rsidRPr="000A3861">
        <w:rPr>
          <w:color w:val="000000"/>
          <w:szCs w:val="24"/>
        </w:rPr>
        <w:t xml:space="preserve"> Optimal Hierarchical Decision Model for a Regional Logistics Network with Environmental Impact Consideration. </w:t>
      </w:r>
      <w:r w:rsidRPr="000A3861">
        <w:rPr>
          <w:b/>
          <w:bCs/>
          <w:color w:val="000000"/>
          <w:szCs w:val="24"/>
        </w:rPr>
        <w:t xml:space="preserve">The Scientific World Journal </w:t>
      </w:r>
      <w:r w:rsidRPr="000A3861">
        <w:rPr>
          <w:color w:val="000000"/>
          <w:szCs w:val="24"/>
        </w:rPr>
        <w:t>[</w:t>
      </w:r>
      <w:r w:rsidRPr="000A3861">
        <w:rPr>
          <w:i/>
          <w:iCs/>
          <w:color w:val="000000"/>
          <w:szCs w:val="24"/>
        </w:rPr>
        <w:t>s. l.</w:t>
      </w:r>
      <w:r w:rsidRPr="000A3861">
        <w:rPr>
          <w:color w:val="000000"/>
          <w:szCs w:val="24"/>
        </w:rPr>
        <w:t>], 2014. Disponível em: https://doi.org/10.1155/2014/542548. Acesso em: 19 jan. 2022.</w:t>
      </w:r>
    </w:p>
    <w:p w14:paraId="4595B343" w14:textId="57472D8C" w:rsidR="00BE083D" w:rsidRPr="0049479C" w:rsidRDefault="00BE083D" w:rsidP="005230D9">
      <w:pPr>
        <w:spacing w:after="120"/>
        <w:rPr>
          <w:color w:val="A6A6A6"/>
          <w:szCs w:val="24"/>
          <w:lang w:val="pt-BR"/>
        </w:rPr>
      </w:pPr>
    </w:p>
    <w:sectPr w:rsidR="00BE083D" w:rsidRPr="0049479C" w:rsidSect="00575335">
      <w:headerReference w:type="default" r:id="rId11"/>
      <w:footerReference w:type="even" r:id="rId12"/>
      <w:footerReference w:type="default" r:id="rId13"/>
      <w:footerReference w:type="first" r:id="rId1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1AC03" w14:textId="77777777" w:rsidR="0045785C" w:rsidRDefault="0045785C">
      <w:r>
        <w:separator/>
      </w:r>
    </w:p>
  </w:endnote>
  <w:endnote w:type="continuationSeparator" w:id="0">
    <w:p w14:paraId="06289B88" w14:textId="77777777" w:rsidR="0045785C" w:rsidRDefault="00457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roman"/>
    <w:pitch w:val="variable"/>
  </w:font>
  <w:font w:name="Tahoma">
    <w:panose1 w:val="020B0604030504040204"/>
    <w:charset w:val="00"/>
    <w:family w:val="swiss"/>
    <w:pitch w:val="variable"/>
    <w:sig w:usb0="E1002EFF" w:usb1="C000605B" w:usb2="00000029" w:usb3="00000000" w:csb0="000101FF" w:csb1="00000000"/>
  </w:font>
  <w:font w:name="Bahnschrift Light">
    <w:panose1 w:val="020B0502040204020203"/>
    <w:charset w:val="00"/>
    <w:family w:val="swiss"/>
    <w:pitch w:val="variable"/>
    <w:sig w:usb0="A00002C7" w:usb1="00000002" w:usb2="00000000" w:usb3="00000000" w:csb0="0000019F" w:csb1="00000000"/>
  </w:font>
  <w:font w:name="Arial-Bold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0E0BA" w14:textId="77777777" w:rsidR="0045785C" w:rsidRDefault="0045785C">
      <w:bookmarkStart w:id="0" w:name="_Hlk524516655"/>
      <w:bookmarkEnd w:id="0"/>
      <w:r>
        <w:separator/>
      </w:r>
    </w:p>
  </w:footnote>
  <w:footnote w:type="continuationSeparator" w:id="0">
    <w:p w14:paraId="6C1BB14C" w14:textId="77777777" w:rsidR="0045785C" w:rsidRDefault="004578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F3D3F" w14:paraId="177D7AF0" w14:textId="77777777" w:rsidTr="00754EAF">
      <w:tc>
        <w:tcPr>
          <w:tcW w:w="3020" w:type="dxa"/>
        </w:tcPr>
        <w:p w14:paraId="552ADB33" w14:textId="77777777" w:rsidR="00BF3D3F" w:rsidRDefault="00BF3D3F" w:rsidP="00BF3D3F">
          <w:pPr>
            <w:rPr>
              <w:noProof/>
            </w:rPr>
          </w:pPr>
          <w:r>
            <w:rPr>
              <w:noProof/>
              <w:lang w:val="pt-BR"/>
            </w:rPr>
            <w:drawing>
              <wp:inline distT="0" distB="0" distL="0" distR="0" wp14:anchorId="43E2189D" wp14:editId="53D70731">
                <wp:extent cx="1074420" cy="1074420"/>
                <wp:effectExtent l="0" t="0" r="0" b="0"/>
                <wp:docPr id="1385190549" name="Imagem 1385190549"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62758" name="Imagem 1481662758"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68281CF3" w14:textId="77777777" w:rsidR="00BF3D3F" w:rsidRDefault="00BF3D3F" w:rsidP="00BF3D3F">
          <w:pPr>
            <w:rPr>
              <w:noProof/>
            </w:rPr>
          </w:pPr>
          <w:r>
            <w:rPr>
              <w:noProof/>
              <w:lang w:val="pt-BR"/>
            </w:rPr>
            <w:drawing>
              <wp:inline distT="0" distB="0" distL="0" distR="0" wp14:anchorId="7B3BB991" wp14:editId="3D4AD68E">
                <wp:extent cx="1411049" cy="857250"/>
                <wp:effectExtent l="0" t="0" r="0" b="0"/>
                <wp:docPr id="1391880865" name="Imagem 1391880865"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36717" name="Imagem 1035436717" descr="Logotipo, nome da empresa&#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65EB85EB" w14:textId="77777777" w:rsidR="00BF3D3F" w:rsidRDefault="00BF3D3F" w:rsidP="00BF3D3F">
          <w:pPr>
            <w:ind w:firstLine="708"/>
            <w:rPr>
              <w:noProof/>
            </w:rPr>
          </w:pPr>
          <w:r>
            <w:rPr>
              <w:noProof/>
              <w:lang w:val="pt-BR"/>
            </w:rPr>
            <w:drawing>
              <wp:inline distT="0" distB="0" distL="0" distR="0" wp14:anchorId="7B15C832" wp14:editId="0DAE125D">
                <wp:extent cx="764699" cy="1056965"/>
                <wp:effectExtent l="0" t="0" r="0" b="0"/>
                <wp:docPr id="566534909" name="Imagem 566534909"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6863" name="Imagem 106126863" descr="Logotipo&#10;&#10;Descrição gerada automaticamente"/>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5FB9FE7" w14:textId="77777777" w:rsidR="00BF3D3F" w:rsidRDefault="00BF3D3F" w:rsidP="00F421C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EF67199"/>
    <w:multiLevelType w:val="multilevel"/>
    <w:tmpl w:val="A22AB98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1B0503D"/>
    <w:multiLevelType w:val="multilevel"/>
    <w:tmpl w:val="6130FC7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2"/>
  </w:num>
  <w:num w:numId="5">
    <w:abstractNumId w:val="4"/>
  </w:num>
  <w:num w:numId="6">
    <w:abstractNumId w:val="6"/>
  </w:num>
  <w:num w:numId="7">
    <w:abstractNumId w:val="9"/>
  </w:num>
  <w:num w:numId="8">
    <w:abstractNumId w:val="13"/>
  </w:num>
  <w:num w:numId="9">
    <w:abstractNumId w:val="1"/>
  </w:num>
  <w:num w:numId="10">
    <w:abstractNumId w:val="0"/>
  </w:num>
  <w:num w:numId="11">
    <w:abstractNumId w:val="8"/>
  </w:num>
  <w:num w:numId="12">
    <w:abstractNumId w:val="11"/>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34516"/>
    <w:rsid w:val="00041AB9"/>
    <w:rsid w:val="000465E8"/>
    <w:rsid w:val="00053AD3"/>
    <w:rsid w:val="00054581"/>
    <w:rsid w:val="0007099C"/>
    <w:rsid w:val="00071127"/>
    <w:rsid w:val="000711EF"/>
    <w:rsid w:val="00084121"/>
    <w:rsid w:val="00094DEA"/>
    <w:rsid w:val="000A0634"/>
    <w:rsid w:val="000B53D4"/>
    <w:rsid w:val="000C240C"/>
    <w:rsid w:val="000C45D1"/>
    <w:rsid w:val="000D4C81"/>
    <w:rsid w:val="000F5978"/>
    <w:rsid w:val="000F5CC4"/>
    <w:rsid w:val="00123B81"/>
    <w:rsid w:val="001319A4"/>
    <w:rsid w:val="00137DAE"/>
    <w:rsid w:val="00141364"/>
    <w:rsid w:val="001464DE"/>
    <w:rsid w:val="00150A7B"/>
    <w:rsid w:val="0015121C"/>
    <w:rsid w:val="001515AF"/>
    <w:rsid w:val="00152FAD"/>
    <w:rsid w:val="00154F6A"/>
    <w:rsid w:val="00156B94"/>
    <w:rsid w:val="00157CE6"/>
    <w:rsid w:val="0016002D"/>
    <w:rsid w:val="001632CD"/>
    <w:rsid w:val="00166961"/>
    <w:rsid w:val="00167D4E"/>
    <w:rsid w:val="00170328"/>
    <w:rsid w:val="00173C59"/>
    <w:rsid w:val="001841B7"/>
    <w:rsid w:val="00187695"/>
    <w:rsid w:val="001A02AA"/>
    <w:rsid w:val="001A141A"/>
    <w:rsid w:val="001A619C"/>
    <w:rsid w:val="001A6C40"/>
    <w:rsid w:val="001B1B25"/>
    <w:rsid w:val="001C1ECB"/>
    <w:rsid w:val="001C4D03"/>
    <w:rsid w:val="001E57A8"/>
    <w:rsid w:val="001F15C2"/>
    <w:rsid w:val="00201C0B"/>
    <w:rsid w:val="002156E9"/>
    <w:rsid w:val="0023063E"/>
    <w:rsid w:val="002309C5"/>
    <w:rsid w:val="00242B23"/>
    <w:rsid w:val="00251B8B"/>
    <w:rsid w:val="00255E26"/>
    <w:rsid w:val="00256808"/>
    <w:rsid w:val="00266710"/>
    <w:rsid w:val="00276160"/>
    <w:rsid w:val="00276E65"/>
    <w:rsid w:val="00281E52"/>
    <w:rsid w:val="0029220F"/>
    <w:rsid w:val="002958D4"/>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132C3"/>
    <w:rsid w:val="00321E9E"/>
    <w:rsid w:val="0033475A"/>
    <w:rsid w:val="00334C11"/>
    <w:rsid w:val="00342D36"/>
    <w:rsid w:val="0035152E"/>
    <w:rsid w:val="00356CD1"/>
    <w:rsid w:val="00375F35"/>
    <w:rsid w:val="00376B0A"/>
    <w:rsid w:val="0038005D"/>
    <w:rsid w:val="00384F40"/>
    <w:rsid w:val="003B4DA7"/>
    <w:rsid w:val="003C2C5E"/>
    <w:rsid w:val="003C7A9D"/>
    <w:rsid w:val="003D7902"/>
    <w:rsid w:val="003E42AE"/>
    <w:rsid w:val="003E6576"/>
    <w:rsid w:val="0040305B"/>
    <w:rsid w:val="004146A8"/>
    <w:rsid w:val="004245F7"/>
    <w:rsid w:val="00435ACD"/>
    <w:rsid w:val="004374DA"/>
    <w:rsid w:val="00450040"/>
    <w:rsid w:val="0045785C"/>
    <w:rsid w:val="00461BFF"/>
    <w:rsid w:val="00461CAB"/>
    <w:rsid w:val="004737C6"/>
    <w:rsid w:val="00477E99"/>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1D91"/>
    <w:rsid w:val="004F74BE"/>
    <w:rsid w:val="005230D9"/>
    <w:rsid w:val="00533E0F"/>
    <w:rsid w:val="005360D9"/>
    <w:rsid w:val="00556097"/>
    <w:rsid w:val="0055714B"/>
    <w:rsid w:val="00562A47"/>
    <w:rsid w:val="00573743"/>
    <w:rsid w:val="00575335"/>
    <w:rsid w:val="00576E8A"/>
    <w:rsid w:val="00580435"/>
    <w:rsid w:val="00591168"/>
    <w:rsid w:val="005B099A"/>
    <w:rsid w:val="005B4172"/>
    <w:rsid w:val="005D0B9A"/>
    <w:rsid w:val="005D5236"/>
    <w:rsid w:val="005E4971"/>
    <w:rsid w:val="0060764D"/>
    <w:rsid w:val="00626587"/>
    <w:rsid w:val="006321C7"/>
    <w:rsid w:val="00632F8F"/>
    <w:rsid w:val="00655F57"/>
    <w:rsid w:val="006652EE"/>
    <w:rsid w:val="006726F2"/>
    <w:rsid w:val="00684958"/>
    <w:rsid w:val="00696034"/>
    <w:rsid w:val="006A141B"/>
    <w:rsid w:val="006A6CEF"/>
    <w:rsid w:val="006B150E"/>
    <w:rsid w:val="006C415C"/>
    <w:rsid w:val="006D00BB"/>
    <w:rsid w:val="006D760B"/>
    <w:rsid w:val="006E39EE"/>
    <w:rsid w:val="006E5204"/>
    <w:rsid w:val="00726E56"/>
    <w:rsid w:val="0073688A"/>
    <w:rsid w:val="00744CC9"/>
    <w:rsid w:val="00750318"/>
    <w:rsid w:val="00751F70"/>
    <w:rsid w:val="00753B8D"/>
    <w:rsid w:val="00754757"/>
    <w:rsid w:val="00755FC1"/>
    <w:rsid w:val="007628A1"/>
    <w:rsid w:val="00777D35"/>
    <w:rsid w:val="0078001B"/>
    <w:rsid w:val="007A02F4"/>
    <w:rsid w:val="007A21A2"/>
    <w:rsid w:val="007A5FA8"/>
    <w:rsid w:val="007B09B1"/>
    <w:rsid w:val="007B791F"/>
    <w:rsid w:val="007C087F"/>
    <w:rsid w:val="007C32C5"/>
    <w:rsid w:val="007E0E40"/>
    <w:rsid w:val="007E381B"/>
    <w:rsid w:val="007F4A6D"/>
    <w:rsid w:val="007F6A0B"/>
    <w:rsid w:val="00805184"/>
    <w:rsid w:val="00807672"/>
    <w:rsid w:val="00812BDC"/>
    <w:rsid w:val="00827839"/>
    <w:rsid w:val="008339F5"/>
    <w:rsid w:val="00834AB2"/>
    <w:rsid w:val="0083691D"/>
    <w:rsid w:val="00887FC9"/>
    <w:rsid w:val="00892EA4"/>
    <w:rsid w:val="00897F56"/>
    <w:rsid w:val="008B31BB"/>
    <w:rsid w:val="008E416D"/>
    <w:rsid w:val="0090763D"/>
    <w:rsid w:val="00923704"/>
    <w:rsid w:val="00933433"/>
    <w:rsid w:val="00936492"/>
    <w:rsid w:val="00936AB7"/>
    <w:rsid w:val="00940846"/>
    <w:rsid w:val="00944DF4"/>
    <w:rsid w:val="009470FB"/>
    <w:rsid w:val="00961299"/>
    <w:rsid w:val="009673E6"/>
    <w:rsid w:val="00970859"/>
    <w:rsid w:val="00982670"/>
    <w:rsid w:val="00983012"/>
    <w:rsid w:val="00985C2D"/>
    <w:rsid w:val="00992CF5"/>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4F39"/>
    <w:rsid w:val="00A77C6A"/>
    <w:rsid w:val="00A77D24"/>
    <w:rsid w:val="00A804CA"/>
    <w:rsid w:val="00A81A17"/>
    <w:rsid w:val="00A838AC"/>
    <w:rsid w:val="00A94282"/>
    <w:rsid w:val="00A9449D"/>
    <w:rsid w:val="00A94F5C"/>
    <w:rsid w:val="00AA37F5"/>
    <w:rsid w:val="00AD0872"/>
    <w:rsid w:val="00AD61A3"/>
    <w:rsid w:val="00AE4CD3"/>
    <w:rsid w:val="00B03026"/>
    <w:rsid w:val="00B04638"/>
    <w:rsid w:val="00B10BFE"/>
    <w:rsid w:val="00B36DB0"/>
    <w:rsid w:val="00B40F1C"/>
    <w:rsid w:val="00B418BD"/>
    <w:rsid w:val="00B47683"/>
    <w:rsid w:val="00B55936"/>
    <w:rsid w:val="00B6020C"/>
    <w:rsid w:val="00B63A35"/>
    <w:rsid w:val="00B745D0"/>
    <w:rsid w:val="00B763AC"/>
    <w:rsid w:val="00B81D99"/>
    <w:rsid w:val="00B87AB8"/>
    <w:rsid w:val="00BA206D"/>
    <w:rsid w:val="00BB11DF"/>
    <w:rsid w:val="00BB3A7C"/>
    <w:rsid w:val="00BD4CFD"/>
    <w:rsid w:val="00BE083D"/>
    <w:rsid w:val="00BF0F76"/>
    <w:rsid w:val="00BF3D3F"/>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A2E59"/>
    <w:rsid w:val="00CB39ED"/>
    <w:rsid w:val="00CD3CC5"/>
    <w:rsid w:val="00CE76F9"/>
    <w:rsid w:val="00CF12DD"/>
    <w:rsid w:val="00CF25BE"/>
    <w:rsid w:val="00D10C99"/>
    <w:rsid w:val="00D17099"/>
    <w:rsid w:val="00D2598F"/>
    <w:rsid w:val="00D349A6"/>
    <w:rsid w:val="00D8734D"/>
    <w:rsid w:val="00D91C4E"/>
    <w:rsid w:val="00DA6F7D"/>
    <w:rsid w:val="00DC3C3C"/>
    <w:rsid w:val="00DD124B"/>
    <w:rsid w:val="00DE1749"/>
    <w:rsid w:val="00DE490F"/>
    <w:rsid w:val="00DF1010"/>
    <w:rsid w:val="00DF74B6"/>
    <w:rsid w:val="00E34205"/>
    <w:rsid w:val="00E46824"/>
    <w:rsid w:val="00E61DE3"/>
    <w:rsid w:val="00E65D3B"/>
    <w:rsid w:val="00E76F53"/>
    <w:rsid w:val="00E8108A"/>
    <w:rsid w:val="00E81239"/>
    <w:rsid w:val="00E850FD"/>
    <w:rsid w:val="00E94C7B"/>
    <w:rsid w:val="00E97ED4"/>
    <w:rsid w:val="00EA0A82"/>
    <w:rsid w:val="00EA33C3"/>
    <w:rsid w:val="00EB4594"/>
    <w:rsid w:val="00EC6579"/>
    <w:rsid w:val="00ED2BA5"/>
    <w:rsid w:val="00ED34E9"/>
    <w:rsid w:val="00EE28A9"/>
    <w:rsid w:val="00EE3F17"/>
    <w:rsid w:val="00EE63D7"/>
    <w:rsid w:val="00EF1CF0"/>
    <w:rsid w:val="00F01CC3"/>
    <w:rsid w:val="00F21165"/>
    <w:rsid w:val="00F2271C"/>
    <w:rsid w:val="00F23BE3"/>
    <w:rsid w:val="00F23FF2"/>
    <w:rsid w:val="00F25AC0"/>
    <w:rsid w:val="00F300F7"/>
    <w:rsid w:val="00F415DF"/>
    <w:rsid w:val="00F421CC"/>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pPr>
        <w:spacing w:before="120"/>
        <w:ind w:firstLine="425"/>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unhideWhenUsed/>
    <w:qFormat/>
    <w:rsid w:val="00992C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992CF5"/>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link w:val="LegendaChar"/>
    <w:uiPriority w:val="99"/>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qFormat/>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qFormat/>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Ttulo2Char">
    <w:name w:val="Título 2 Char"/>
    <w:basedOn w:val="Fontepargpadro"/>
    <w:link w:val="Ttulo2"/>
    <w:uiPriority w:val="9"/>
    <w:rsid w:val="00992CF5"/>
    <w:rPr>
      <w:rFonts w:asciiTheme="majorHAnsi" w:eastAsiaTheme="majorEastAsia" w:hAnsiTheme="majorHAnsi" w:cstheme="majorBidi"/>
      <w:color w:val="2F5496" w:themeColor="accent1" w:themeShade="BF"/>
      <w:sz w:val="26"/>
      <w:szCs w:val="26"/>
      <w:lang w:val="en-US"/>
    </w:rPr>
  </w:style>
  <w:style w:type="character" w:customStyle="1" w:styleId="Ttulo3Char">
    <w:name w:val="Título 3 Char"/>
    <w:basedOn w:val="Fontepargpadro"/>
    <w:link w:val="Ttulo3"/>
    <w:uiPriority w:val="9"/>
    <w:semiHidden/>
    <w:rsid w:val="00992CF5"/>
    <w:rPr>
      <w:rFonts w:asciiTheme="majorHAnsi" w:eastAsiaTheme="majorEastAsia" w:hAnsiTheme="majorHAnsi" w:cstheme="majorBidi"/>
      <w:color w:val="1F3763" w:themeColor="accent1" w:themeShade="7F"/>
      <w:sz w:val="24"/>
      <w:szCs w:val="24"/>
      <w:lang w:val="en-US"/>
    </w:rPr>
  </w:style>
  <w:style w:type="character" w:customStyle="1" w:styleId="LegendaChar">
    <w:name w:val="Legenda Char"/>
    <w:link w:val="Legenda"/>
    <w:uiPriority w:val="99"/>
    <w:locked/>
    <w:rsid w:val="00992CF5"/>
    <w:rPr>
      <w:rFonts w:ascii="Times New Roman" w:eastAsia="Times New Roman" w:hAnsi="Times New Roman"/>
      <w:b/>
      <w:bCs/>
      <w:color w:val="4F81BD"/>
      <w:sz w:val="18"/>
      <w:szCs w:val="18"/>
      <w:lang w:val="en-US"/>
    </w:rPr>
  </w:style>
  <w:style w:type="table" w:styleId="TabelaSimples2">
    <w:name w:val="Plain Table 2"/>
    <w:basedOn w:val="Tabelanormal"/>
    <w:uiPriority w:val="42"/>
    <w:rsid w:val="00992CF5"/>
    <w:rPr>
      <w:rFonts w:ascii="Times New Roman" w:eastAsia="Times New Roman" w:hAnsi="Times New Roman"/>
      <w:sz w:val="24"/>
      <w:lang w:val="nb-NO"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ncias">
    <w:name w:val="Referências"/>
    <w:basedOn w:val="Normal"/>
    <w:link w:val="RefernciasChar"/>
    <w:qFormat/>
    <w:rsid w:val="005230D9"/>
    <w:pPr>
      <w:autoSpaceDE w:val="0"/>
      <w:autoSpaceDN w:val="0"/>
      <w:adjustRightInd w:val="0"/>
      <w:spacing w:before="240" w:after="240"/>
      <w:jc w:val="left"/>
    </w:pPr>
    <w:rPr>
      <w:rFonts w:eastAsia="Calibri"/>
      <w:lang w:val="pt-BR"/>
    </w:rPr>
  </w:style>
  <w:style w:type="character" w:customStyle="1" w:styleId="RefernciasChar">
    <w:name w:val="Referências Char"/>
    <w:basedOn w:val="Fontepargpadro"/>
    <w:link w:val="Referncias"/>
    <w:rsid w:val="005230D9"/>
    <w:rPr>
      <w:rFonts w:ascii="Times New Roman" w:hAnsi="Times New Roman"/>
      <w:sz w:val="24"/>
    </w:rPr>
  </w:style>
  <w:style w:type="character" w:styleId="Refdecomentrio">
    <w:name w:val="annotation reference"/>
    <w:basedOn w:val="Fontepargpadro"/>
    <w:uiPriority w:val="99"/>
    <w:semiHidden/>
    <w:unhideWhenUsed/>
    <w:rsid w:val="00435ACD"/>
    <w:rPr>
      <w:sz w:val="16"/>
      <w:szCs w:val="16"/>
    </w:rPr>
  </w:style>
  <w:style w:type="paragraph" w:styleId="Textodecomentrio">
    <w:name w:val="annotation text"/>
    <w:basedOn w:val="Normal"/>
    <w:link w:val="TextodecomentrioChar"/>
    <w:uiPriority w:val="99"/>
    <w:unhideWhenUsed/>
    <w:rsid w:val="00435ACD"/>
    <w:rPr>
      <w:sz w:val="20"/>
    </w:rPr>
  </w:style>
  <w:style w:type="character" w:customStyle="1" w:styleId="TextodecomentrioChar">
    <w:name w:val="Texto de comentário Char"/>
    <w:basedOn w:val="Fontepargpadro"/>
    <w:link w:val="Textodecomentrio"/>
    <w:uiPriority w:val="99"/>
    <w:rsid w:val="00435ACD"/>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435ACD"/>
    <w:rPr>
      <w:b/>
      <w:bCs/>
    </w:rPr>
  </w:style>
  <w:style w:type="character" w:customStyle="1" w:styleId="AssuntodocomentrioChar">
    <w:name w:val="Assunto do comentário Char"/>
    <w:basedOn w:val="TextodecomentrioChar"/>
    <w:link w:val="Assuntodocomentrio"/>
    <w:uiPriority w:val="99"/>
    <w:semiHidden/>
    <w:rsid w:val="00435ACD"/>
    <w:rPr>
      <w:rFonts w:ascii="Times New Roman" w:eastAsia="Times New Roman" w:hAnsi="Times New Roman"/>
      <w:b/>
      <w:bCs/>
      <w:lang w:val="en-US"/>
    </w:rPr>
  </w:style>
  <w:style w:type="character" w:customStyle="1" w:styleId="UnresolvedMention">
    <w:name w:val="Unresolved Mention"/>
    <w:basedOn w:val="Fontepargpadro"/>
    <w:uiPriority w:val="99"/>
    <w:semiHidden/>
    <w:unhideWhenUsed/>
    <w:rsid w:val="00BF3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76913">
      <w:bodyDiv w:val="1"/>
      <w:marLeft w:val="0"/>
      <w:marRight w:val="0"/>
      <w:marTop w:val="0"/>
      <w:marBottom w:val="0"/>
      <w:divBdr>
        <w:top w:val="none" w:sz="0" w:space="0" w:color="auto"/>
        <w:left w:val="none" w:sz="0" w:space="0" w:color="auto"/>
        <w:bottom w:val="none" w:sz="0" w:space="0" w:color="auto"/>
        <w:right w:val="none" w:sz="0" w:space="0" w:color="auto"/>
      </w:divBdr>
    </w:div>
    <w:div w:id="1216500898">
      <w:bodyDiv w:val="1"/>
      <w:marLeft w:val="0"/>
      <w:marRight w:val="0"/>
      <w:marTop w:val="0"/>
      <w:marBottom w:val="0"/>
      <w:divBdr>
        <w:top w:val="none" w:sz="0" w:space="0" w:color="auto"/>
        <w:left w:val="none" w:sz="0" w:space="0" w:color="auto"/>
        <w:bottom w:val="none" w:sz="0" w:space="0" w:color="auto"/>
        <w:right w:val="none" w:sz="0" w:space="0" w:color="auto"/>
      </w:divBdr>
    </w:div>
    <w:div w:id="1710253777">
      <w:bodyDiv w:val="1"/>
      <w:marLeft w:val="0"/>
      <w:marRight w:val="0"/>
      <w:marTop w:val="0"/>
      <w:marBottom w:val="0"/>
      <w:divBdr>
        <w:top w:val="none" w:sz="0" w:space="0" w:color="auto"/>
        <w:left w:val="none" w:sz="0" w:space="0" w:color="auto"/>
        <w:bottom w:val="none" w:sz="0" w:space="0" w:color="auto"/>
        <w:right w:val="none" w:sz="0" w:space="0" w:color="auto"/>
      </w:divBdr>
    </w:div>
    <w:div w:id="186693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66A91-457B-4F77-88DE-94E18250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18307</Words>
  <Characters>98861</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2023-05-03T01:00:00Z</cp:lastPrinted>
  <dcterms:created xsi:type="dcterms:W3CDTF">2023-05-03T11:44:00Z</dcterms:created>
  <dcterms:modified xsi:type="dcterms:W3CDTF">2023-05-03T11:44:00Z</dcterms:modified>
</cp:coreProperties>
</file>