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D3F9B" w14:textId="493FDB1E" w:rsidR="00827839" w:rsidRPr="00F00979" w:rsidRDefault="006E5DD6" w:rsidP="009A3F66">
      <w:pPr>
        <w:spacing w:after="120"/>
        <w:jc w:val="center"/>
        <w:rPr>
          <w:b/>
          <w:bCs/>
          <w:color w:val="000000" w:themeColor="text1"/>
          <w:sz w:val="28"/>
          <w:szCs w:val="28"/>
          <w:lang w:val="pt-BR"/>
        </w:rPr>
      </w:pPr>
      <w:r w:rsidRPr="00F00979">
        <w:rPr>
          <w:b/>
          <w:bCs/>
          <w:color w:val="000000" w:themeColor="text1"/>
          <w:sz w:val="28"/>
          <w:szCs w:val="28"/>
          <w:lang w:val="pt-BR"/>
        </w:rPr>
        <w:t>CAMINHOS PARA O DESENVOLVIMENTO SUSTENTÁVEL NA REGIÃO DO BAIXO PARAÍBA DO SUL</w:t>
      </w:r>
    </w:p>
    <w:p w14:paraId="47EDDB6D" w14:textId="77777777" w:rsidR="00B745D0" w:rsidRPr="0049479C" w:rsidRDefault="00B745D0" w:rsidP="009A3F66">
      <w:pPr>
        <w:spacing w:after="120"/>
        <w:jc w:val="center"/>
        <w:rPr>
          <w:b/>
          <w:sz w:val="28"/>
          <w:szCs w:val="28"/>
          <w:lang w:val="pt-BR"/>
        </w:rPr>
      </w:pPr>
    </w:p>
    <w:p w14:paraId="40B79C2A" w14:textId="15831755" w:rsidR="00B745D0" w:rsidRPr="006E5DD6" w:rsidRDefault="006E5DD6" w:rsidP="006E5DD6">
      <w:pPr>
        <w:spacing w:after="120"/>
        <w:jc w:val="center"/>
        <w:rPr>
          <w:b/>
          <w:i/>
          <w:sz w:val="28"/>
          <w:szCs w:val="28"/>
        </w:rPr>
      </w:pPr>
      <w:r w:rsidRPr="006E5DD6">
        <w:rPr>
          <w:b/>
          <w:i/>
          <w:sz w:val="28"/>
          <w:szCs w:val="28"/>
        </w:rPr>
        <w:t>PATHS FOR SUSTAINABLE DEVELOPMENT IN THE REGION OF LOW PARAÍBA DO SUL RIVER</w:t>
      </w:r>
    </w:p>
    <w:p w14:paraId="5EEED451" w14:textId="77777777" w:rsidR="00933433" w:rsidRPr="006E5DD6" w:rsidRDefault="00933433" w:rsidP="00E97ED4">
      <w:pPr>
        <w:spacing w:after="120"/>
        <w:rPr>
          <w:color w:val="A6A6A6"/>
          <w:sz w:val="28"/>
          <w:szCs w:val="28"/>
        </w:rPr>
      </w:pPr>
    </w:p>
    <w:p w14:paraId="5D4E451E" w14:textId="7E8EC4A7" w:rsidR="009D16A6" w:rsidRPr="0049479C" w:rsidRDefault="009D16A6" w:rsidP="009D16A6">
      <w:pPr>
        <w:spacing w:after="120"/>
        <w:jc w:val="left"/>
        <w:rPr>
          <w:szCs w:val="24"/>
          <w:lang w:val="pt-BR"/>
        </w:rPr>
      </w:pPr>
      <w:r w:rsidRPr="009D16A6">
        <w:rPr>
          <w:b/>
          <w:szCs w:val="24"/>
          <w:lang w:val="pt-BR"/>
        </w:rPr>
        <w:t>Nayara Felix Barreto</w:t>
      </w:r>
      <w:r w:rsidRPr="0049479C">
        <w:rPr>
          <w:b/>
          <w:szCs w:val="24"/>
          <w:lang w:val="pt-BR"/>
        </w:rPr>
        <w:t>,</w:t>
      </w:r>
      <w:r>
        <w:rPr>
          <w:b/>
          <w:szCs w:val="24"/>
          <w:lang w:val="pt-BR"/>
        </w:rPr>
        <w:t xml:space="preserve"> Mestre em Engenharia Ambiental, Prefeitura Municipal de São João da Barra.</w:t>
      </w:r>
    </w:p>
    <w:p w14:paraId="1EBE85D7" w14:textId="75F12847" w:rsidR="009D16A6" w:rsidRPr="009D16A6" w:rsidRDefault="009D16A6" w:rsidP="009D16A6">
      <w:pPr>
        <w:spacing w:after="120"/>
        <w:jc w:val="left"/>
        <w:rPr>
          <w:szCs w:val="24"/>
          <w:lang w:val="pt-BR"/>
        </w:rPr>
      </w:pPr>
      <w:r w:rsidRPr="009D16A6">
        <w:rPr>
          <w:szCs w:val="24"/>
          <w:lang w:val="pt-BR"/>
        </w:rPr>
        <w:t>eng.nayarafelix@gmail.com</w:t>
      </w:r>
    </w:p>
    <w:p w14:paraId="0E2138D7" w14:textId="65E9D47B" w:rsidR="009D16A6" w:rsidRPr="0049479C" w:rsidRDefault="009D16A6" w:rsidP="009D16A6">
      <w:pPr>
        <w:spacing w:after="120"/>
        <w:jc w:val="left"/>
        <w:rPr>
          <w:b/>
          <w:szCs w:val="24"/>
          <w:lang w:val="pt-BR"/>
        </w:rPr>
      </w:pPr>
      <w:r>
        <w:rPr>
          <w:b/>
          <w:szCs w:val="24"/>
          <w:lang w:val="pt-BR"/>
        </w:rPr>
        <w:t xml:space="preserve">Thaís </w:t>
      </w:r>
      <w:proofErr w:type="spellStart"/>
      <w:r>
        <w:rPr>
          <w:b/>
          <w:szCs w:val="24"/>
          <w:lang w:val="pt-BR"/>
        </w:rPr>
        <w:t>Nacif</w:t>
      </w:r>
      <w:proofErr w:type="spellEnd"/>
      <w:r>
        <w:rPr>
          <w:b/>
          <w:szCs w:val="24"/>
          <w:lang w:val="pt-BR"/>
        </w:rPr>
        <w:t xml:space="preserve"> de Souza Riscado, Doutoranda </w:t>
      </w:r>
      <w:r w:rsidRPr="009D16A6">
        <w:rPr>
          <w:b/>
          <w:szCs w:val="24"/>
          <w:lang w:val="pt-BR"/>
        </w:rPr>
        <w:t>em Modelagem e Tecnologia para Meio Ambiente Aplicadas em Recursos Hídricos</w:t>
      </w:r>
      <w:r>
        <w:rPr>
          <w:b/>
          <w:szCs w:val="24"/>
          <w:lang w:val="pt-BR"/>
        </w:rPr>
        <w:t>, Instituto Federal Fluminense</w:t>
      </w:r>
      <w:r w:rsidRPr="0049479C">
        <w:rPr>
          <w:b/>
          <w:szCs w:val="24"/>
          <w:lang w:val="pt-BR"/>
        </w:rPr>
        <w:t>.</w:t>
      </w:r>
    </w:p>
    <w:p w14:paraId="6FA7DB8D" w14:textId="4BAD9FB1" w:rsidR="009D16A6" w:rsidRDefault="009D16A6" w:rsidP="009D16A6">
      <w:pPr>
        <w:spacing w:after="120"/>
        <w:jc w:val="left"/>
        <w:rPr>
          <w:szCs w:val="24"/>
          <w:lang w:val="pt-BR"/>
        </w:rPr>
      </w:pPr>
      <w:r>
        <w:rPr>
          <w:szCs w:val="24"/>
          <w:lang w:val="pt-BR"/>
        </w:rPr>
        <w:t>tnacif@gmail.com</w:t>
      </w:r>
    </w:p>
    <w:p w14:paraId="46DFB232" w14:textId="68FEB2D2" w:rsidR="009D16A6" w:rsidRDefault="009D16A6" w:rsidP="009D16A6">
      <w:pPr>
        <w:spacing w:after="120"/>
        <w:jc w:val="left"/>
        <w:rPr>
          <w:b/>
          <w:szCs w:val="24"/>
          <w:lang w:val="pt-BR"/>
        </w:rPr>
      </w:pPr>
      <w:r>
        <w:rPr>
          <w:b/>
          <w:szCs w:val="24"/>
          <w:lang w:val="pt-BR"/>
        </w:rPr>
        <w:t xml:space="preserve">Maria Inês Paes Ferreira, </w:t>
      </w:r>
      <w:proofErr w:type="spellStart"/>
      <w:r>
        <w:rPr>
          <w:b/>
          <w:szCs w:val="24"/>
          <w:lang w:val="pt-BR"/>
        </w:rPr>
        <w:t>Pós-</w:t>
      </w:r>
      <w:r w:rsidR="00727ADC">
        <w:rPr>
          <w:b/>
          <w:szCs w:val="24"/>
          <w:lang w:val="pt-BR"/>
        </w:rPr>
        <w:t>d</w:t>
      </w:r>
      <w:r>
        <w:rPr>
          <w:b/>
          <w:szCs w:val="24"/>
          <w:lang w:val="pt-BR"/>
        </w:rPr>
        <w:t>outora</w:t>
      </w:r>
      <w:proofErr w:type="spellEnd"/>
      <w:r w:rsidR="00727ADC">
        <w:rPr>
          <w:b/>
          <w:szCs w:val="24"/>
          <w:lang w:val="pt-BR"/>
        </w:rPr>
        <w:t xml:space="preserve"> em Gestão Integrada dos Recursos Naturais,</w:t>
      </w:r>
      <w:bookmarkStart w:id="1" w:name="_GoBack"/>
      <w:bookmarkEnd w:id="1"/>
      <w:r>
        <w:rPr>
          <w:b/>
          <w:szCs w:val="24"/>
          <w:lang w:val="pt-BR"/>
        </w:rPr>
        <w:t xml:space="preserve">  Instituto Federal Fluminense.</w:t>
      </w:r>
    </w:p>
    <w:p w14:paraId="4DF4009B" w14:textId="5916FB5E" w:rsidR="009D16A6" w:rsidRPr="009D16A6" w:rsidRDefault="009D16A6" w:rsidP="00E97ED4">
      <w:pPr>
        <w:spacing w:after="120"/>
        <w:rPr>
          <w:color w:val="000000" w:themeColor="text1"/>
          <w:szCs w:val="24"/>
          <w:lang w:val="pt-BR"/>
        </w:rPr>
      </w:pPr>
      <w:r w:rsidRPr="009D16A6">
        <w:rPr>
          <w:color w:val="000000" w:themeColor="text1"/>
          <w:szCs w:val="24"/>
          <w:lang w:val="pt-BR"/>
        </w:rPr>
        <w:t>ines_paes@yahoo.com.br</w:t>
      </w:r>
    </w:p>
    <w:p w14:paraId="2BEA79C5" w14:textId="77777777" w:rsidR="009D16A6" w:rsidRPr="0049479C" w:rsidRDefault="009D16A6" w:rsidP="00E97ED4">
      <w:pPr>
        <w:spacing w:after="120"/>
        <w:rPr>
          <w:color w:val="A6A6A6"/>
          <w:szCs w:val="24"/>
          <w:lang w:val="pt-BR"/>
        </w:rPr>
      </w:pPr>
    </w:p>
    <w:p w14:paraId="3A9F9E7A" w14:textId="77777777" w:rsidR="00827839" w:rsidRPr="0049479C" w:rsidRDefault="00827839" w:rsidP="009A3F66">
      <w:pPr>
        <w:spacing w:after="120"/>
        <w:jc w:val="left"/>
        <w:rPr>
          <w:b/>
          <w:sz w:val="22"/>
          <w:szCs w:val="22"/>
          <w:lang w:val="pt-BR"/>
        </w:rPr>
      </w:pPr>
      <w:r w:rsidRPr="0049479C">
        <w:rPr>
          <w:b/>
          <w:szCs w:val="24"/>
          <w:lang w:val="pt-BR"/>
        </w:rPr>
        <w:t>Resumo</w:t>
      </w:r>
    </w:p>
    <w:p w14:paraId="6122D1CC" w14:textId="77777777" w:rsidR="006E5DD6" w:rsidRDefault="006E5DD6" w:rsidP="00E97ED4">
      <w:pPr>
        <w:spacing w:after="120"/>
        <w:rPr>
          <w:sz w:val="22"/>
          <w:szCs w:val="22"/>
          <w:lang w:val="pt-BR"/>
        </w:rPr>
      </w:pPr>
    </w:p>
    <w:p w14:paraId="01A27903" w14:textId="1766F092" w:rsidR="0056401C" w:rsidRDefault="006E5DD6" w:rsidP="00E97ED4">
      <w:pPr>
        <w:spacing w:after="120"/>
        <w:rPr>
          <w:sz w:val="22"/>
          <w:szCs w:val="22"/>
          <w:lang w:val="pt-BR"/>
        </w:rPr>
      </w:pPr>
      <w:r w:rsidRPr="006E5DD6">
        <w:rPr>
          <w:sz w:val="22"/>
          <w:szCs w:val="22"/>
          <w:lang w:val="pt-BR"/>
        </w:rPr>
        <w:t>No presente trabalho objetiva-se apresentar estratégias para promoção do desenvolvimento sustentável na Região Hidrográfica do Baixo Paraíba do Sul e Itabapoana do estado do Rio de Janeiro (RH-IX/ ERJ), a partir do resultado da aplicação de um sistema de indicadores denominado “avaliação</w:t>
      </w:r>
      <w:r>
        <w:rPr>
          <w:sz w:val="22"/>
          <w:szCs w:val="22"/>
          <w:lang w:val="pt-BR"/>
        </w:rPr>
        <w:t xml:space="preserve"> de </w:t>
      </w:r>
      <w:proofErr w:type="spellStart"/>
      <w:r>
        <w:rPr>
          <w:sz w:val="22"/>
          <w:szCs w:val="22"/>
          <w:lang w:val="pt-BR"/>
        </w:rPr>
        <w:t>prosperabilidade</w:t>
      </w:r>
      <w:proofErr w:type="spellEnd"/>
      <w:r>
        <w:rPr>
          <w:sz w:val="22"/>
          <w:szCs w:val="22"/>
          <w:lang w:val="pt-BR"/>
        </w:rPr>
        <w:t xml:space="preserve">”, </w:t>
      </w:r>
      <w:r w:rsidRPr="006E5DD6">
        <w:rPr>
          <w:sz w:val="22"/>
          <w:szCs w:val="22"/>
          <w:lang w:val="pt-BR"/>
        </w:rPr>
        <w:t xml:space="preserve">desenvolvido à luz da Agenda 2030 da ONU, considerando a gestão integrada das águas como fio condutor para alcançar suas metas. Esse sistema funciona como ferramenta de apoio à decisão para gestores de recursos hídricos e combina sete dimensões da sustentabilidade com princípios associados à gestão integrada e participativa das águas. O sistema de indicadores foi desenvolvido a nível regional, partindo do caso da RH-VIII (Rio de Janeiro, Brasil) e do Distrito Regional de </w:t>
      </w:r>
      <w:proofErr w:type="spellStart"/>
      <w:r w:rsidRPr="006E5DD6">
        <w:rPr>
          <w:sz w:val="22"/>
          <w:szCs w:val="22"/>
          <w:lang w:val="pt-BR"/>
        </w:rPr>
        <w:t>Nanaimo</w:t>
      </w:r>
      <w:proofErr w:type="spellEnd"/>
      <w:r w:rsidRPr="006E5DD6">
        <w:rPr>
          <w:sz w:val="22"/>
          <w:szCs w:val="22"/>
          <w:lang w:val="pt-BR"/>
        </w:rPr>
        <w:t xml:space="preserve"> (Ilha de Vancouver, Canadá). </w:t>
      </w:r>
      <w:r w:rsidR="004E42A4">
        <w:rPr>
          <w:sz w:val="22"/>
          <w:szCs w:val="22"/>
          <w:lang w:val="pt-BR"/>
        </w:rPr>
        <w:t>No artigo aborda-se</w:t>
      </w:r>
      <w:r w:rsidRPr="006E5DD6">
        <w:rPr>
          <w:sz w:val="22"/>
          <w:szCs w:val="22"/>
          <w:lang w:val="pt-BR"/>
        </w:rPr>
        <w:t xml:space="preserve"> um exemplo de aplicação d</w:t>
      </w:r>
      <w:r>
        <w:rPr>
          <w:sz w:val="22"/>
          <w:szCs w:val="22"/>
          <w:lang w:val="pt-BR"/>
        </w:rPr>
        <w:t xml:space="preserve">esta metodologia na RH-IX/ ERJ. </w:t>
      </w:r>
      <w:r w:rsidRPr="006E5DD6">
        <w:rPr>
          <w:sz w:val="22"/>
          <w:szCs w:val="22"/>
          <w:lang w:val="pt-BR"/>
        </w:rPr>
        <w:t xml:space="preserve">O sistema socioambiental (SSA) em estudo apresenta aspectos positivos, mas também fragilidades em relação aos princípios de sustentabilidade que compõem a avaliação de </w:t>
      </w:r>
      <w:proofErr w:type="spellStart"/>
      <w:r w:rsidRPr="006E5DD6">
        <w:rPr>
          <w:sz w:val="22"/>
          <w:szCs w:val="22"/>
          <w:lang w:val="pt-BR"/>
        </w:rPr>
        <w:t>prosperabilidade</w:t>
      </w:r>
      <w:proofErr w:type="spellEnd"/>
      <w:r w:rsidRPr="006E5DD6">
        <w:rPr>
          <w:sz w:val="22"/>
          <w:szCs w:val="22"/>
          <w:lang w:val="pt-BR"/>
        </w:rPr>
        <w:t>, sendo propostas sugestões para superar os desafios detectados, ap</w:t>
      </w:r>
      <w:r w:rsidR="0056401C">
        <w:rPr>
          <w:sz w:val="22"/>
          <w:szCs w:val="22"/>
          <w:lang w:val="pt-BR"/>
        </w:rPr>
        <w:t>roveitando suas potencialidades.</w:t>
      </w:r>
    </w:p>
    <w:p w14:paraId="6327C915" w14:textId="77777777" w:rsidR="00F00979" w:rsidRPr="0056401C" w:rsidRDefault="00F00979" w:rsidP="00E97ED4">
      <w:pPr>
        <w:spacing w:after="120"/>
        <w:rPr>
          <w:sz w:val="22"/>
          <w:szCs w:val="22"/>
          <w:lang w:val="pt-BR"/>
        </w:rPr>
      </w:pPr>
    </w:p>
    <w:p w14:paraId="0A972A25" w14:textId="77777777" w:rsidR="006E5DD6" w:rsidRPr="006E5DD6" w:rsidRDefault="00827839" w:rsidP="006E5DD6">
      <w:pPr>
        <w:pBdr>
          <w:top w:val="nil"/>
          <w:left w:val="nil"/>
          <w:bottom w:val="nil"/>
          <w:right w:val="nil"/>
          <w:between w:val="nil"/>
        </w:pBdr>
        <w:rPr>
          <w:b/>
          <w:i/>
          <w:smallCaps/>
          <w:szCs w:val="24"/>
          <w:lang w:val="pt-BR"/>
        </w:rPr>
      </w:pPr>
      <w:r w:rsidRPr="0049479C">
        <w:rPr>
          <w:b/>
          <w:szCs w:val="24"/>
          <w:lang w:val="pt-BR"/>
        </w:rPr>
        <w:t>Palavras-chave</w:t>
      </w:r>
      <w:r w:rsidRPr="0049479C">
        <w:rPr>
          <w:b/>
          <w:sz w:val="22"/>
          <w:szCs w:val="22"/>
          <w:lang w:val="pt-BR"/>
        </w:rPr>
        <w:t>:</w:t>
      </w:r>
      <w:r w:rsidR="00321E9E" w:rsidRPr="0049479C">
        <w:rPr>
          <w:b/>
          <w:sz w:val="22"/>
          <w:szCs w:val="22"/>
          <w:lang w:val="pt-BR"/>
        </w:rPr>
        <w:t xml:space="preserve"> </w:t>
      </w:r>
      <w:r w:rsidR="006E5DD6" w:rsidRPr="006E5DD6">
        <w:rPr>
          <w:szCs w:val="24"/>
          <w:lang w:val="pt-BR"/>
        </w:rPr>
        <w:t>Agenda 2030, ODS 6; Sustentabilidade; Gestão integrada de recursos hídricos</w:t>
      </w:r>
    </w:p>
    <w:p w14:paraId="4CB39658" w14:textId="77777777" w:rsidR="0056401C" w:rsidRDefault="0056401C" w:rsidP="00E97ED4">
      <w:pPr>
        <w:spacing w:after="120"/>
        <w:rPr>
          <w:sz w:val="22"/>
          <w:szCs w:val="22"/>
          <w:lang w:val="pt-BR"/>
        </w:rPr>
      </w:pPr>
    </w:p>
    <w:p w14:paraId="0A019208" w14:textId="77777777" w:rsidR="00434919" w:rsidRPr="0049479C" w:rsidRDefault="00434919" w:rsidP="00E97ED4">
      <w:pPr>
        <w:spacing w:after="120"/>
        <w:rPr>
          <w:color w:val="A6A6A6"/>
          <w:sz w:val="22"/>
          <w:szCs w:val="22"/>
          <w:lang w:val="pt-BR"/>
        </w:rPr>
      </w:pPr>
    </w:p>
    <w:p w14:paraId="3A645C22" w14:textId="77777777" w:rsidR="00827839" w:rsidRPr="00CA47C5" w:rsidRDefault="00827839" w:rsidP="00E97ED4">
      <w:pPr>
        <w:spacing w:after="120"/>
        <w:rPr>
          <w:b/>
          <w:i/>
          <w:color w:val="A6A6A6"/>
          <w:sz w:val="22"/>
          <w:szCs w:val="22"/>
        </w:rPr>
      </w:pPr>
      <w:r w:rsidRPr="00CA47C5">
        <w:rPr>
          <w:b/>
          <w:i/>
          <w:szCs w:val="24"/>
        </w:rPr>
        <w:t>Abstrac</w:t>
      </w:r>
      <w:r w:rsidRPr="00CA47C5">
        <w:rPr>
          <w:b/>
          <w:i/>
          <w:sz w:val="22"/>
          <w:szCs w:val="22"/>
        </w:rPr>
        <w:t>t</w:t>
      </w:r>
    </w:p>
    <w:p w14:paraId="372F4DEF" w14:textId="133FA70E" w:rsidR="00170328" w:rsidRPr="006E5DD6" w:rsidRDefault="006E5DD6" w:rsidP="00E97ED4">
      <w:pPr>
        <w:widowControl w:val="0"/>
        <w:autoSpaceDE w:val="0"/>
        <w:autoSpaceDN w:val="0"/>
        <w:adjustRightInd w:val="0"/>
        <w:spacing w:after="120"/>
        <w:rPr>
          <w:i/>
          <w:sz w:val="22"/>
          <w:szCs w:val="22"/>
        </w:rPr>
      </w:pPr>
      <w:r w:rsidRPr="006E5DD6">
        <w:rPr>
          <w:i/>
          <w:sz w:val="22"/>
          <w:szCs w:val="22"/>
        </w:rPr>
        <w:t xml:space="preserve">The present work aims to present strategies to promote sustainable development in the Lower Paraíba do Sul and Itabapoana Hydrographic Region of the state of Rio de Janeiro (RH-IX/ERJ), from the result of the application of a system of indicators called </w:t>
      </w:r>
      <w:proofErr w:type="spellStart"/>
      <w:r w:rsidRPr="006E5DD6">
        <w:rPr>
          <w:i/>
          <w:sz w:val="22"/>
          <w:szCs w:val="22"/>
        </w:rPr>
        <w:t>thrivability</w:t>
      </w:r>
      <w:proofErr w:type="spellEnd"/>
      <w:r w:rsidRPr="006E5DD6">
        <w:rPr>
          <w:i/>
          <w:sz w:val="22"/>
          <w:szCs w:val="22"/>
        </w:rPr>
        <w:t xml:space="preserve"> appraisal, specially developed in light of </w:t>
      </w:r>
      <w:r w:rsidRPr="006E5DD6">
        <w:rPr>
          <w:i/>
          <w:sz w:val="22"/>
          <w:szCs w:val="22"/>
        </w:rPr>
        <w:lastRenderedPageBreak/>
        <w:t xml:space="preserve">the UN 2030 Agenda, considering integrated water resources management as the main guideline to achieve its goals. This system works as a decision support tool for water resource managers and combines the seven dimensions of sustainability with principles associated with integrated and participatory water management procedures. The indicator system was developed at the regional level, starting from the case of RH-VIII (Rio de Janeiro, Brazil) and the Regional District of Nanaimo (Vancouver Island, Canada). The article presents an example of the application of this methodology in the RH-IX/ERJ, where the lower course of the Paraíba do Sul river basin is located. We conclude that the </w:t>
      </w:r>
      <w:proofErr w:type="spellStart"/>
      <w:r w:rsidRPr="006E5DD6">
        <w:rPr>
          <w:i/>
          <w:sz w:val="22"/>
          <w:szCs w:val="22"/>
        </w:rPr>
        <w:t>the</w:t>
      </w:r>
      <w:proofErr w:type="spellEnd"/>
      <w:r w:rsidRPr="006E5DD6">
        <w:rPr>
          <w:i/>
          <w:sz w:val="22"/>
          <w:szCs w:val="22"/>
        </w:rPr>
        <w:t xml:space="preserve"> socio-environmental system (SSA) under study has positive aspects, but also weaknesses in relation to the sustainability principles that constitutes the </w:t>
      </w:r>
      <w:proofErr w:type="spellStart"/>
      <w:r w:rsidRPr="006E5DD6">
        <w:rPr>
          <w:i/>
          <w:sz w:val="22"/>
          <w:szCs w:val="22"/>
        </w:rPr>
        <w:t>thrivability</w:t>
      </w:r>
      <w:proofErr w:type="spellEnd"/>
      <w:r w:rsidRPr="006E5DD6">
        <w:rPr>
          <w:i/>
          <w:sz w:val="22"/>
          <w:szCs w:val="22"/>
        </w:rPr>
        <w:t xml:space="preserve"> appraisal, and suggest alternatives to overcome the detected challenges, taking advantage of its potential.</w:t>
      </w:r>
      <w:r w:rsidR="00170328" w:rsidRPr="006E5DD6">
        <w:rPr>
          <w:i/>
          <w:sz w:val="22"/>
          <w:szCs w:val="22"/>
        </w:rPr>
        <w:t>.</w:t>
      </w:r>
      <w:r w:rsidR="004B7146" w:rsidRPr="006E5DD6">
        <w:rPr>
          <w:i/>
          <w:sz w:val="22"/>
          <w:szCs w:val="22"/>
        </w:rPr>
        <w:t xml:space="preserve"> </w:t>
      </w:r>
    </w:p>
    <w:p w14:paraId="2CCD8B8A" w14:textId="77777777" w:rsidR="00BF0F76" w:rsidRPr="006E5DD6" w:rsidRDefault="00BF0F76" w:rsidP="00E97ED4">
      <w:pPr>
        <w:spacing w:after="120"/>
        <w:rPr>
          <w:color w:val="A6A6A6"/>
          <w:sz w:val="22"/>
          <w:szCs w:val="22"/>
        </w:rPr>
      </w:pPr>
    </w:p>
    <w:p w14:paraId="646EEC12" w14:textId="277F3656" w:rsidR="00827839" w:rsidRDefault="00141364" w:rsidP="00E65D3B">
      <w:pPr>
        <w:spacing w:after="120"/>
        <w:jc w:val="left"/>
        <w:rPr>
          <w:i/>
          <w:szCs w:val="24"/>
        </w:rPr>
      </w:pPr>
      <w:r w:rsidRPr="0049479C">
        <w:rPr>
          <w:b/>
          <w:i/>
          <w:szCs w:val="24"/>
        </w:rPr>
        <w:t>K</w:t>
      </w:r>
      <w:r w:rsidR="000F5978" w:rsidRPr="0049479C">
        <w:rPr>
          <w:b/>
          <w:i/>
          <w:szCs w:val="24"/>
        </w:rPr>
        <w:t>ey</w:t>
      </w:r>
      <w:r w:rsidR="00827839" w:rsidRPr="0049479C">
        <w:rPr>
          <w:b/>
          <w:i/>
          <w:szCs w:val="24"/>
        </w:rPr>
        <w:t>words:</w:t>
      </w:r>
      <w:r w:rsidR="00BF0F76" w:rsidRPr="0049479C">
        <w:rPr>
          <w:b/>
          <w:i/>
          <w:szCs w:val="24"/>
        </w:rPr>
        <w:t xml:space="preserve"> </w:t>
      </w:r>
      <w:r w:rsidR="006E5DD6" w:rsidRPr="006E5DD6">
        <w:rPr>
          <w:i/>
          <w:szCs w:val="24"/>
        </w:rPr>
        <w:t>2030 Agenda, SDG 6; Sustainability; Integrated Water Resources Management</w:t>
      </w:r>
      <w:r w:rsidR="006E5DD6">
        <w:rPr>
          <w:i/>
          <w:szCs w:val="24"/>
        </w:rPr>
        <w:t>.</w:t>
      </w:r>
    </w:p>
    <w:p w14:paraId="209B97FF" w14:textId="77777777" w:rsidR="0056401C" w:rsidRPr="0049479C" w:rsidRDefault="0056401C" w:rsidP="00E65D3B">
      <w:pPr>
        <w:spacing w:after="120"/>
        <w:jc w:val="left"/>
        <w:rPr>
          <w:b/>
          <w:i/>
          <w:szCs w:val="24"/>
        </w:rPr>
      </w:pPr>
    </w:p>
    <w:p w14:paraId="152F5CA2" w14:textId="77777777" w:rsidR="004245F7" w:rsidRPr="0049479C" w:rsidRDefault="006D00BB" w:rsidP="00E97ED4">
      <w:pPr>
        <w:pStyle w:val="PargrafodaLista"/>
        <w:numPr>
          <w:ilvl w:val="0"/>
          <w:numId w:val="5"/>
        </w:numPr>
        <w:spacing w:after="120"/>
        <w:rPr>
          <w:b/>
          <w:szCs w:val="24"/>
        </w:rPr>
      </w:pPr>
      <w:proofErr w:type="spellStart"/>
      <w:r w:rsidRPr="0049479C">
        <w:rPr>
          <w:b/>
          <w:szCs w:val="24"/>
        </w:rPr>
        <w:t>Introdução</w:t>
      </w:r>
      <w:proofErr w:type="spellEnd"/>
    </w:p>
    <w:p w14:paraId="55016DAB" w14:textId="77777777" w:rsidR="004E7D4E" w:rsidRPr="0049479C" w:rsidRDefault="004E7D4E" w:rsidP="00E97ED4">
      <w:pPr>
        <w:spacing w:after="120"/>
        <w:rPr>
          <w:color w:val="A6A6A6"/>
          <w:szCs w:val="24"/>
        </w:rPr>
      </w:pPr>
    </w:p>
    <w:p w14:paraId="5D70E149" w14:textId="5DDFE145" w:rsidR="006E5DD6" w:rsidRPr="006E5DD6" w:rsidRDefault="004E42A4" w:rsidP="00B55675">
      <w:pPr>
        <w:spacing w:after="120"/>
        <w:ind w:firstLine="284"/>
        <w:rPr>
          <w:szCs w:val="24"/>
          <w:lang w:val="pt-BR"/>
        </w:rPr>
      </w:pPr>
      <w:r>
        <w:rPr>
          <w:szCs w:val="24"/>
          <w:lang w:val="pt-BR"/>
        </w:rPr>
        <w:t>P</w:t>
      </w:r>
      <w:r w:rsidRPr="006E5DD6">
        <w:rPr>
          <w:szCs w:val="24"/>
          <w:lang w:val="pt-BR"/>
        </w:rPr>
        <w:t>ara fins de gestão</w:t>
      </w:r>
      <w:r>
        <w:rPr>
          <w:szCs w:val="24"/>
          <w:lang w:val="pt-BR"/>
        </w:rPr>
        <w:t xml:space="preserve"> de recursos hídricos, o</w:t>
      </w:r>
      <w:r w:rsidR="006E5DD6" w:rsidRPr="006E5DD6">
        <w:rPr>
          <w:szCs w:val="24"/>
          <w:lang w:val="pt-BR"/>
        </w:rPr>
        <w:t xml:space="preserve"> estado do Rio de Janeiro (ERJ) está dividido em nove Regiões Hidrográficas (Resolução CERHI-RJ nº 107 de 22 de maio de 2013), cada qual com o seu comitê de bacia (INEA, 2013). A Região Hidrográfica Baixo Paraíba do Sul e Itabapoana ou RH-IX está situada no Norte-Noroeste do Estado do Rio de Janeiro, e foi definida pela Resolução nº 107/2013 do Conselho Estadual de Recursos Hídricos do Estado do Rio de Janeiro – CERHI/RJ (CEIVAP, 2018), conforme apresentado na Figura 1.</w:t>
      </w:r>
    </w:p>
    <w:p w14:paraId="56545935" w14:textId="57C0DA55" w:rsidR="006E5DD6" w:rsidRDefault="006E5DD6" w:rsidP="00B55675">
      <w:pPr>
        <w:spacing w:after="120"/>
        <w:ind w:firstLine="284"/>
        <w:rPr>
          <w:szCs w:val="24"/>
          <w:lang w:val="pt-BR"/>
        </w:rPr>
      </w:pPr>
      <w:r w:rsidRPr="006E5DD6">
        <w:rPr>
          <w:szCs w:val="24"/>
          <w:lang w:val="pt-BR"/>
        </w:rPr>
        <w:t>A RH-IX compreende os municípios de Quissamã, São João da Barra, Cardoso Moreira, Italva, Cambuci, Itaperuna, São José de Ub</w:t>
      </w:r>
      <w:r>
        <w:rPr>
          <w:szCs w:val="24"/>
          <w:lang w:val="pt-BR"/>
        </w:rPr>
        <w:t>á</w:t>
      </w:r>
      <w:r w:rsidRPr="006E5DD6">
        <w:rPr>
          <w:szCs w:val="24"/>
          <w:lang w:val="pt-BR"/>
        </w:rPr>
        <w:t>, Aperibé, Santo Antôn</w:t>
      </w:r>
      <w:r>
        <w:rPr>
          <w:szCs w:val="24"/>
          <w:lang w:val="pt-BR"/>
        </w:rPr>
        <w:t>io de Pádua, Natividade, Miracem</w:t>
      </w:r>
      <w:r w:rsidRPr="006E5DD6">
        <w:rPr>
          <w:szCs w:val="24"/>
          <w:lang w:val="pt-BR"/>
        </w:rPr>
        <w:t xml:space="preserve">a, Laje do Muriaé, Bom Jesus do Itabapoana, São Francisco do Itabapoana, Porciúncula e Varre-Sai em sua totalidade e parcialmente os municípios Trajano de Moraes, Conceição de Macabu, Carapebus, Santa Maria Madalena, Campos dos Goytacazes e São Fidélis (INEA, 2013). A figura 2 apresenta os municípios que fazem parte da RH-IX, área de atuação do Comitê do Baixo Paraíba do </w:t>
      </w:r>
      <w:r>
        <w:rPr>
          <w:szCs w:val="24"/>
          <w:lang w:val="pt-BR"/>
        </w:rPr>
        <w:t>S</w:t>
      </w:r>
      <w:r w:rsidRPr="006E5DD6">
        <w:rPr>
          <w:szCs w:val="24"/>
          <w:lang w:val="pt-BR"/>
        </w:rPr>
        <w:t>ul e Itabapoana (CBH BPSI).</w:t>
      </w:r>
    </w:p>
    <w:p w14:paraId="5EDE638D" w14:textId="77777777" w:rsidR="005B091C" w:rsidRDefault="005B091C" w:rsidP="005B091C">
      <w:pPr>
        <w:spacing w:before="280" w:after="280"/>
        <w:ind w:firstLine="284"/>
        <w:jc w:val="center"/>
        <w:rPr>
          <w:szCs w:val="24"/>
        </w:rPr>
      </w:pPr>
      <w:r>
        <w:rPr>
          <w:noProof/>
          <w:szCs w:val="24"/>
          <w:lang w:val="pt-BR"/>
        </w:rPr>
        <w:drawing>
          <wp:inline distT="0" distB="0" distL="0" distR="0" wp14:anchorId="0939300E" wp14:editId="72C6882A">
            <wp:extent cx="3581561" cy="2418715"/>
            <wp:effectExtent l="0" t="0" r="0" b="635"/>
            <wp:docPr id="1" name="Imagem 5" descr="ma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a.jpg"/>
                    <pic:cNvPicPr/>
                  </pic:nvPicPr>
                  <pic:blipFill>
                    <a:blip r:embed="rId8" cstate="print"/>
                    <a:stretch>
                      <a:fillRect/>
                    </a:stretch>
                  </pic:blipFill>
                  <pic:spPr>
                    <a:xfrm>
                      <a:off x="0" y="0"/>
                      <a:ext cx="3602674" cy="2432973"/>
                    </a:xfrm>
                    <a:prstGeom prst="rect">
                      <a:avLst/>
                    </a:prstGeom>
                  </pic:spPr>
                </pic:pic>
              </a:graphicData>
            </a:graphic>
          </wp:inline>
        </w:drawing>
      </w:r>
    </w:p>
    <w:p w14:paraId="149DFDFA" w14:textId="70D1FA0B" w:rsidR="005B091C" w:rsidRPr="0056401C" w:rsidRDefault="0056401C" w:rsidP="0056401C">
      <w:pPr>
        <w:spacing w:before="280" w:after="280"/>
        <w:ind w:firstLine="284"/>
        <w:jc w:val="center"/>
        <w:rPr>
          <w:b/>
          <w:sz w:val="20"/>
          <w:lang w:val="pt-BR"/>
        </w:rPr>
      </w:pPr>
      <w:r w:rsidRPr="0056401C">
        <w:rPr>
          <w:b/>
          <w:sz w:val="20"/>
          <w:lang w:val="pt-BR"/>
        </w:rPr>
        <w:lastRenderedPageBreak/>
        <w:t xml:space="preserve">Figura 1 – Mapa das Regiões Hidrográficas do Estado do Rio de Janeiro - </w:t>
      </w:r>
      <w:r w:rsidR="005B091C" w:rsidRPr="0056401C">
        <w:rPr>
          <w:b/>
          <w:sz w:val="20"/>
          <w:lang w:val="pt-BR"/>
        </w:rPr>
        <w:t>Fonte: INEA- RJ (2013)</w:t>
      </w:r>
      <w:r w:rsidR="004E42A4">
        <w:rPr>
          <w:b/>
          <w:sz w:val="20"/>
          <w:lang w:val="pt-BR"/>
        </w:rPr>
        <w:t>.</w:t>
      </w:r>
    </w:p>
    <w:p w14:paraId="7E193A18" w14:textId="0933C073" w:rsidR="006E5DD6" w:rsidRDefault="005B091C" w:rsidP="005B091C">
      <w:pPr>
        <w:spacing w:after="120"/>
        <w:ind w:firstLine="284"/>
        <w:jc w:val="center"/>
        <w:rPr>
          <w:szCs w:val="24"/>
          <w:lang w:val="pt-BR"/>
        </w:rPr>
      </w:pPr>
      <w:r>
        <w:rPr>
          <w:noProof/>
          <w:szCs w:val="24"/>
          <w:lang w:val="pt-BR"/>
        </w:rPr>
        <w:drawing>
          <wp:inline distT="0" distB="0" distL="0" distR="0" wp14:anchorId="216AA434" wp14:editId="154DB8D4">
            <wp:extent cx="3479987" cy="2476500"/>
            <wp:effectExtent l="0" t="0" r="635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pa-baixo.jpg"/>
                    <pic:cNvPicPr/>
                  </pic:nvPicPr>
                  <pic:blipFill>
                    <a:blip r:embed="rId9">
                      <a:extLst>
                        <a:ext uri="{28A0092B-C50C-407E-A947-70E740481C1C}">
                          <a14:useLocalDpi xmlns:a14="http://schemas.microsoft.com/office/drawing/2010/main" val="0"/>
                        </a:ext>
                      </a:extLst>
                    </a:blip>
                    <a:stretch>
                      <a:fillRect/>
                    </a:stretch>
                  </pic:blipFill>
                  <pic:spPr>
                    <a:xfrm>
                      <a:off x="0" y="0"/>
                      <a:ext cx="3504568" cy="2493993"/>
                    </a:xfrm>
                    <a:prstGeom prst="rect">
                      <a:avLst/>
                    </a:prstGeom>
                  </pic:spPr>
                </pic:pic>
              </a:graphicData>
            </a:graphic>
          </wp:inline>
        </w:drawing>
      </w:r>
    </w:p>
    <w:p w14:paraId="588B0084" w14:textId="42725A01" w:rsidR="005B091C" w:rsidRDefault="0056401C" w:rsidP="0056401C">
      <w:pPr>
        <w:ind w:firstLine="284"/>
        <w:jc w:val="center"/>
        <w:rPr>
          <w:szCs w:val="24"/>
          <w:lang w:val="pt-BR"/>
        </w:rPr>
      </w:pPr>
      <w:r w:rsidRPr="0056401C">
        <w:rPr>
          <w:b/>
          <w:sz w:val="20"/>
          <w:lang w:val="pt-BR"/>
        </w:rPr>
        <w:t>Figura 2 – Área de atuação do CBH – Baixo Paraíba do Sul -</w:t>
      </w:r>
      <w:r w:rsidR="005B091C" w:rsidRPr="0056401C">
        <w:rPr>
          <w:b/>
          <w:sz w:val="20"/>
          <w:lang w:val="pt-BR"/>
        </w:rPr>
        <w:t>Fonte: Comitê de Bacia do Baixo Paraíba do Sul e Itabapoana (2022</w:t>
      </w:r>
      <w:r w:rsidR="005B091C">
        <w:rPr>
          <w:szCs w:val="24"/>
          <w:lang w:val="pt-BR"/>
        </w:rPr>
        <w:t>)</w:t>
      </w:r>
      <w:r w:rsidR="004E42A4">
        <w:rPr>
          <w:szCs w:val="24"/>
          <w:lang w:val="pt-BR"/>
        </w:rPr>
        <w:t>.</w:t>
      </w:r>
    </w:p>
    <w:p w14:paraId="28D695F1" w14:textId="77777777" w:rsidR="006E5DD6" w:rsidRDefault="006E5DD6" w:rsidP="00B55675">
      <w:pPr>
        <w:spacing w:after="120"/>
        <w:rPr>
          <w:szCs w:val="24"/>
          <w:lang w:val="pt-BR"/>
        </w:rPr>
      </w:pPr>
    </w:p>
    <w:p w14:paraId="484C188D" w14:textId="44D600C7" w:rsidR="00AC5824" w:rsidRDefault="00AC5824" w:rsidP="003D7902">
      <w:pPr>
        <w:spacing w:after="120"/>
        <w:ind w:firstLine="284"/>
        <w:rPr>
          <w:szCs w:val="24"/>
          <w:lang w:val="pt-BR"/>
        </w:rPr>
      </w:pPr>
      <w:r w:rsidRPr="00AC5824">
        <w:rPr>
          <w:szCs w:val="24"/>
          <w:lang w:val="pt-BR"/>
        </w:rPr>
        <w:t xml:space="preserve">Objetiva-se com este trabalho utilizar a metodologia de “avaliação de </w:t>
      </w:r>
      <w:proofErr w:type="spellStart"/>
      <w:r w:rsidRPr="00AC5824">
        <w:rPr>
          <w:szCs w:val="24"/>
          <w:lang w:val="pt-BR"/>
        </w:rPr>
        <w:t>prosperabilidade</w:t>
      </w:r>
      <w:proofErr w:type="spellEnd"/>
      <w:r w:rsidRPr="00AC5824">
        <w:rPr>
          <w:szCs w:val="24"/>
          <w:lang w:val="pt-BR"/>
        </w:rPr>
        <w:t xml:space="preserve">”, baseada num sistema de indicadores composto por 49 parâmetros elencados em função de 7 princípios da sustentabilidade, para avaliar </w:t>
      </w:r>
      <w:r>
        <w:rPr>
          <w:szCs w:val="24"/>
          <w:lang w:val="pt-BR"/>
        </w:rPr>
        <w:t xml:space="preserve">o </w:t>
      </w:r>
      <w:r w:rsidRPr="00AC5824">
        <w:rPr>
          <w:szCs w:val="24"/>
          <w:lang w:val="pt-BR"/>
        </w:rPr>
        <w:t>sistema socioambiental (SSA)</w:t>
      </w:r>
      <w:r>
        <w:rPr>
          <w:szCs w:val="24"/>
          <w:lang w:val="pt-BR"/>
        </w:rPr>
        <w:t xml:space="preserve"> do Comitê de Bacia do Baixo paraíba do Sul e Itabapoana (CBH-BPSI),</w:t>
      </w:r>
      <w:r w:rsidRPr="00AC5824">
        <w:rPr>
          <w:szCs w:val="24"/>
          <w:lang w:val="pt-BR"/>
        </w:rPr>
        <w:t xml:space="preserve"> u</w:t>
      </w:r>
      <w:r>
        <w:rPr>
          <w:szCs w:val="24"/>
          <w:lang w:val="pt-BR"/>
        </w:rPr>
        <w:t>sando dados levantados junto ao Comitê por meio da aplicação de questionário</w:t>
      </w:r>
      <w:r w:rsidRPr="00AC5824">
        <w:rPr>
          <w:szCs w:val="24"/>
          <w:lang w:val="pt-BR"/>
        </w:rPr>
        <w:t xml:space="preserve"> e dados</w:t>
      </w:r>
      <w:r>
        <w:rPr>
          <w:szCs w:val="24"/>
          <w:lang w:val="pt-BR"/>
        </w:rPr>
        <w:t xml:space="preserve"> secundários obtidos por levantamento bibliográfico</w:t>
      </w:r>
      <w:r w:rsidRPr="00AC5824">
        <w:rPr>
          <w:szCs w:val="24"/>
          <w:lang w:val="pt-BR"/>
        </w:rPr>
        <w:t xml:space="preserve">. Espera-se assim obter um diagnóstico das ações já realizadas </w:t>
      </w:r>
      <w:r>
        <w:rPr>
          <w:szCs w:val="24"/>
          <w:lang w:val="pt-BR"/>
        </w:rPr>
        <w:t xml:space="preserve">pelo </w:t>
      </w:r>
      <w:r w:rsidRPr="00AC5824">
        <w:rPr>
          <w:szCs w:val="24"/>
          <w:lang w:val="pt-BR"/>
        </w:rPr>
        <w:t xml:space="preserve">Comitê, verificar como </w:t>
      </w:r>
      <w:r>
        <w:rPr>
          <w:szCs w:val="24"/>
          <w:lang w:val="pt-BR"/>
        </w:rPr>
        <w:t xml:space="preserve">se este </w:t>
      </w:r>
      <w:r w:rsidRPr="00AC5824">
        <w:rPr>
          <w:szCs w:val="24"/>
          <w:lang w:val="pt-BR"/>
        </w:rPr>
        <w:t xml:space="preserve">vem contribuindo </w:t>
      </w:r>
      <w:r>
        <w:rPr>
          <w:szCs w:val="24"/>
          <w:lang w:val="pt-BR"/>
        </w:rPr>
        <w:t xml:space="preserve">consistentemente </w:t>
      </w:r>
      <w:r w:rsidRPr="00AC5824">
        <w:rPr>
          <w:szCs w:val="24"/>
          <w:lang w:val="pt-BR"/>
        </w:rPr>
        <w:t>para a conservação e gestão das águas e</w:t>
      </w:r>
      <w:r>
        <w:rPr>
          <w:szCs w:val="24"/>
          <w:lang w:val="pt-BR"/>
        </w:rPr>
        <w:t>m sua região hidrográfica e quais pontos são necessários melhorias</w:t>
      </w:r>
      <w:r w:rsidRPr="00AC5824">
        <w:rPr>
          <w:szCs w:val="24"/>
          <w:lang w:val="pt-BR"/>
        </w:rPr>
        <w:t>, com vistas a alcançar o desenvolvimento sustentável em sua</w:t>
      </w:r>
      <w:r>
        <w:rPr>
          <w:szCs w:val="24"/>
          <w:lang w:val="pt-BR"/>
        </w:rPr>
        <w:t xml:space="preserve"> área </w:t>
      </w:r>
      <w:r w:rsidRPr="00AC5824">
        <w:rPr>
          <w:szCs w:val="24"/>
          <w:lang w:val="pt-BR"/>
        </w:rPr>
        <w:t>de atuação.</w:t>
      </w:r>
    </w:p>
    <w:p w14:paraId="34ED7F94" w14:textId="77777777" w:rsidR="00AC5824" w:rsidRDefault="00AC5824" w:rsidP="003D7902">
      <w:pPr>
        <w:spacing w:after="120"/>
        <w:ind w:firstLine="284"/>
        <w:rPr>
          <w:szCs w:val="24"/>
          <w:lang w:val="pt-BR"/>
        </w:rPr>
      </w:pPr>
    </w:p>
    <w:p w14:paraId="16961008" w14:textId="46655C5B" w:rsidR="005B091C" w:rsidRDefault="0056401C" w:rsidP="0056401C">
      <w:pPr>
        <w:pStyle w:val="PargrafodaLista"/>
        <w:numPr>
          <w:ilvl w:val="0"/>
          <w:numId w:val="5"/>
        </w:numPr>
        <w:spacing w:after="120"/>
        <w:rPr>
          <w:b/>
          <w:szCs w:val="24"/>
          <w:lang w:val="pt-BR"/>
        </w:rPr>
      </w:pPr>
      <w:r w:rsidRPr="0049479C">
        <w:rPr>
          <w:b/>
          <w:szCs w:val="24"/>
          <w:lang w:val="pt-BR"/>
        </w:rPr>
        <w:t>Procedimentos Metodológicos</w:t>
      </w:r>
    </w:p>
    <w:p w14:paraId="3994EBF9" w14:textId="77777777" w:rsidR="0056401C" w:rsidRPr="0056401C" w:rsidRDefault="0056401C" w:rsidP="0056401C">
      <w:pPr>
        <w:pStyle w:val="PargrafodaLista"/>
        <w:spacing w:after="120"/>
        <w:rPr>
          <w:b/>
          <w:szCs w:val="24"/>
          <w:lang w:val="pt-BR"/>
        </w:rPr>
      </w:pPr>
    </w:p>
    <w:p w14:paraId="15F1B350" w14:textId="77777777" w:rsidR="005B091C" w:rsidRPr="005B091C" w:rsidRDefault="005B091C" w:rsidP="00ED190A">
      <w:pPr>
        <w:spacing w:after="120"/>
        <w:ind w:firstLine="284"/>
        <w:rPr>
          <w:szCs w:val="24"/>
          <w:lang w:val="pt-BR"/>
        </w:rPr>
      </w:pPr>
      <w:r w:rsidRPr="005B091C">
        <w:rPr>
          <w:szCs w:val="24"/>
          <w:lang w:val="pt-BR"/>
        </w:rPr>
        <w:t xml:space="preserve">A avaliação da </w:t>
      </w:r>
      <w:proofErr w:type="spellStart"/>
      <w:r w:rsidRPr="005B091C">
        <w:rPr>
          <w:szCs w:val="24"/>
          <w:lang w:val="pt-BR"/>
        </w:rPr>
        <w:t>prosperabilidade</w:t>
      </w:r>
      <w:proofErr w:type="spellEnd"/>
      <w:r w:rsidRPr="005B091C">
        <w:rPr>
          <w:szCs w:val="24"/>
          <w:lang w:val="pt-BR"/>
        </w:rPr>
        <w:t xml:space="preserve"> é uma metodologia para avaliações ambientais que integra princípios de sustentabilidade (OSTRON, 2004) aos interesses norteadores da gestão de recursos comuns (LARSON, WIEK; KEELER, 2015), aplicando-os à gestão de bacias hidrográficas. Isso inclui reconhecer a relevância de áreas protegidas para práticas de conservação dos recursos hídricos, bem como a complexidade envolvida nos mecanismos de governança vinculados a sua gestão (FERREIRA et al., 2017; MACHADO et al.</w:t>
      </w:r>
      <w:r w:rsidRPr="005B091C">
        <w:rPr>
          <w:i/>
          <w:szCs w:val="24"/>
          <w:lang w:val="pt-BR"/>
        </w:rPr>
        <w:t>,</w:t>
      </w:r>
      <w:r w:rsidRPr="005B091C">
        <w:rPr>
          <w:szCs w:val="24"/>
          <w:lang w:val="pt-BR"/>
        </w:rPr>
        <w:t xml:space="preserve"> 2019; MAFORT et al., 2019).</w:t>
      </w:r>
    </w:p>
    <w:p w14:paraId="7478C493" w14:textId="77777777" w:rsidR="005B091C" w:rsidRPr="005B091C" w:rsidRDefault="005B091C" w:rsidP="00ED190A">
      <w:pPr>
        <w:spacing w:after="120"/>
        <w:ind w:firstLine="284"/>
        <w:rPr>
          <w:sz w:val="20"/>
          <w:lang w:val="pt-BR"/>
        </w:rPr>
      </w:pPr>
      <w:r w:rsidRPr="005B091C">
        <w:rPr>
          <w:szCs w:val="24"/>
          <w:lang w:val="pt-BR"/>
        </w:rPr>
        <w:t xml:space="preserve">O método alia uma abordagem que integra elementos associados à resiliência ecossistêmica com princípios de sustentabilidade de SSA (sistema socioambiental), em contextos de governança democrática, com o viés de redução da pobreza, vislumbrando a possibilidade de um modelo de desenvolvimento aderente aos ODS da Agenda 2030, pontuando sete princípios de sustentabilidade: 1. Integridade do SSA; 2. Eficiência e manutenção dos recursos; 3. Oportunidades de vida e sustento suficientes; 4. Engajamento da sociedade civil e governança </w:t>
      </w:r>
      <w:r w:rsidRPr="005B091C">
        <w:rPr>
          <w:szCs w:val="24"/>
          <w:lang w:val="pt-BR"/>
        </w:rPr>
        <w:lastRenderedPageBreak/>
        <w:t xml:space="preserve">democrática; 5. Equidade </w:t>
      </w:r>
      <w:proofErr w:type="spellStart"/>
      <w:r w:rsidRPr="005B091C">
        <w:rPr>
          <w:szCs w:val="24"/>
          <w:lang w:val="pt-BR"/>
        </w:rPr>
        <w:t>inter</w:t>
      </w:r>
      <w:proofErr w:type="spellEnd"/>
      <w:r w:rsidRPr="005B091C">
        <w:rPr>
          <w:szCs w:val="24"/>
          <w:lang w:val="pt-BR"/>
        </w:rPr>
        <w:t xml:space="preserve"> e </w:t>
      </w:r>
      <w:proofErr w:type="spellStart"/>
      <w:r w:rsidRPr="005B091C">
        <w:rPr>
          <w:szCs w:val="24"/>
          <w:lang w:val="pt-BR"/>
        </w:rPr>
        <w:t>intra-geracional</w:t>
      </w:r>
      <w:proofErr w:type="spellEnd"/>
      <w:r w:rsidRPr="005B091C">
        <w:rPr>
          <w:szCs w:val="24"/>
          <w:lang w:val="pt-BR"/>
        </w:rPr>
        <w:t>; 6. Interconexão escalas local/nacional/global; e 7. Precaução e adaptabilidade.</w:t>
      </w:r>
    </w:p>
    <w:p w14:paraId="7DEF8333" w14:textId="7E7A6152" w:rsidR="005B091C" w:rsidRPr="005B091C" w:rsidRDefault="005B091C" w:rsidP="00ED190A">
      <w:pPr>
        <w:spacing w:after="120"/>
        <w:ind w:firstLine="284"/>
        <w:rPr>
          <w:szCs w:val="24"/>
          <w:lang w:val="pt-BR"/>
        </w:rPr>
      </w:pPr>
      <w:r w:rsidRPr="005B091C">
        <w:rPr>
          <w:szCs w:val="24"/>
          <w:lang w:val="pt-BR"/>
        </w:rPr>
        <w:t>Três questões-chave de pesquisa orientaram a aplicação da metodologia em questão, no que diz respeito à percepção ambiental dos informantes-chave</w:t>
      </w:r>
      <w:r w:rsidR="00FC3912">
        <w:rPr>
          <w:szCs w:val="24"/>
          <w:lang w:val="pt-BR"/>
        </w:rPr>
        <w:t>: “</w:t>
      </w:r>
      <w:r w:rsidRPr="005B091C">
        <w:rPr>
          <w:szCs w:val="24"/>
          <w:lang w:val="pt-BR"/>
        </w:rPr>
        <w:t>Quais são os aspectos ambientais percebidos que impactam negativamente as bacias hidrográficas e a biodiversidade?</w:t>
      </w:r>
      <w:r w:rsidR="00FC3912">
        <w:rPr>
          <w:szCs w:val="24"/>
          <w:lang w:val="pt-BR"/>
        </w:rPr>
        <w:t>”;</w:t>
      </w:r>
      <w:r w:rsidRPr="005B091C">
        <w:rPr>
          <w:szCs w:val="24"/>
          <w:lang w:val="pt-BR"/>
        </w:rPr>
        <w:t xml:space="preserve"> </w:t>
      </w:r>
      <w:r w:rsidR="00FC3912">
        <w:rPr>
          <w:szCs w:val="24"/>
          <w:lang w:val="pt-BR"/>
        </w:rPr>
        <w:t>“</w:t>
      </w:r>
      <w:r w:rsidRPr="005B091C">
        <w:rPr>
          <w:szCs w:val="24"/>
          <w:lang w:val="pt-BR"/>
        </w:rPr>
        <w:t>Como prevenir a perda de biodiversidade em áreas não protegidas?</w:t>
      </w:r>
      <w:r w:rsidR="00FC3912">
        <w:rPr>
          <w:szCs w:val="24"/>
          <w:lang w:val="pt-BR"/>
        </w:rPr>
        <w:t>”; e</w:t>
      </w:r>
      <w:r w:rsidRPr="005B091C">
        <w:rPr>
          <w:szCs w:val="24"/>
          <w:lang w:val="pt-BR"/>
        </w:rPr>
        <w:t xml:space="preserve"> </w:t>
      </w:r>
      <w:r w:rsidR="00FC3912">
        <w:rPr>
          <w:szCs w:val="24"/>
          <w:lang w:val="pt-BR"/>
        </w:rPr>
        <w:t>“</w:t>
      </w:r>
      <w:r w:rsidRPr="005B091C">
        <w:rPr>
          <w:szCs w:val="24"/>
          <w:lang w:val="pt-BR"/>
        </w:rPr>
        <w:t>Como proteger bacias hidrográficas relacionadas ao território em estudo?</w:t>
      </w:r>
      <w:r w:rsidR="00FC3912">
        <w:rPr>
          <w:szCs w:val="24"/>
          <w:lang w:val="pt-BR"/>
        </w:rPr>
        <w:t>”.</w:t>
      </w:r>
      <w:r w:rsidRPr="005B091C">
        <w:rPr>
          <w:szCs w:val="24"/>
          <w:lang w:val="pt-BR"/>
        </w:rPr>
        <w:t xml:space="preserve"> A sustentabilidade das bacias hidrográficas e a conservação ambiental estão intrinsecamente ligadas. Por isso é importante interpretar os dados recolhidos de forma a avaliar as principais barreiras, assimetrias, desafios de governança e impactos negativos sobre bacias hidrográficas e biodiversidade (FERREIRA et al., 2017).</w:t>
      </w:r>
    </w:p>
    <w:p w14:paraId="68892493" w14:textId="77777777" w:rsidR="005B091C" w:rsidRPr="005B091C" w:rsidRDefault="005B091C" w:rsidP="00ED190A">
      <w:pPr>
        <w:spacing w:after="120"/>
        <w:ind w:firstLine="284"/>
        <w:rPr>
          <w:szCs w:val="24"/>
          <w:lang w:val="pt-BR"/>
        </w:rPr>
      </w:pPr>
      <w:r w:rsidRPr="005B091C">
        <w:rPr>
          <w:szCs w:val="24"/>
          <w:lang w:val="pt-BR"/>
        </w:rPr>
        <w:t xml:space="preserve">A partir de características importantes para a gestão sustentável, integrada, descentralizada e participativa dos recursos hídricos, para cada um dos sete princípios de sustentabilidade Ferreira et al. (2017) propuseram um conjunto de quatro componentes e três testes de interesse comum descritos por Larson, </w:t>
      </w:r>
      <w:proofErr w:type="spellStart"/>
      <w:r w:rsidRPr="005B091C">
        <w:rPr>
          <w:szCs w:val="24"/>
          <w:lang w:val="pt-BR"/>
        </w:rPr>
        <w:t>Wiek</w:t>
      </w:r>
      <w:proofErr w:type="spellEnd"/>
      <w:r w:rsidRPr="005B091C">
        <w:rPr>
          <w:szCs w:val="24"/>
          <w:lang w:val="pt-BR"/>
        </w:rPr>
        <w:t xml:space="preserve"> e </w:t>
      </w:r>
      <w:proofErr w:type="spellStart"/>
      <w:r w:rsidRPr="005B091C">
        <w:rPr>
          <w:szCs w:val="24"/>
          <w:lang w:val="pt-BR"/>
        </w:rPr>
        <w:t>Keeler</w:t>
      </w:r>
      <w:proofErr w:type="spellEnd"/>
      <w:r w:rsidRPr="005B091C">
        <w:rPr>
          <w:szCs w:val="24"/>
          <w:lang w:val="pt-BR"/>
        </w:rPr>
        <w:t xml:space="preserve"> (2015), resultando num total de 49 parâmetros necessários à avaliação. Uma atribuição de notas variando de 0 a 20 é feita para cada componente, sendo assim, os princípios de sustentabilidade possuem três níveis de pontuação, de acordo com critérios específicos: 0 (situação </w:t>
      </w:r>
      <w:proofErr w:type="spellStart"/>
      <w:r w:rsidRPr="005B091C">
        <w:rPr>
          <w:szCs w:val="24"/>
          <w:lang w:val="pt-BR"/>
        </w:rPr>
        <w:t>socioambientalmente</w:t>
      </w:r>
      <w:proofErr w:type="spellEnd"/>
      <w:r w:rsidRPr="005B091C">
        <w:rPr>
          <w:szCs w:val="24"/>
          <w:lang w:val="pt-BR"/>
        </w:rPr>
        <w:t xml:space="preserve"> insustentável), 10 (situação intermediária em termos de desenvolvimento sustentável) e 20 (situação promotora do desenvolvimento sustentável, à luz da Agenda 2030 da ONU (MAFORT et al., 2019).</w:t>
      </w:r>
    </w:p>
    <w:p w14:paraId="704D0EB7" w14:textId="77777777" w:rsidR="005B091C" w:rsidRDefault="005B091C" w:rsidP="00ED190A">
      <w:pPr>
        <w:spacing w:after="120"/>
        <w:ind w:firstLine="284"/>
        <w:rPr>
          <w:szCs w:val="24"/>
          <w:lang w:val="pt-BR"/>
        </w:rPr>
      </w:pPr>
      <w:r w:rsidRPr="005B091C">
        <w:rPr>
          <w:szCs w:val="24"/>
          <w:lang w:val="pt-BR"/>
        </w:rPr>
        <w:t>Além dos quatro subcomponentes principais, cada uma das sete dimensões da sustentabilidade que compõem o sistema de indicadores contempla ainda três testes de aderência aos interesses comuns, nos quais a pontuação 20 é obtida quando há aderência aos três testes, pontuação 10 para aderência a dois testes e pontuação 0 nos outros casos. Na figura 3, pode-se observar uma representação simplificada e funcional da metodologia descrita (MACHADO et al., 2019).</w:t>
      </w:r>
    </w:p>
    <w:p w14:paraId="42BCC96D" w14:textId="77777777" w:rsidR="005E7553" w:rsidRDefault="005E7553" w:rsidP="00ED190A">
      <w:pPr>
        <w:spacing w:after="120"/>
        <w:ind w:firstLine="284"/>
        <w:rPr>
          <w:szCs w:val="24"/>
          <w:lang w:val="pt-BR"/>
        </w:rPr>
      </w:pPr>
    </w:p>
    <w:p w14:paraId="015C1AEA" w14:textId="3D3B7BD8" w:rsidR="005E7553" w:rsidRDefault="005E7553" w:rsidP="005E7553">
      <w:pPr>
        <w:spacing w:after="120"/>
        <w:ind w:firstLine="284"/>
        <w:jc w:val="center"/>
        <w:rPr>
          <w:szCs w:val="24"/>
          <w:lang w:val="pt-BR"/>
        </w:rPr>
      </w:pPr>
      <w:r>
        <w:rPr>
          <w:noProof/>
          <w:lang w:val="pt-BR"/>
        </w:rPr>
        <w:lastRenderedPageBreak/>
        <w:drawing>
          <wp:inline distT="0" distB="0" distL="0" distR="0" wp14:anchorId="0A27F84F" wp14:editId="3A6DA134">
            <wp:extent cx="3724275" cy="3152775"/>
            <wp:effectExtent l="0" t="0" r="9525" b="9525"/>
            <wp:docPr id="17" name="image4.jpg" descr="C:\Users\NAYARA\AppData\Local\Temp\lu15483b79v.tmp\lu15483b7ay_tmp_3d993edf81de9f2b.jpg"/>
            <wp:cNvGraphicFramePr/>
            <a:graphic xmlns:a="http://schemas.openxmlformats.org/drawingml/2006/main">
              <a:graphicData uri="http://schemas.openxmlformats.org/drawingml/2006/picture">
                <pic:pic xmlns:pic="http://schemas.openxmlformats.org/drawingml/2006/picture">
                  <pic:nvPicPr>
                    <pic:cNvPr id="0" name="image4.jpg" descr="C:\Users\NAYARA\AppData\Local\Temp\lu15483b79v.tmp\lu15483b7ay_tmp_3d993edf81de9f2b.jpg"/>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3724275" cy="3152775"/>
                    </a:xfrm>
                    <a:prstGeom prst="rect">
                      <a:avLst/>
                    </a:prstGeom>
                    <a:ln/>
                  </pic:spPr>
                </pic:pic>
              </a:graphicData>
            </a:graphic>
          </wp:inline>
        </w:drawing>
      </w:r>
    </w:p>
    <w:p w14:paraId="2E0AE0B7" w14:textId="10A736B4" w:rsidR="005E7553" w:rsidRPr="005E7553" w:rsidRDefault="005E7553" w:rsidP="005E7553">
      <w:pPr>
        <w:jc w:val="center"/>
        <w:rPr>
          <w:b/>
          <w:sz w:val="20"/>
          <w:lang w:val="pt-BR"/>
        </w:rPr>
      </w:pPr>
      <w:r w:rsidRPr="005E7553">
        <w:rPr>
          <w:b/>
          <w:sz w:val="20"/>
          <w:lang w:val="pt-BR"/>
        </w:rPr>
        <w:t xml:space="preserve">Figura 3 - Esquema metodológico da avaliação de </w:t>
      </w:r>
      <w:proofErr w:type="spellStart"/>
      <w:r w:rsidRPr="005E7553">
        <w:rPr>
          <w:b/>
          <w:sz w:val="20"/>
          <w:lang w:val="pt-BR"/>
        </w:rPr>
        <w:t>prosperabilidade</w:t>
      </w:r>
      <w:proofErr w:type="spellEnd"/>
      <w:r w:rsidRPr="005E7553">
        <w:rPr>
          <w:b/>
          <w:sz w:val="20"/>
          <w:lang w:val="pt-BR"/>
        </w:rPr>
        <w:t>. Fonte: MACHADO et al. (2019).</w:t>
      </w:r>
    </w:p>
    <w:p w14:paraId="679892AD" w14:textId="13117113" w:rsidR="005B091C" w:rsidRPr="005B091C" w:rsidRDefault="005B091C" w:rsidP="005E7553">
      <w:pPr>
        <w:spacing w:after="120"/>
        <w:ind w:firstLine="284"/>
        <w:rPr>
          <w:szCs w:val="24"/>
          <w:lang w:val="pt-BR"/>
        </w:rPr>
      </w:pPr>
      <w:r w:rsidRPr="005B091C">
        <w:rPr>
          <w:szCs w:val="24"/>
          <w:lang w:val="pt-BR"/>
        </w:rPr>
        <w:t xml:space="preserve">A metodologia descrita emprega subcomponentes, pontuados via dados secundários e validados por meio de pesquisa de percepção ambiental com informantes-chave. </w:t>
      </w:r>
      <w:r w:rsidR="00B54DE0">
        <w:rPr>
          <w:szCs w:val="24"/>
          <w:lang w:val="pt-BR"/>
        </w:rPr>
        <w:t>O detalhamento dos critérios empregados para a atribuição dos pontos de cada subcomp</w:t>
      </w:r>
      <w:r w:rsidR="00F00979">
        <w:rPr>
          <w:szCs w:val="24"/>
          <w:lang w:val="pt-BR"/>
        </w:rPr>
        <w:t>o</w:t>
      </w:r>
      <w:r w:rsidR="00B54DE0">
        <w:rPr>
          <w:szCs w:val="24"/>
          <w:lang w:val="pt-BR"/>
        </w:rPr>
        <w:t>nente é descrito por Soares (202</w:t>
      </w:r>
      <w:r w:rsidR="004F3A74">
        <w:rPr>
          <w:szCs w:val="24"/>
          <w:lang w:val="pt-BR"/>
        </w:rPr>
        <w:t>1</w:t>
      </w:r>
      <w:r w:rsidR="00B54DE0">
        <w:rPr>
          <w:szCs w:val="24"/>
          <w:lang w:val="pt-BR"/>
        </w:rPr>
        <w:t xml:space="preserve">). </w:t>
      </w:r>
      <w:r w:rsidRPr="005B091C">
        <w:rPr>
          <w:szCs w:val="24"/>
          <w:lang w:val="pt-BR"/>
        </w:rPr>
        <w:t>Os dados secundários empregados na pontuação da avaliação foram obtidos por meio de pesquisa a documentos oficiais</w:t>
      </w:r>
      <w:r w:rsidR="00AC5824">
        <w:rPr>
          <w:szCs w:val="24"/>
          <w:lang w:val="pt-BR"/>
        </w:rPr>
        <w:t>,</w:t>
      </w:r>
      <w:r w:rsidRPr="005B091C">
        <w:rPr>
          <w:szCs w:val="24"/>
          <w:lang w:val="pt-BR"/>
        </w:rPr>
        <w:t xml:space="preserve"> tais como o Plano Estadual de Recursos Hídricos do Estado do Rio de Janeiro, o Plano da Bacia Hidrográfica do Rio Paraíba do Sul, Relatórios e Boletins do Instituto estadual do Ambiente (INEA-RJ), Revisão 03 do Produto Final 02 – Diagnóstico e Prognóstico da Região Hidrográfica do Baixo Paraíba do Sul e Itabapoana, legislação ambiental de nível Federal e Estadual, pesquisa bibliográfica em trabalhos acadêmicos, entre outros (relatórios e notícias em: websites oficiais, órgãos ambientais, agências reguladoras e de recursos hídricos, empresas e organizações não governamentais).</w:t>
      </w:r>
    </w:p>
    <w:p w14:paraId="633FE969" w14:textId="062A8764" w:rsidR="005B091C" w:rsidRPr="005B091C" w:rsidRDefault="005B091C" w:rsidP="00ED190A">
      <w:pPr>
        <w:spacing w:after="120"/>
        <w:ind w:firstLine="284"/>
        <w:rPr>
          <w:szCs w:val="24"/>
          <w:lang w:val="pt-BR"/>
        </w:rPr>
      </w:pPr>
      <w:r w:rsidRPr="005B091C">
        <w:rPr>
          <w:szCs w:val="24"/>
          <w:lang w:val="pt-BR"/>
        </w:rPr>
        <w:t>Os dados primários que validam a pontuação dos subcomponentes basearam-se em aplicação de questionário semiestruturado respondido por 22 informantes-chave, pertencentes a diversas organizações envolvidas na governança colaborativa ambiental da região, e com atuação o</w:t>
      </w:r>
      <w:r>
        <w:rPr>
          <w:szCs w:val="24"/>
          <w:lang w:val="pt-BR"/>
        </w:rPr>
        <w:t xml:space="preserve">u representação no CBH BPSI. </w:t>
      </w:r>
      <w:r w:rsidRPr="005B091C">
        <w:rPr>
          <w:szCs w:val="24"/>
          <w:lang w:val="pt-BR"/>
        </w:rPr>
        <w:t>O questionário foi composto por três seções. A primeira seção contemplou sete perguntas de informações gerais, tais como: idade, escolaridade, envolvimento organizacional, entre outros. A segunda seção foi composta por oito perguntas sobre a RH IX do ERJ e a terceira seção foi composta por cinco perguntas sobre o processo de tomada de decisão sobre a gestão dos recursos ambientais na RH IX. As repostas ao questionário (c</w:t>
      </w:r>
      <w:r>
        <w:rPr>
          <w:szCs w:val="24"/>
          <w:lang w:val="pt-BR"/>
        </w:rPr>
        <w:t>oletadas em 2019) serviram para</w:t>
      </w:r>
      <w:r w:rsidRPr="005B091C">
        <w:rPr>
          <w:szCs w:val="24"/>
          <w:lang w:val="pt-BR"/>
        </w:rPr>
        <w:t xml:space="preserve"> validar a pontuação obtida por meio da pesquisa documental e bibliográfica realizada, e a pontuação final foi apresentada e validada pela Plenária do CBH-BPSI em 2022.</w:t>
      </w:r>
    </w:p>
    <w:p w14:paraId="5B984F0A" w14:textId="093A7128" w:rsidR="00CA47C5" w:rsidRPr="005B091C" w:rsidRDefault="005B091C" w:rsidP="005E7553">
      <w:pPr>
        <w:spacing w:after="120"/>
        <w:ind w:firstLine="284"/>
        <w:rPr>
          <w:szCs w:val="24"/>
          <w:lang w:val="pt-BR"/>
        </w:rPr>
      </w:pPr>
      <w:r w:rsidRPr="005B091C">
        <w:rPr>
          <w:szCs w:val="24"/>
          <w:lang w:val="pt-BR"/>
        </w:rPr>
        <w:t xml:space="preserve">A pontuação final de cada princípio componente da avaliação de </w:t>
      </w:r>
      <w:proofErr w:type="spellStart"/>
      <w:r w:rsidRPr="005B091C">
        <w:rPr>
          <w:szCs w:val="24"/>
          <w:lang w:val="pt-BR"/>
        </w:rPr>
        <w:t>prosperabilidade</w:t>
      </w:r>
      <w:proofErr w:type="spellEnd"/>
      <w:r w:rsidRPr="005B091C">
        <w:rPr>
          <w:szCs w:val="24"/>
          <w:lang w:val="pt-BR"/>
        </w:rPr>
        <w:t xml:space="preserve"> foi interpretada com o auxílio de uma escala do tipo </w:t>
      </w:r>
      <w:proofErr w:type="spellStart"/>
      <w:r w:rsidRPr="005B091C">
        <w:rPr>
          <w:szCs w:val="24"/>
          <w:lang w:val="pt-BR"/>
        </w:rPr>
        <w:t>Likert</w:t>
      </w:r>
      <w:proofErr w:type="spellEnd"/>
      <w:r w:rsidRPr="005B091C">
        <w:rPr>
          <w:szCs w:val="24"/>
          <w:lang w:val="pt-BR"/>
        </w:rPr>
        <w:t>, em cinco níveis, usualmente empregada em trabalhos do campo de gestão integrada de recur</w:t>
      </w:r>
      <w:r w:rsidR="009807F2">
        <w:rPr>
          <w:szCs w:val="24"/>
          <w:lang w:val="pt-BR"/>
        </w:rPr>
        <w:t>s</w:t>
      </w:r>
      <w:r w:rsidRPr="005B091C">
        <w:rPr>
          <w:szCs w:val="24"/>
          <w:lang w:val="pt-BR"/>
        </w:rPr>
        <w:t>os hídricos (MUNKHSULD et al., 2020)</w:t>
      </w:r>
      <w:r w:rsidR="009807F2">
        <w:rPr>
          <w:szCs w:val="24"/>
          <w:lang w:val="pt-BR"/>
        </w:rPr>
        <w:t xml:space="preserve"> </w:t>
      </w:r>
      <w:r w:rsidRPr="005B091C">
        <w:rPr>
          <w:szCs w:val="24"/>
          <w:lang w:val="pt-BR"/>
        </w:rPr>
        <w:lastRenderedPageBreak/>
        <w:t xml:space="preserve">conforme apresentado na tabela 2: os princípios que tiveram como soma uma nota de 0 a 20 são considerados muito ruins, 30 ou 40 ruins, 50 ou 60 regular, 70 ou 80 bom e 90 ou 100 excelente no que diz respeito a sustentabilidade. </w:t>
      </w:r>
    </w:p>
    <w:p w14:paraId="2A15D6FB" w14:textId="63412A2D" w:rsidR="005B091C" w:rsidRPr="00B438F0" w:rsidRDefault="00D964AF" w:rsidP="00D964AF">
      <w:pPr>
        <w:spacing w:before="280" w:after="280"/>
        <w:jc w:val="center"/>
        <w:rPr>
          <w:szCs w:val="24"/>
          <w:lang w:val="pt-BR"/>
        </w:rPr>
      </w:pPr>
      <w:r w:rsidRPr="00B438F0">
        <w:rPr>
          <w:sz w:val="20"/>
          <w:lang w:val="pt-BR"/>
        </w:rPr>
        <w:t xml:space="preserve">Tabela 1: Pontuação Final e Resultado da Análise com base na Avaliação da </w:t>
      </w:r>
      <w:proofErr w:type="spellStart"/>
      <w:r w:rsidRPr="00B438F0">
        <w:rPr>
          <w:sz w:val="20"/>
          <w:lang w:val="pt-BR"/>
        </w:rPr>
        <w:t>Prosperabilidade</w:t>
      </w:r>
      <w:proofErr w:type="spellEnd"/>
      <w:r w:rsidRPr="00B438F0">
        <w:rPr>
          <w:sz w:val="20"/>
          <w:lang w:val="pt-BR"/>
        </w:rPr>
        <w:t xml:space="preserve">. </w:t>
      </w:r>
    </w:p>
    <w:tbl>
      <w:tblPr>
        <w:tblStyle w:val="TabelaSimples2"/>
        <w:tblW w:w="0" w:type="auto"/>
        <w:jc w:val="center"/>
        <w:tblLook w:val="04A0" w:firstRow="1" w:lastRow="0" w:firstColumn="1" w:lastColumn="0" w:noHBand="0" w:noVBand="1"/>
      </w:tblPr>
      <w:tblGrid>
        <w:gridCol w:w="2802"/>
        <w:gridCol w:w="3118"/>
      </w:tblGrid>
      <w:tr w:rsidR="005B091C" w:rsidRPr="00D964AF" w14:paraId="7823A711" w14:textId="77777777" w:rsidTr="00D964A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2" w:type="dxa"/>
            <w:tcBorders>
              <w:top w:val="single" w:sz="12" w:space="0" w:color="auto"/>
              <w:bottom w:val="single" w:sz="12" w:space="0" w:color="auto"/>
            </w:tcBorders>
          </w:tcPr>
          <w:p w14:paraId="22E531F4" w14:textId="619ECEF7" w:rsidR="005B091C" w:rsidRPr="00D964AF" w:rsidRDefault="005B091C" w:rsidP="00D964AF">
            <w:pPr>
              <w:jc w:val="center"/>
              <w:rPr>
                <w:rFonts w:ascii="Arial" w:hAnsi="Arial" w:cs="Arial"/>
                <w:b w:val="0"/>
                <w:sz w:val="20"/>
                <w:lang w:val="pt-BR"/>
              </w:rPr>
            </w:pPr>
            <w:r w:rsidRPr="00D964AF">
              <w:rPr>
                <w:rFonts w:ascii="Arial" w:hAnsi="Arial" w:cs="Arial"/>
                <w:b w:val="0"/>
                <w:sz w:val="20"/>
                <w:lang w:val="pt-BR"/>
              </w:rPr>
              <w:t>Pontuação Final de Cada Princípio</w:t>
            </w:r>
          </w:p>
        </w:tc>
        <w:tc>
          <w:tcPr>
            <w:tcW w:w="3118" w:type="dxa"/>
            <w:tcBorders>
              <w:top w:val="single" w:sz="12" w:space="0" w:color="auto"/>
              <w:bottom w:val="single" w:sz="12" w:space="0" w:color="auto"/>
            </w:tcBorders>
          </w:tcPr>
          <w:p w14:paraId="4DBA1E27" w14:textId="77777777" w:rsidR="005B091C" w:rsidRPr="00D964AF" w:rsidRDefault="005B091C" w:rsidP="00D964A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rPr>
            </w:pPr>
            <w:proofErr w:type="spellStart"/>
            <w:r w:rsidRPr="00D964AF">
              <w:rPr>
                <w:rFonts w:ascii="Arial" w:hAnsi="Arial" w:cs="Arial"/>
                <w:b w:val="0"/>
                <w:sz w:val="20"/>
              </w:rPr>
              <w:t>Resultado</w:t>
            </w:r>
            <w:proofErr w:type="spellEnd"/>
            <w:r w:rsidRPr="00D964AF">
              <w:rPr>
                <w:rFonts w:ascii="Arial" w:hAnsi="Arial" w:cs="Arial"/>
                <w:b w:val="0"/>
                <w:sz w:val="20"/>
              </w:rPr>
              <w:t xml:space="preserve"> da </w:t>
            </w:r>
            <w:proofErr w:type="spellStart"/>
            <w:r w:rsidRPr="00D964AF">
              <w:rPr>
                <w:rFonts w:ascii="Arial" w:hAnsi="Arial" w:cs="Arial"/>
                <w:b w:val="0"/>
                <w:sz w:val="20"/>
              </w:rPr>
              <w:t>Análise</w:t>
            </w:r>
            <w:proofErr w:type="spellEnd"/>
          </w:p>
        </w:tc>
      </w:tr>
      <w:tr w:rsidR="005B091C" w:rsidRPr="00D964AF" w14:paraId="76349C43" w14:textId="77777777" w:rsidTr="00D964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2" w:type="dxa"/>
            <w:tcBorders>
              <w:top w:val="single" w:sz="12" w:space="0" w:color="auto"/>
            </w:tcBorders>
          </w:tcPr>
          <w:p w14:paraId="0ACD1C68" w14:textId="77777777" w:rsidR="005B091C" w:rsidRPr="00EE7CF7" w:rsidRDefault="005B091C" w:rsidP="00D964AF">
            <w:pPr>
              <w:jc w:val="center"/>
              <w:rPr>
                <w:rFonts w:ascii="Arial" w:hAnsi="Arial" w:cs="Arial"/>
                <w:b w:val="0"/>
                <w:bCs w:val="0"/>
                <w:sz w:val="20"/>
              </w:rPr>
            </w:pPr>
            <w:r w:rsidRPr="00EE7CF7">
              <w:rPr>
                <w:rFonts w:ascii="Arial" w:hAnsi="Arial" w:cs="Arial"/>
                <w:b w:val="0"/>
                <w:bCs w:val="0"/>
                <w:sz w:val="20"/>
              </w:rPr>
              <w:t>De 0 a 20</w:t>
            </w:r>
          </w:p>
        </w:tc>
        <w:tc>
          <w:tcPr>
            <w:tcW w:w="3118" w:type="dxa"/>
            <w:tcBorders>
              <w:top w:val="single" w:sz="12" w:space="0" w:color="auto"/>
            </w:tcBorders>
          </w:tcPr>
          <w:p w14:paraId="79C7848A" w14:textId="77777777" w:rsidR="005B091C" w:rsidRPr="00EE7CF7" w:rsidRDefault="005B091C" w:rsidP="00D964A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roofErr w:type="spellStart"/>
            <w:r w:rsidRPr="00EE7CF7">
              <w:rPr>
                <w:rFonts w:ascii="Arial" w:hAnsi="Arial" w:cs="Arial"/>
                <w:sz w:val="20"/>
              </w:rPr>
              <w:t>Muito</w:t>
            </w:r>
            <w:proofErr w:type="spellEnd"/>
            <w:r w:rsidRPr="00EE7CF7">
              <w:rPr>
                <w:rFonts w:ascii="Arial" w:hAnsi="Arial" w:cs="Arial"/>
                <w:sz w:val="20"/>
              </w:rPr>
              <w:t xml:space="preserve"> </w:t>
            </w:r>
            <w:proofErr w:type="spellStart"/>
            <w:r w:rsidRPr="00EE7CF7">
              <w:rPr>
                <w:rFonts w:ascii="Arial" w:hAnsi="Arial" w:cs="Arial"/>
                <w:sz w:val="20"/>
              </w:rPr>
              <w:t>Ruim</w:t>
            </w:r>
            <w:proofErr w:type="spellEnd"/>
          </w:p>
        </w:tc>
      </w:tr>
      <w:tr w:rsidR="005B091C" w:rsidRPr="00D964AF" w14:paraId="6A53EA81" w14:textId="77777777" w:rsidTr="00D964AF">
        <w:trPr>
          <w:jc w:val="center"/>
        </w:trPr>
        <w:tc>
          <w:tcPr>
            <w:cnfStyle w:val="001000000000" w:firstRow="0" w:lastRow="0" w:firstColumn="1" w:lastColumn="0" w:oddVBand="0" w:evenVBand="0" w:oddHBand="0" w:evenHBand="0" w:firstRowFirstColumn="0" w:firstRowLastColumn="0" w:lastRowFirstColumn="0" w:lastRowLastColumn="0"/>
            <w:tcW w:w="2802" w:type="dxa"/>
          </w:tcPr>
          <w:p w14:paraId="5B5BB98A" w14:textId="77777777" w:rsidR="005B091C" w:rsidRPr="00EE7CF7" w:rsidRDefault="005B091C" w:rsidP="00D964AF">
            <w:pPr>
              <w:jc w:val="center"/>
              <w:rPr>
                <w:rFonts w:ascii="Arial" w:hAnsi="Arial" w:cs="Arial"/>
                <w:b w:val="0"/>
                <w:bCs w:val="0"/>
                <w:sz w:val="20"/>
              </w:rPr>
            </w:pPr>
            <w:r w:rsidRPr="00EE7CF7">
              <w:rPr>
                <w:rFonts w:ascii="Arial" w:hAnsi="Arial" w:cs="Arial"/>
                <w:b w:val="0"/>
                <w:bCs w:val="0"/>
                <w:sz w:val="20"/>
              </w:rPr>
              <w:t xml:space="preserve">30 </w:t>
            </w:r>
            <w:proofErr w:type="spellStart"/>
            <w:r w:rsidRPr="00EE7CF7">
              <w:rPr>
                <w:rFonts w:ascii="Arial" w:hAnsi="Arial" w:cs="Arial"/>
                <w:b w:val="0"/>
                <w:bCs w:val="0"/>
                <w:sz w:val="20"/>
              </w:rPr>
              <w:t>ou</w:t>
            </w:r>
            <w:proofErr w:type="spellEnd"/>
            <w:r w:rsidRPr="00EE7CF7">
              <w:rPr>
                <w:rFonts w:ascii="Arial" w:hAnsi="Arial" w:cs="Arial"/>
                <w:b w:val="0"/>
                <w:bCs w:val="0"/>
                <w:sz w:val="20"/>
              </w:rPr>
              <w:t xml:space="preserve"> 40</w:t>
            </w:r>
          </w:p>
        </w:tc>
        <w:tc>
          <w:tcPr>
            <w:tcW w:w="3118" w:type="dxa"/>
          </w:tcPr>
          <w:p w14:paraId="68E9BF11" w14:textId="77777777" w:rsidR="005B091C" w:rsidRPr="00EE7CF7" w:rsidRDefault="005B091C" w:rsidP="00D964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roofErr w:type="spellStart"/>
            <w:r w:rsidRPr="00EE7CF7">
              <w:rPr>
                <w:rFonts w:ascii="Arial" w:hAnsi="Arial" w:cs="Arial"/>
                <w:sz w:val="20"/>
              </w:rPr>
              <w:t>Ruim</w:t>
            </w:r>
            <w:proofErr w:type="spellEnd"/>
          </w:p>
        </w:tc>
      </w:tr>
      <w:tr w:rsidR="005B091C" w:rsidRPr="00D964AF" w14:paraId="7F675350" w14:textId="77777777" w:rsidTr="00D964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2" w:type="dxa"/>
          </w:tcPr>
          <w:p w14:paraId="30585651" w14:textId="77777777" w:rsidR="005B091C" w:rsidRPr="00EE7CF7" w:rsidRDefault="005B091C" w:rsidP="00D964AF">
            <w:pPr>
              <w:jc w:val="center"/>
              <w:rPr>
                <w:rFonts w:ascii="Arial" w:hAnsi="Arial" w:cs="Arial"/>
                <w:b w:val="0"/>
                <w:bCs w:val="0"/>
                <w:sz w:val="20"/>
              </w:rPr>
            </w:pPr>
            <w:r w:rsidRPr="00EE7CF7">
              <w:rPr>
                <w:rFonts w:ascii="Arial" w:hAnsi="Arial" w:cs="Arial"/>
                <w:b w:val="0"/>
                <w:bCs w:val="0"/>
                <w:sz w:val="20"/>
              </w:rPr>
              <w:t xml:space="preserve">50 </w:t>
            </w:r>
            <w:proofErr w:type="spellStart"/>
            <w:r w:rsidRPr="00EE7CF7">
              <w:rPr>
                <w:rFonts w:ascii="Arial" w:hAnsi="Arial" w:cs="Arial"/>
                <w:b w:val="0"/>
                <w:bCs w:val="0"/>
                <w:sz w:val="20"/>
              </w:rPr>
              <w:t>ou</w:t>
            </w:r>
            <w:proofErr w:type="spellEnd"/>
            <w:r w:rsidRPr="00EE7CF7">
              <w:rPr>
                <w:rFonts w:ascii="Arial" w:hAnsi="Arial" w:cs="Arial"/>
                <w:b w:val="0"/>
                <w:bCs w:val="0"/>
                <w:sz w:val="20"/>
              </w:rPr>
              <w:t xml:space="preserve"> 60</w:t>
            </w:r>
          </w:p>
        </w:tc>
        <w:tc>
          <w:tcPr>
            <w:tcW w:w="3118" w:type="dxa"/>
          </w:tcPr>
          <w:p w14:paraId="47F43A24" w14:textId="77777777" w:rsidR="005B091C" w:rsidRPr="00EE7CF7" w:rsidRDefault="005B091C" w:rsidP="00D964A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EE7CF7">
              <w:rPr>
                <w:rFonts w:ascii="Arial" w:hAnsi="Arial" w:cs="Arial"/>
                <w:sz w:val="20"/>
              </w:rPr>
              <w:t>Regular</w:t>
            </w:r>
          </w:p>
        </w:tc>
      </w:tr>
      <w:tr w:rsidR="005B091C" w:rsidRPr="00D964AF" w14:paraId="29AA2E6C" w14:textId="77777777" w:rsidTr="00D964AF">
        <w:trPr>
          <w:jc w:val="center"/>
        </w:trPr>
        <w:tc>
          <w:tcPr>
            <w:cnfStyle w:val="001000000000" w:firstRow="0" w:lastRow="0" w:firstColumn="1" w:lastColumn="0" w:oddVBand="0" w:evenVBand="0" w:oddHBand="0" w:evenHBand="0" w:firstRowFirstColumn="0" w:firstRowLastColumn="0" w:lastRowFirstColumn="0" w:lastRowLastColumn="0"/>
            <w:tcW w:w="2802" w:type="dxa"/>
          </w:tcPr>
          <w:p w14:paraId="39F414E8" w14:textId="77777777" w:rsidR="005B091C" w:rsidRPr="00EE7CF7" w:rsidRDefault="005B091C" w:rsidP="00D964AF">
            <w:pPr>
              <w:jc w:val="center"/>
              <w:rPr>
                <w:rFonts w:ascii="Arial" w:hAnsi="Arial" w:cs="Arial"/>
                <w:b w:val="0"/>
                <w:bCs w:val="0"/>
                <w:sz w:val="20"/>
              </w:rPr>
            </w:pPr>
            <w:r w:rsidRPr="00EE7CF7">
              <w:rPr>
                <w:rFonts w:ascii="Arial" w:hAnsi="Arial" w:cs="Arial"/>
                <w:b w:val="0"/>
                <w:bCs w:val="0"/>
                <w:sz w:val="20"/>
              </w:rPr>
              <w:t xml:space="preserve">70 </w:t>
            </w:r>
            <w:proofErr w:type="spellStart"/>
            <w:r w:rsidRPr="00EE7CF7">
              <w:rPr>
                <w:rFonts w:ascii="Arial" w:hAnsi="Arial" w:cs="Arial"/>
                <w:b w:val="0"/>
                <w:bCs w:val="0"/>
                <w:sz w:val="20"/>
              </w:rPr>
              <w:t>ou</w:t>
            </w:r>
            <w:proofErr w:type="spellEnd"/>
            <w:r w:rsidRPr="00EE7CF7">
              <w:rPr>
                <w:rFonts w:ascii="Arial" w:hAnsi="Arial" w:cs="Arial"/>
                <w:b w:val="0"/>
                <w:bCs w:val="0"/>
                <w:sz w:val="20"/>
              </w:rPr>
              <w:t xml:space="preserve"> 80</w:t>
            </w:r>
          </w:p>
        </w:tc>
        <w:tc>
          <w:tcPr>
            <w:tcW w:w="3118" w:type="dxa"/>
          </w:tcPr>
          <w:p w14:paraId="63D2D109" w14:textId="77777777" w:rsidR="005B091C" w:rsidRPr="00EE7CF7" w:rsidRDefault="005B091C" w:rsidP="00D964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EE7CF7">
              <w:rPr>
                <w:rFonts w:ascii="Arial" w:hAnsi="Arial" w:cs="Arial"/>
                <w:sz w:val="20"/>
              </w:rPr>
              <w:t>Bom</w:t>
            </w:r>
          </w:p>
        </w:tc>
      </w:tr>
      <w:tr w:rsidR="005B091C" w:rsidRPr="00D964AF" w14:paraId="4C9992E0" w14:textId="77777777" w:rsidTr="00D964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2" w:type="dxa"/>
          </w:tcPr>
          <w:p w14:paraId="00C3AB26" w14:textId="77777777" w:rsidR="005B091C" w:rsidRPr="00EE7CF7" w:rsidRDefault="005B091C" w:rsidP="00D964AF">
            <w:pPr>
              <w:jc w:val="center"/>
              <w:rPr>
                <w:rFonts w:ascii="Arial" w:hAnsi="Arial" w:cs="Arial"/>
                <w:b w:val="0"/>
                <w:bCs w:val="0"/>
                <w:sz w:val="20"/>
              </w:rPr>
            </w:pPr>
            <w:r w:rsidRPr="00EE7CF7">
              <w:rPr>
                <w:rFonts w:ascii="Arial" w:hAnsi="Arial" w:cs="Arial"/>
                <w:b w:val="0"/>
                <w:bCs w:val="0"/>
                <w:sz w:val="20"/>
              </w:rPr>
              <w:t xml:space="preserve">90 </w:t>
            </w:r>
            <w:proofErr w:type="spellStart"/>
            <w:r w:rsidRPr="00EE7CF7">
              <w:rPr>
                <w:rFonts w:ascii="Arial" w:hAnsi="Arial" w:cs="Arial"/>
                <w:b w:val="0"/>
                <w:bCs w:val="0"/>
                <w:sz w:val="20"/>
              </w:rPr>
              <w:t>ou</w:t>
            </w:r>
            <w:proofErr w:type="spellEnd"/>
            <w:r w:rsidRPr="00EE7CF7">
              <w:rPr>
                <w:rFonts w:ascii="Arial" w:hAnsi="Arial" w:cs="Arial"/>
                <w:b w:val="0"/>
                <w:bCs w:val="0"/>
                <w:sz w:val="20"/>
              </w:rPr>
              <w:t xml:space="preserve"> 100</w:t>
            </w:r>
          </w:p>
        </w:tc>
        <w:tc>
          <w:tcPr>
            <w:tcW w:w="3118" w:type="dxa"/>
          </w:tcPr>
          <w:p w14:paraId="6D896FF9" w14:textId="77777777" w:rsidR="005B091C" w:rsidRPr="00EE7CF7" w:rsidRDefault="005B091C" w:rsidP="00D964A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roofErr w:type="spellStart"/>
            <w:r w:rsidRPr="00EE7CF7">
              <w:rPr>
                <w:rFonts w:ascii="Arial" w:hAnsi="Arial" w:cs="Arial"/>
                <w:sz w:val="20"/>
              </w:rPr>
              <w:t>Excelente</w:t>
            </w:r>
            <w:proofErr w:type="spellEnd"/>
          </w:p>
        </w:tc>
      </w:tr>
    </w:tbl>
    <w:p w14:paraId="0EE8E3F9" w14:textId="77777777" w:rsidR="00ED190A" w:rsidRPr="00D964AF" w:rsidRDefault="00ED190A" w:rsidP="00D964AF">
      <w:pPr>
        <w:jc w:val="center"/>
        <w:rPr>
          <w:rFonts w:ascii="Arial" w:hAnsi="Arial" w:cs="Arial"/>
          <w:b/>
          <w:sz w:val="20"/>
          <w:lang w:val="pt-BR"/>
        </w:rPr>
      </w:pPr>
    </w:p>
    <w:p w14:paraId="3AA484A6" w14:textId="21AD4993" w:rsidR="005B091C" w:rsidRPr="00D964AF" w:rsidRDefault="005B091C" w:rsidP="005B091C">
      <w:pPr>
        <w:rPr>
          <w:rFonts w:ascii="Arial" w:hAnsi="Arial" w:cs="Arial"/>
          <w:sz w:val="20"/>
          <w:lang w:val="pt-BR"/>
        </w:rPr>
      </w:pPr>
      <w:r w:rsidRPr="00D964AF">
        <w:rPr>
          <w:rFonts w:ascii="Arial" w:hAnsi="Arial" w:cs="Arial"/>
          <w:sz w:val="20"/>
          <w:lang w:val="pt-BR"/>
        </w:rPr>
        <w:t xml:space="preserve">Fonte: </w:t>
      </w:r>
      <w:r w:rsidR="00ED190A" w:rsidRPr="00D964AF">
        <w:rPr>
          <w:rFonts w:ascii="Arial" w:hAnsi="Arial" w:cs="Arial"/>
          <w:sz w:val="20"/>
          <w:lang w:val="pt-BR"/>
        </w:rPr>
        <w:t>Autores (2022) - a</w:t>
      </w:r>
      <w:r w:rsidRPr="00D964AF">
        <w:rPr>
          <w:rFonts w:ascii="Arial" w:hAnsi="Arial" w:cs="Arial"/>
          <w:sz w:val="20"/>
          <w:lang w:val="pt-BR"/>
        </w:rPr>
        <w:t xml:space="preserve">daptado de </w:t>
      </w:r>
      <w:proofErr w:type="spellStart"/>
      <w:r w:rsidRPr="00D964AF">
        <w:rPr>
          <w:rFonts w:ascii="Arial" w:hAnsi="Arial" w:cs="Arial"/>
          <w:sz w:val="20"/>
          <w:lang w:val="pt-BR"/>
        </w:rPr>
        <w:t>Mulkhsould</w:t>
      </w:r>
      <w:proofErr w:type="spellEnd"/>
      <w:r w:rsidRPr="00D964AF">
        <w:rPr>
          <w:rFonts w:ascii="Arial" w:hAnsi="Arial" w:cs="Arial"/>
          <w:sz w:val="20"/>
          <w:lang w:val="pt-BR"/>
        </w:rPr>
        <w:t xml:space="preserve"> et al., 2020</w:t>
      </w:r>
      <w:r w:rsidR="00ED190A" w:rsidRPr="00D964AF">
        <w:rPr>
          <w:rFonts w:ascii="Arial" w:hAnsi="Arial" w:cs="Arial"/>
          <w:sz w:val="20"/>
          <w:lang w:val="pt-BR"/>
        </w:rPr>
        <w:t>.</w:t>
      </w:r>
    </w:p>
    <w:p w14:paraId="5BA882FB" w14:textId="77777777" w:rsidR="005E7553" w:rsidRDefault="005E7553" w:rsidP="005E7553">
      <w:pPr>
        <w:spacing w:after="120"/>
        <w:rPr>
          <w:b/>
          <w:szCs w:val="24"/>
          <w:lang w:val="pt-BR"/>
        </w:rPr>
      </w:pPr>
      <w:bookmarkStart w:id="2" w:name="_heading=h.30j0zll" w:colFirst="0" w:colLast="0"/>
      <w:bookmarkEnd w:id="2"/>
    </w:p>
    <w:p w14:paraId="568FDC15" w14:textId="77777777" w:rsidR="00ED190A" w:rsidRPr="0049479C" w:rsidRDefault="00ED190A" w:rsidP="00ED190A">
      <w:pPr>
        <w:pStyle w:val="PargrafodaLista"/>
        <w:numPr>
          <w:ilvl w:val="0"/>
          <w:numId w:val="5"/>
        </w:numPr>
        <w:spacing w:after="120"/>
        <w:rPr>
          <w:b/>
          <w:szCs w:val="24"/>
          <w:lang w:val="pt-BR"/>
        </w:rPr>
      </w:pPr>
      <w:r w:rsidRPr="0049479C">
        <w:rPr>
          <w:b/>
          <w:szCs w:val="24"/>
          <w:lang w:val="pt-BR"/>
        </w:rPr>
        <w:t>Aplicações e/ou Resultados</w:t>
      </w:r>
    </w:p>
    <w:p w14:paraId="0392DFF8" w14:textId="7FEB3F40" w:rsidR="00ED190A" w:rsidRPr="00ED190A" w:rsidRDefault="00ED190A" w:rsidP="00ED190A">
      <w:pPr>
        <w:pStyle w:val="PargrafodaLista"/>
        <w:spacing w:after="120"/>
        <w:rPr>
          <w:b/>
          <w:szCs w:val="24"/>
          <w:lang w:val="pt-BR"/>
        </w:rPr>
      </w:pPr>
    </w:p>
    <w:p w14:paraId="0F42F92F" w14:textId="353C643E" w:rsidR="00B438F0" w:rsidRDefault="005B091C" w:rsidP="00B55675">
      <w:pPr>
        <w:spacing w:after="120"/>
        <w:ind w:firstLine="284"/>
        <w:rPr>
          <w:szCs w:val="24"/>
          <w:lang w:val="pt-BR"/>
        </w:rPr>
      </w:pPr>
      <w:r w:rsidRPr="005B091C">
        <w:rPr>
          <w:szCs w:val="24"/>
          <w:lang w:val="pt-BR"/>
        </w:rPr>
        <w:t>O Ministério do Meio Ambiente coloca a água na centralidade da Agenda</w:t>
      </w:r>
      <w:r w:rsidR="00945C71">
        <w:rPr>
          <w:szCs w:val="24"/>
          <w:lang w:val="pt-BR"/>
        </w:rPr>
        <w:t xml:space="preserve"> 2030</w:t>
      </w:r>
      <w:r w:rsidRPr="005B091C">
        <w:rPr>
          <w:szCs w:val="24"/>
          <w:lang w:val="pt-BR"/>
        </w:rPr>
        <w:t xml:space="preserve">, entendendo o ODS 6 como promotor da “prosperidade sustentável” das sociedades humanas (MMA, 2018). Nesse contexto, a metodologia de avaliação da </w:t>
      </w:r>
      <w:proofErr w:type="spellStart"/>
      <w:r w:rsidRPr="005B091C">
        <w:rPr>
          <w:szCs w:val="24"/>
          <w:lang w:val="pt-BR"/>
        </w:rPr>
        <w:t>prosperabilidade</w:t>
      </w:r>
      <w:proofErr w:type="spellEnd"/>
      <w:r w:rsidRPr="005B091C">
        <w:rPr>
          <w:szCs w:val="24"/>
          <w:lang w:val="pt-BR"/>
        </w:rPr>
        <w:t xml:space="preserve"> é uma ferramenta alternativa que auxilia a gestão dos recursos hídricos </w:t>
      </w:r>
      <w:r w:rsidR="00B438F0">
        <w:rPr>
          <w:szCs w:val="24"/>
          <w:lang w:val="pt-BR"/>
        </w:rPr>
        <w:t>à luz da Agenda 2030. O quadro 1</w:t>
      </w:r>
      <w:r w:rsidRPr="005B091C">
        <w:rPr>
          <w:szCs w:val="24"/>
          <w:lang w:val="pt-BR"/>
        </w:rPr>
        <w:t xml:space="preserve"> apresenta a atribuição de notas durante a aplicação da metodologia em questão para a RH-IX. A atribuição de notas com base nos sete princípios da sustentabilidade levou em conta a tabulação e </w:t>
      </w:r>
      <w:r w:rsidR="00945C71" w:rsidRPr="005B091C">
        <w:rPr>
          <w:szCs w:val="24"/>
          <w:lang w:val="pt-BR"/>
        </w:rPr>
        <w:t>à</w:t>
      </w:r>
      <w:r w:rsidRPr="005B091C">
        <w:rPr>
          <w:szCs w:val="24"/>
          <w:lang w:val="pt-BR"/>
        </w:rPr>
        <w:t xml:space="preserve"> análise dos dados obtidos por meio dos questionários, que validaram a pesquisa documental.</w:t>
      </w:r>
    </w:p>
    <w:p w14:paraId="2E7A9B53" w14:textId="3B8A0DC1" w:rsidR="00ED190A" w:rsidRPr="00B438F0" w:rsidRDefault="00B438F0" w:rsidP="00ED190A">
      <w:pPr>
        <w:spacing w:before="280" w:after="280"/>
        <w:jc w:val="center"/>
        <w:rPr>
          <w:sz w:val="20"/>
          <w:lang w:val="pt-BR"/>
        </w:rPr>
      </w:pPr>
      <w:r w:rsidRPr="00B438F0">
        <w:rPr>
          <w:sz w:val="20"/>
          <w:lang w:val="pt-BR"/>
        </w:rPr>
        <w:t>Quadro 1</w:t>
      </w:r>
      <w:r w:rsidR="00ED190A" w:rsidRPr="00B438F0">
        <w:rPr>
          <w:sz w:val="20"/>
          <w:lang w:val="pt-BR"/>
        </w:rPr>
        <w:t xml:space="preserve">: Resultado das atribuições de notas de acordo com a Metodologia da </w:t>
      </w:r>
      <w:proofErr w:type="spellStart"/>
      <w:r w:rsidR="00ED190A" w:rsidRPr="00B438F0">
        <w:rPr>
          <w:sz w:val="20"/>
          <w:lang w:val="pt-BR"/>
        </w:rPr>
        <w:t>Prosperabilidade</w:t>
      </w:r>
      <w:proofErr w:type="spellEnd"/>
      <w:r w:rsidR="00ED190A" w:rsidRPr="00B438F0">
        <w:rPr>
          <w:sz w:val="20"/>
          <w:lang w:val="pt-BR"/>
        </w:rPr>
        <w:t>.</w:t>
      </w:r>
    </w:p>
    <w:tbl>
      <w:tblPr>
        <w:tblW w:w="7655" w:type="dxa"/>
        <w:jc w:val="center"/>
        <w:tblLayout w:type="fixed"/>
        <w:tblLook w:val="0000" w:firstRow="0" w:lastRow="0" w:firstColumn="0" w:lastColumn="0" w:noHBand="0" w:noVBand="0"/>
      </w:tblPr>
      <w:tblGrid>
        <w:gridCol w:w="1560"/>
        <w:gridCol w:w="1615"/>
        <w:gridCol w:w="1294"/>
        <w:gridCol w:w="3186"/>
      </w:tblGrid>
      <w:tr w:rsidR="005B091C" w:rsidRPr="00F00979" w14:paraId="7A5432A8" w14:textId="77777777" w:rsidTr="00B438F0">
        <w:trPr>
          <w:jc w:val="center"/>
        </w:trPr>
        <w:tc>
          <w:tcPr>
            <w:tcW w:w="1560" w:type="dxa"/>
            <w:tcBorders>
              <w:top w:val="single" w:sz="12" w:space="0" w:color="auto"/>
              <w:left w:val="single" w:sz="12" w:space="0" w:color="auto"/>
              <w:bottom w:val="single" w:sz="12" w:space="0" w:color="auto"/>
              <w:right w:val="single" w:sz="4" w:space="0" w:color="000000"/>
            </w:tcBorders>
            <w:tcMar>
              <w:top w:w="0" w:type="dxa"/>
              <w:left w:w="0" w:type="dxa"/>
              <w:bottom w:w="0" w:type="dxa"/>
              <w:right w:w="0" w:type="dxa"/>
            </w:tcMar>
            <w:vAlign w:val="center"/>
          </w:tcPr>
          <w:p w14:paraId="4964CA6F" w14:textId="7CA96022" w:rsidR="005B091C" w:rsidRPr="00ED190A" w:rsidRDefault="00ED190A" w:rsidP="00ED190A">
            <w:pPr>
              <w:jc w:val="center"/>
              <w:rPr>
                <w:rFonts w:ascii="Arial" w:hAnsi="Arial" w:cs="Arial"/>
                <w:sz w:val="20"/>
              </w:rPr>
            </w:pPr>
            <w:r>
              <w:rPr>
                <w:rFonts w:ascii="Arial" w:hAnsi="Arial" w:cs="Arial"/>
                <w:b/>
                <w:sz w:val="20"/>
              </w:rPr>
              <w:t>P</w:t>
            </w:r>
            <w:r w:rsidRPr="00ED190A">
              <w:rPr>
                <w:rFonts w:ascii="Arial" w:hAnsi="Arial" w:cs="Arial"/>
                <w:b/>
                <w:sz w:val="20"/>
              </w:rPr>
              <w:t>RINCÍ</w:t>
            </w:r>
            <w:r w:rsidR="005B091C" w:rsidRPr="00ED190A">
              <w:rPr>
                <w:rFonts w:ascii="Arial" w:hAnsi="Arial" w:cs="Arial"/>
                <w:b/>
                <w:sz w:val="20"/>
              </w:rPr>
              <w:t>PIOS</w:t>
            </w:r>
          </w:p>
        </w:tc>
        <w:tc>
          <w:tcPr>
            <w:tcW w:w="1615" w:type="dxa"/>
            <w:tcBorders>
              <w:top w:val="single" w:sz="12" w:space="0" w:color="auto"/>
              <w:left w:val="single" w:sz="4" w:space="0" w:color="000000"/>
              <w:bottom w:val="single" w:sz="12" w:space="0" w:color="auto"/>
              <w:right w:val="single" w:sz="4" w:space="0" w:color="000000"/>
            </w:tcBorders>
            <w:tcMar>
              <w:top w:w="0" w:type="dxa"/>
              <w:left w:w="0" w:type="dxa"/>
              <w:bottom w:w="0" w:type="dxa"/>
              <w:right w:w="0" w:type="dxa"/>
            </w:tcMar>
            <w:vAlign w:val="center"/>
          </w:tcPr>
          <w:p w14:paraId="3AB6EA14" w14:textId="77777777" w:rsidR="005B091C" w:rsidRPr="00ED190A" w:rsidRDefault="005B091C" w:rsidP="00ED190A">
            <w:pPr>
              <w:jc w:val="center"/>
              <w:rPr>
                <w:rFonts w:ascii="Arial" w:hAnsi="Arial" w:cs="Arial"/>
                <w:sz w:val="20"/>
              </w:rPr>
            </w:pPr>
            <w:r w:rsidRPr="00ED190A">
              <w:rPr>
                <w:rFonts w:ascii="Arial" w:hAnsi="Arial" w:cs="Arial"/>
                <w:b/>
                <w:sz w:val="20"/>
              </w:rPr>
              <w:t>SUBCOMPONENTES E TESTES</w:t>
            </w:r>
          </w:p>
        </w:tc>
        <w:tc>
          <w:tcPr>
            <w:tcW w:w="1294" w:type="dxa"/>
            <w:tcBorders>
              <w:top w:val="single" w:sz="12" w:space="0" w:color="auto"/>
              <w:left w:val="single" w:sz="4" w:space="0" w:color="000000"/>
              <w:bottom w:val="single" w:sz="12" w:space="0" w:color="auto"/>
              <w:right w:val="single" w:sz="4" w:space="0" w:color="000000"/>
            </w:tcBorders>
            <w:tcMar>
              <w:top w:w="0" w:type="dxa"/>
              <w:left w:w="0" w:type="dxa"/>
              <w:bottom w:w="0" w:type="dxa"/>
              <w:right w:w="0" w:type="dxa"/>
            </w:tcMar>
            <w:vAlign w:val="center"/>
          </w:tcPr>
          <w:p w14:paraId="163ECE5F" w14:textId="77777777" w:rsidR="005B091C" w:rsidRPr="00ED190A" w:rsidRDefault="005B091C" w:rsidP="00ED190A">
            <w:pPr>
              <w:jc w:val="center"/>
              <w:rPr>
                <w:rFonts w:ascii="Arial" w:hAnsi="Arial" w:cs="Arial"/>
                <w:sz w:val="20"/>
              </w:rPr>
            </w:pPr>
            <w:r w:rsidRPr="00ED190A">
              <w:rPr>
                <w:rFonts w:ascii="Arial" w:hAnsi="Arial" w:cs="Arial"/>
                <w:b/>
                <w:sz w:val="20"/>
              </w:rPr>
              <w:t>NOTAS E ANÁLISES</w:t>
            </w:r>
          </w:p>
        </w:tc>
        <w:tc>
          <w:tcPr>
            <w:tcW w:w="3186" w:type="dxa"/>
            <w:tcBorders>
              <w:top w:val="single" w:sz="12" w:space="0" w:color="auto"/>
              <w:left w:val="single" w:sz="4" w:space="0" w:color="000000"/>
              <w:bottom w:val="single" w:sz="12" w:space="0" w:color="auto"/>
              <w:right w:val="single" w:sz="12" w:space="0" w:color="auto"/>
            </w:tcBorders>
            <w:vAlign w:val="center"/>
          </w:tcPr>
          <w:p w14:paraId="027FC278" w14:textId="77777777" w:rsidR="005B091C" w:rsidRPr="00ED190A" w:rsidRDefault="005B091C" w:rsidP="00ED190A">
            <w:pPr>
              <w:jc w:val="center"/>
              <w:rPr>
                <w:rFonts w:ascii="Arial" w:hAnsi="Arial" w:cs="Arial"/>
                <w:b/>
                <w:sz w:val="20"/>
                <w:lang w:val="pt-BR"/>
              </w:rPr>
            </w:pPr>
            <w:r w:rsidRPr="00ED190A">
              <w:rPr>
                <w:rFonts w:ascii="Arial" w:hAnsi="Arial" w:cs="Arial"/>
                <w:b/>
                <w:sz w:val="20"/>
                <w:lang w:val="pt-BR"/>
              </w:rPr>
              <w:t>INTERPRETAÇÃO COM O AUXÍLIO DE UMA ESCALA DO TIPO LIKERT</w:t>
            </w:r>
          </w:p>
        </w:tc>
      </w:tr>
      <w:tr w:rsidR="005B091C" w:rsidRPr="00ED190A" w14:paraId="31A15BA2" w14:textId="77777777" w:rsidTr="00B438F0">
        <w:trPr>
          <w:jc w:val="center"/>
        </w:trPr>
        <w:tc>
          <w:tcPr>
            <w:tcW w:w="1560" w:type="dxa"/>
            <w:vMerge w:val="restart"/>
            <w:tcBorders>
              <w:top w:val="single" w:sz="12" w:space="0" w:color="auto"/>
              <w:left w:val="single" w:sz="12" w:space="0" w:color="auto"/>
              <w:bottom w:val="single" w:sz="4" w:space="0" w:color="000000"/>
              <w:right w:val="single" w:sz="4" w:space="0" w:color="000000"/>
            </w:tcBorders>
            <w:tcMar>
              <w:top w:w="0" w:type="dxa"/>
              <w:left w:w="0" w:type="dxa"/>
              <w:bottom w:w="0" w:type="dxa"/>
              <w:right w:w="0" w:type="dxa"/>
            </w:tcMar>
            <w:vAlign w:val="center"/>
          </w:tcPr>
          <w:p w14:paraId="0B2858AA" w14:textId="77777777" w:rsidR="005B091C" w:rsidRPr="00EE7CF7" w:rsidRDefault="005B091C" w:rsidP="00ED190A">
            <w:pPr>
              <w:jc w:val="center"/>
              <w:rPr>
                <w:rFonts w:ascii="Arial" w:hAnsi="Arial" w:cs="Arial"/>
                <w:sz w:val="20"/>
                <w:lang w:val="pt-BR"/>
              </w:rPr>
            </w:pPr>
          </w:p>
          <w:p w14:paraId="25DE1F17" w14:textId="77777777" w:rsidR="005B091C" w:rsidRPr="00EE7CF7" w:rsidRDefault="005B091C" w:rsidP="00ED190A">
            <w:pPr>
              <w:jc w:val="center"/>
              <w:rPr>
                <w:rFonts w:ascii="Arial" w:hAnsi="Arial" w:cs="Arial"/>
                <w:sz w:val="20"/>
              </w:rPr>
            </w:pPr>
            <w:r w:rsidRPr="00EE7CF7">
              <w:rPr>
                <w:rFonts w:ascii="Arial" w:hAnsi="Arial" w:cs="Arial"/>
                <w:sz w:val="20"/>
              </w:rPr>
              <w:t xml:space="preserve">1 </w:t>
            </w:r>
            <w:proofErr w:type="spellStart"/>
            <w:r w:rsidRPr="00EE7CF7">
              <w:rPr>
                <w:rFonts w:ascii="Arial" w:hAnsi="Arial" w:cs="Arial"/>
                <w:sz w:val="20"/>
              </w:rPr>
              <w:t>Integridade</w:t>
            </w:r>
            <w:proofErr w:type="spellEnd"/>
            <w:r w:rsidRPr="00EE7CF7">
              <w:rPr>
                <w:rFonts w:ascii="Arial" w:hAnsi="Arial" w:cs="Arial"/>
                <w:sz w:val="20"/>
              </w:rPr>
              <w:t xml:space="preserve"> do SSA</w:t>
            </w:r>
          </w:p>
        </w:tc>
        <w:tc>
          <w:tcPr>
            <w:tcW w:w="1615" w:type="dxa"/>
            <w:tcBorders>
              <w:top w:val="single" w:sz="12"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14:paraId="555B8B13" w14:textId="77777777" w:rsidR="005B091C" w:rsidRPr="00EE7CF7" w:rsidRDefault="005B091C" w:rsidP="00ED190A">
            <w:pPr>
              <w:jc w:val="center"/>
              <w:rPr>
                <w:rFonts w:ascii="Arial" w:hAnsi="Arial" w:cs="Arial"/>
                <w:sz w:val="20"/>
              </w:rPr>
            </w:pPr>
            <w:r w:rsidRPr="00EE7CF7">
              <w:rPr>
                <w:rFonts w:ascii="Arial" w:hAnsi="Arial" w:cs="Arial"/>
                <w:sz w:val="20"/>
              </w:rPr>
              <w:t>1.1</w:t>
            </w:r>
          </w:p>
        </w:tc>
        <w:tc>
          <w:tcPr>
            <w:tcW w:w="1294" w:type="dxa"/>
            <w:tcBorders>
              <w:top w:val="single" w:sz="12"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14:paraId="33F329F3" w14:textId="77777777" w:rsidR="005B091C" w:rsidRPr="00EE7CF7" w:rsidRDefault="005B091C" w:rsidP="00ED190A">
            <w:pPr>
              <w:jc w:val="center"/>
              <w:rPr>
                <w:rFonts w:ascii="Arial" w:hAnsi="Arial" w:cs="Arial"/>
                <w:sz w:val="20"/>
              </w:rPr>
            </w:pPr>
            <w:r w:rsidRPr="00EE7CF7">
              <w:rPr>
                <w:rFonts w:ascii="Arial" w:hAnsi="Arial" w:cs="Arial"/>
                <w:sz w:val="20"/>
              </w:rPr>
              <w:t>20</w:t>
            </w:r>
          </w:p>
        </w:tc>
        <w:tc>
          <w:tcPr>
            <w:tcW w:w="3186" w:type="dxa"/>
            <w:vMerge w:val="restart"/>
            <w:tcBorders>
              <w:top w:val="single" w:sz="12" w:space="0" w:color="auto"/>
              <w:left w:val="single" w:sz="4" w:space="0" w:color="000000"/>
              <w:right w:val="single" w:sz="12" w:space="0" w:color="auto"/>
            </w:tcBorders>
            <w:vAlign w:val="center"/>
          </w:tcPr>
          <w:p w14:paraId="184BDE71" w14:textId="77777777" w:rsidR="005B091C" w:rsidRPr="00EE7CF7" w:rsidRDefault="005B091C" w:rsidP="00ED190A">
            <w:pPr>
              <w:jc w:val="center"/>
              <w:rPr>
                <w:rFonts w:ascii="Arial" w:hAnsi="Arial" w:cs="Arial"/>
                <w:sz w:val="20"/>
              </w:rPr>
            </w:pPr>
            <w:r w:rsidRPr="00EE7CF7">
              <w:rPr>
                <w:rFonts w:ascii="Arial" w:hAnsi="Arial" w:cs="Arial"/>
                <w:sz w:val="20"/>
              </w:rPr>
              <w:t>RUIM</w:t>
            </w:r>
          </w:p>
        </w:tc>
      </w:tr>
      <w:tr w:rsidR="005B091C" w:rsidRPr="00ED190A" w14:paraId="7190C2FF" w14:textId="77777777" w:rsidTr="00B438F0">
        <w:trPr>
          <w:jc w:val="center"/>
        </w:trPr>
        <w:tc>
          <w:tcPr>
            <w:tcW w:w="1560" w:type="dxa"/>
            <w:vMerge/>
            <w:tcBorders>
              <w:top w:val="single" w:sz="4" w:space="0" w:color="000000"/>
              <w:left w:val="single" w:sz="12" w:space="0" w:color="auto"/>
              <w:bottom w:val="single" w:sz="4" w:space="0" w:color="000000"/>
              <w:right w:val="single" w:sz="4" w:space="0" w:color="000000"/>
            </w:tcBorders>
            <w:tcMar>
              <w:top w:w="0" w:type="dxa"/>
              <w:left w:w="0" w:type="dxa"/>
              <w:bottom w:w="0" w:type="dxa"/>
              <w:right w:w="0" w:type="dxa"/>
            </w:tcMar>
            <w:vAlign w:val="center"/>
          </w:tcPr>
          <w:p w14:paraId="164533BD" w14:textId="77777777" w:rsidR="005B091C" w:rsidRPr="00EE7CF7" w:rsidRDefault="005B091C" w:rsidP="00ED190A">
            <w:pPr>
              <w:widowControl w:val="0"/>
              <w:pBdr>
                <w:top w:val="nil"/>
                <w:left w:val="nil"/>
                <w:bottom w:val="nil"/>
                <w:right w:val="nil"/>
                <w:between w:val="nil"/>
              </w:pBdr>
              <w:jc w:val="center"/>
              <w:rPr>
                <w:rFonts w:ascii="Arial" w:hAnsi="Arial" w:cs="Arial"/>
                <w:sz w:val="20"/>
              </w:rPr>
            </w:pPr>
          </w:p>
        </w:tc>
        <w:tc>
          <w:tcPr>
            <w:tcW w:w="1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7DEA3FC" w14:textId="77777777" w:rsidR="005B091C" w:rsidRPr="00EE7CF7" w:rsidRDefault="005B091C" w:rsidP="00ED190A">
            <w:pPr>
              <w:jc w:val="center"/>
              <w:rPr>
                <w:rFonts w:ascii="Arial" w:hAnsi="Arial" w:cs="Arial"/>
                <w:sz w:val="20"/>
              </w:rPr>
            </w:pPr>
            <w:r w:rsidRPr="00EE7CF7">
              <w:rPr>
                <w:rFonts w:ascii="Arial" w:hAnsi="Arial" w:cs="Arial"/>
                <w:sz w:val="20"/>
              </w:rPr>
              <w:t>1.2</w:t>
            </w:r>
          </w:p>
        </w:tc>
        <w:tc>
          <w:tcPr>
            <w:tcW w:w="12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4601F2" w14:textId="77777777" w:rsidR="005B091C" w:rsidRPr="00EE7CF7" w:rsidRDefault="005B091C" w:rsidP="00ED190A">
            <w:pPr>
              <w:jc w:val="center"/>
              <w:rPr>
                <w:rFonts w:ascii="Arial" w:hAnsi="Arial" w:cs="Arial"/>
                <w:sz w:val="20"/>
              </w:rPr>
            </w:pPr>
            <w:r w:rsidRPr="00EE7CF7">
              <w:rPr>
                <w:rFonts w:ascii="Arial" w:hAnsi="Arial" w:cs="Arial"/>
                <w:sz w:val="20"/>
              </w:rPr>
              <w:t>0</w:t>
            </w:r>
          </w:p>
        </w:tc>
        <w:tc>
          <w:tcPr>
            <w:tcW w:w="3186" w:type="dxa"/>
            <w:vMerge/>
            <w:tcBorders>
              <w:left w:val="single" w:sz="4" w:space="0" w:color="000000"/>
              <w:right w:val="single" w:sz="12" w:space="0" w:color="auto"/>
            </w:tcBorders>
            <w:vAlign w:val="center"/>
          </w:tcPr>
          <w:p w14:paraId="1FC55D15" w14:textId="77777777" w:rsidR="005B091C" w:rsidRPr="00EE7CF7" w:rsidRDefault="005B091C" w:rsidP="00ED190A">
            <w:pPr>
              <w:jc w:val="center"/>
              <w:rPr>
                <w:rFonts w:ascii="Arial" w:hAnsi="Arial" w:cs="Arial"/>
                <w:sz w:val="20"/>
              </w:rPr>
            </w:pPr>
          </w:p>
        </w:tc>
      </w:tr>
      <w:tr w:rsidR="005B091C" w:rsidRPr="00ED190A" w14:paraId="6B50E821" w14:textId="77777777" w:rsidTr="00B438F0">
        <w:trPr>
          <w:jc w:val="center"/>
        </w:trPr>
        <w:tc>
          <w:tcPr>
            <w:tcW w:w="1560" w:type="dxa"/>
            <w:vMerge/>
            <w:tcBorders>
              <w:top w:val="single" w:sz="4" w:space="0" w:color="000000"/>
              <w:left w:val="single" w:sz="12" w:space="0" w:color="auto"/>
              <w:bottom w:val="single" w:sz="4" w:space="0" w:color="000000"/>
              <w:right w:val="single" w:sz="4" w:space="0" w:color="000000"/>
            </w:tcBorders>
            <w:tcMar>
              <w:top w:w="0" w:type="dxa"/>
              <w:left w:w="0" w:type="dxa"/>
              <w:bottom w:w="0" w:type="dxa"/>
              <w:right w:w="0" w:type="dxa"/>
            </w:tcMar>
            <w:vAlign w:val="center"/>
          </w:tcPr>
          <w:p w14:paraId="59959EB5" w14:textId="77777777" w:rsidR="005B091C" w:rsidRPr="00EE7CF7" w:rsidRDefault="005B091C" w:rsidP="00ED190A">
            <w:pPr>
              <w:widowControl w:val="0"/>
              <w:pBdr>
                <w:top w:val="nil"/>
                <w:left w:val="nil"/>
                <w:bottom w:val="nil"/>
                <w:right w:val="nil"/>
                <w:between w:val="nil"/>
              </w:pBdr>
              <w:jc w:val="center"/>
              <w:rPr>
                <w:rFonts w:ascii="Arial" w:hAnsi="Arial" w:cs="Arial"/>
                <w:sz w:val="20"/>
              </w:rPr>
            </w:pPr>
          </w:p>
        </w:tc>
        <w:tc>
          <w:tcPr>
            <w:tcW w:w="1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BF65926" w14:textId="77777777" w:rsidR="005B091C" w:rsidRPr="00EE7CF7" w:rsidRDefault="005B091C" w:rsidP="00ED190A">
            <w:pPr>
              <w:jc w:val="center"/>
              <w:rPr>
                <w:rFonts w:ascii="Arial" w:hAnsi="Arial" w:cs="Arial"/>
                <w:sz w:val="20"/>
              </w:rPr>
            </w:pPr>
            <w:r w:rsidRPr="00EE7CF7">
              <w:rPr>
                <w:rFonts w:ascii="Arial" w:hAnsi="Arial" w:cs="Arial"/>
                <w:sz w:val="20"/>
              </w:rPr>
              <w:t>1.3</w:t>
            </w:r>
          </w:p>
        </w:tc>
        <w:tc>
          <w:tcPr>
            <w:tcW w:w="12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4C6E704" w14:textId="77777777" w:rsidR="005B091C" w:rsidRPr="00EE7CF7" w:rsidRDefault="005B091C" w:rsidP="00ED190A">
            <w:pPr>
              <w:jc w:val="center"/>
              <w:rPr>
                <w:rFonts w:ascii="Arial" w:hAnsi="Arial" w:cs="Arial"/>
                <w:sz w:val="20"/>
              </w:rPr>
            </w:pPr>
            <w:r w:rsidRPr="00EE7CF7">
              <w:rPr>
                <w:rFonts w:ascii="Arial" w:hAnsi="Arial" w:cs="Arial"/>
                <w:sz w:val="20"/>
              </w:rPr>
              <w:t>0</w:t>
            </w:r>
          </w:p>
        </w:tc>
        <w:tc>
          <w:tcPr>
            <w:tcW w:w="3186" w:type="dxa"/>
            <w:vMerge/>
            <w:tcBorders>
              <w:left w:val="single" w:sz="4" w:space="0" w:color="000000"/>
              <w:right w:val="single" w:sz="12" w:space="0" w:color="auto"/>
            </w:tcBorders>
            <w:vAlign w:val="center"/>
          </w:tcPr>
          <w:p w14:paraId="2D99409F" w14:textId="77777777" w:rsidR="005B091C" w:rsidRPr="00EE7CF7" w:rsidRDefault="005B091C" w:rsidP="00ED190A">
            <w:pPr>
              <w:jc w:val="center"/>
              <w:rPr>
                <w:rFonts w:ascii="Arial" w:hAnsi="Arial" w:cs="Arial"/>
                <w:sz w:val="20"/>
              </w:rPr>
            </w:pPr>
          </w:p>
        </w:tc>
      </w:tr>
      <w:tr w:rsidR="005B091C" w:rsidRPr="00ED190A" w14:paraId="1C94409C" w14:textId="77777777" w:rsidTr="00B438F0">
        <w:trPr>
          <w:jc w:val="center"/>
        </w:trPr>
        <w:tc>
          <w:tcPr>
            <w:tcW w:w="1560" w:type="dxa"/>
            <w:vMerge/>
            <w:tcBorders>
              <w:top w:val="single" w:sz="4" w:space="0" w:color="000000"/>
              <w:left w:val="single" w:sz="12" w:space="0" w:color="auto"/>
              <w:bottom w:val="single" w:sz="4" w:space="0" w:color="000000"/>
              <w:right w:val="single" w:sz="4" w:space="0" w:color="000000"/>
            </w:tcBorders>
            <w:tcMar>
              <w:top w:w="0" w:type="dxa"/>
              <w:left w:w="0" w:type="dxa"/>
              <w:bottom w:w="0" w:type="dxa"/>
              <w:right w:w="0" w:type="dxa"/>
            </w:tcMar>
            <w:vAlign w:val="center"/>
          </w:tcPr>
          <w:p w14:paraId="19E62810" w14:textId="77777777" w:rsidR="005B091C" w:rsidRPr="00EE7CF7" w:rsidRDefault="005B091C" w:rsidP="00ED190A">
            <w:pPr>
              <w:widowControl w:val="0"/>
              <w:pBdr>
                <w:top w:val="nil"/>
                <w:left w:val="nil"/>
                <w:bottom w:val="nil"/>
                <w:right w:val="nil"/>
                <w:between w:val="nil"/>
              </w:pBdr>
              <w:jc w:val="center"/>
              <w:rPr>
                <w:rFonts w:ascii="Arial" w:hAnsi="Arial" w:cs="Arial"/>
                <w:sz w:val="20"/>
              </w:rPr>
            </w:pPr>
          </w:p>
        </w:tc>
        <w:tc>
          <w:tcPr>
            <w:tcW w:w="1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D9B9AD9" w14:textId="77777777" w:rsidR="005B091C" w:rsidRPr="00EE7CF7" w:rsidRDefault="005B091C" w:rsidP="00ED190A">
            <w:pPr>
              <w:jc w:val="center"/>
              <w:rPr>
                <w:rFonts w:ascii="Arial" w:hAnsi="Arial" w:cs="Arial"/>
                <w:sz w:val="20"/>
              </w:rPr>
            </w:pPr>
            <w:r w:rsidRPr="00EE7CF7">
              <w:rPr>
                <w:rFonts w:ascii="Arial" w:hAnsi="Arial" w:cs="Arial"/>
                <w:sz w:val="20"/>
              </w:rPr>
              <w:t>1.4</w:t>
            </w:r>
          </w:p>
        </w:tc>
        <w:tc>
          <w:tcPr>
            <w:tcW w:w="12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59030AD" w14:textId="77777777" w:rsidR="005B091C" w:rsidRPr="00EE7CF7" w:rsidRDefault="005B091C" w:rsidP="00ED190A">
            <w:pPr>
              <w:jc w:val="center"/>
              <w:rPr>
                <w:rFonts w:ascii="Arial" w:hAnsi="Arial" w:cs="Arial"/>
                <w:sz w:val="20"/>
              </w:rPr>
            </w:pPr>
            <w:r w:rsidRPr="00EE7CF7">
              <w:rPr>
                <w:rFonts w:ascii="Arial" w:hAnsi="Arial" w:cs="Arial"/>
                <w:sz w:val="20"/>
              </w:rPr>
              <w:t>0</w:t>
            </w:r>
          </w:p>
        </w:tc>
        <w:tc>
          <w:tcPr>
            <w:tcW w:w="3186" w:type="dxa"/>
            <w:vMerge/>
            <w:tcBorders>
              <w:left w:val="single" w:sz="4" w:space="0" w:color="000000"/>
              <w:right w:val="single" w:sz="12" w:space="0" w:color="auto"/>
            </w:tcBorders>
            <w:vAlign w:val="center"/>
          </w:tcPr>
          <w:p w14:paraId="47A83F61" w14:textId="77777777" w:rsidR="005B091C" w:rsidRPr="00EE7CF7" w:rsidRDefault="005B091C" w:rsidP="00ED190A">
            <w:pPr>
              <w:jc w:val="center"/>
              <w:rPr>
                <w:rFonts w:ascii="Arial" w:hAnsi="Arial" w:cs="Arial"/>
                <w:sz w:val="20"/>
              </w:rPr>
            </w:pPr>
          </w:p>
        </w:tc>
      </w:tr>
      <w:tr w:rsidR="005B091C" w:rsidRPr="00ED190A" w14:paraId="4689514C" w14:textId="77777777" w:rsidTr="00B438F0">
        <w:trPr>
          <w:jc w:val="center"/>
        </w:trPr>
        <w:tc>
          <w:tcPr>
            <w:tcW w:w="1560" w:type="dxa"/>
            <w:vMerge/>
            <w:tcBorders>
              <w:top w:val="single" w:sz="4" w:space="0" w:color="000000"/>
              <w:left w:val="single" w:sz="12" w:space="0" w:color="auto"/>
              <w:bottom w:val="single" w:sz="4" w:space="0" w:color="000000"/>
              <w:right w:val="single" w:sz="4" w:space="0" w:color="000000"/>
            </w:tcBorders>
            <w:tcMar>
              <w:top w:w="0" w:type="dxa"/>
              <w:left w:w="0" w:type="dxa"/>
              <w:bottom w:w="0" w:type="dxa"/>
              <w:right w:w="0" w:type="dxa"/>
            </w:tcMar>
            <w:vAlign w:val="center"/>
          </w:tcPr>
          <w:p w14:paraId="7E7F6860" w14:textId="77777777" w:rsidR="005B091C" w:rsidRPr="00EE7CF7" w:rsidRDefault="005B091C" w:rsidP="00ED190A">
            <w:pPr>
              <w:widowControl w:val="0"/>
              <w:pBdr>
                <w:top w:val="nil"/>
                <w:left w:val="nil"/>
                <w:bottom w:val="nil"/>
                <w:right w:val="nil"/>
                <w:between w:val="nil"/>
              </w:pBdr>
              <w:jc w:val="center"/>
              <w:rPr>
                <w:rFonts w:ascii="Arial" w:hAnsi="Arial" w:cs="Arial"/>
                <w:sz w:val="20"/>
              </w:rPr>
            </w:pPr>
          </w:p>
        </w:tc>
        <w:tc>
          <w:tcPr>
            <w:tcW w:w="1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8D4248E" w14:textId="77777777" w:rsidR="005B091C" w:rsidRPr="00EE7CF7" w:rsidRDefault="005B091C" w:rsidP="00ED190A">
            <w:pPr>
              <w:jc w:val="center"/>
              <w:rPr>
                <w:rFonts w:ascii="Arial" w:hAnsi="Arial" w:cs="Arial"/>
                <w:sz w:val="20"/>
              </w:rPr>
            </w:pPr>
            <w:r w:rsidRPr="00EE7CF7">
              <w:rPr>
                <w:rFonts w:ascii="Arial" w:hAnsi="Arial" w:cs="Arial"/>
                <w:sz w:val="20"/>
              </w:rPr>
              <w:t>TESTE (i)</w:t>
            </w:r>
          </w:p>
        </w:tc>
        <w:tc>
          <w:tcPr>
            <w:tcW w:w="12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D8B5B2F" w14:textId="77777777" w:rsidR="005B091C" w:rsidRPr="00EE7CF7" w:rsidRDefault="005B091C" w:rsidP="00ED190A">
            <w:pPr>
              <w:jc w:val="center"/>
              <w:rPr>
                <w:rFonts w:ascii="Arial" w:hAnsi="Arial" w:cs="Arial"/>
                <w:sz w:val="20"/>
              </w:rPr>
            </w:pPr>
            <w:r w:rsidRPr="00EE7CF7">
              <w:rPr>
                <w:rFonts w:ascii="Arial" w:hAnsi="Arial" w:cs="Arial"/>
                <w:sz w:val="20"/>
              </w:rPr>
              <w:t>OK</w:t>
            </w:r>
          </w:p>
        </w:tc>
        <w:tc>
          <w:tcPr>
            <w:tcW w:w="3186" w:type="dxa"/>
            <w:vMerge/>
            <w:tcBorders>
              <w:left w:val="single" w:sz="4" w:space="0" w:color="000000"/>
              <w:right w:val="single" w:sz="12" w:space="0" w:color="auto"/>
            </w:tcBorders>
            <w:vAlign w:val="center"/>
          </w:tcPr>
          <w:p w14:paraId="6636272A" w14:textId="77777777" w:rsidR="005B091C" w:rsidRPr="00EE7CF7" w:rsidRDefault="005B091C" w:rsidP="00ED190A">
            <w:pPr>
              <w:jc w:val="center"/>
              <w:rPr>
                <w:rFonts w:ascii="Arial" w:hAnsi="Arial" w:cs="Arial"/>
                <w:sz w:val="20"/>
              </w:rPr>
            </w:pPr>
          </w:p>
        </w:tc>
      </w:tr>
      <w:tr w:rsidR="005B091C" w:rsidRPr="00ED190A" w14:paraId="51AFA6A7" w14:textId="77777777" w:rsidTr="00B438F0">
        <w:trPr>
          <w:jc w:val="center"/>
        </w:trPr>
        <w:tc>
          <w:tcPr>
            <w:tcW w:w="1560" w:type="dxa"/>
            <w:vMerge/>
            <w:tcBorders>
              <w:top w:val="single" w:sz="4" w:space="0" w:color="000000"/>
              <w:left w:val="single" w:sz="12" w:space="0" w:color="auto"/>
              <w:bottom w:val="single" w:sz="4" w:space="0" w:color="000000"/>
              <w:right w:val="single" w:sz="4" w:space="0" w:color="000000"/>
            </w:tcBorders>
            <w:tcMar>
              <w:top w:w="0" w:type="dxa"/>
              <w:left w:w="0" w:type="dxa"/>
              <w:bottom w:w="0" w:type="dxa"/>
              <w:right w:w="0" w:type="dxa"/>
            </w:tcMar>
            <w:vAlign w:val="center"/>
          </w:tcPr>
          <w:p w14:paraId="1D009EB0" w14:textId="77777777" w:rsidR="005B091C" w:rsidRPr="00EE7CF7" w:rsidRDefault="005B091C" w:rsidP="00ED190A">
            <w:pPr>
              <w:widowControl w:val="0"/>
              <w:pBdr>
                <w:top w:val="nil"/>
                <w:left w:val="nil"/>
                <w:bottom w:val="nil"/>
                <w:right w:val="nil"/>
                <w:between w:val="nil"/>
              </w:pBdr>
              <w:jc w:val="center"/>
              <w:rPr>
                <w:rFonts w:ascii="Arial" w:hAnsi="Arial" w:cs="Arial"/>
                <w:sz w:val="20"/>
              </w:rPr>
            </w:pPr>
          </w:p>
        </w:tc>
        <w:tc>
          <w:tcPr>
            <w:tcW w:w="1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BD483C1" w14:textId="77777777" w:rsidR="005B091C" w:rsidRPr="00EE7CF7" w:rsidRDefault="005B091C" w:rsidP="00ED190A">
            <w:pPr>
              <w:jc w:val="center"/>
              <w:rPr>
                <w:rFonts w:ascii="Arial" w:hAnsi="Arial" w:cs="Arial"/>
                <w:sz w:val="20"/>
              </w:rPr>
            </w:pPr>
            <w:r w:rsidRPr="00EE7CF7">
              <w:rPr>
                <w:rFonts w:ascii="Arial" w:hAnsi="Arial" w:cs="Arial"/>
                <w:sz w:val="20"/>
              </w:rPr>
              <w:t>TESTE (ii)</w:t>
            </w:r>
          </w:p>
        </w:tc>
        <w:tc>
          <w:tcPr>
            <w:tcW w:w="12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2CF5755" w14:textId="77777777" w:rsidR="005B091C" w:rsidRPr="00EE7CF7" w:rsidRDefault="005B091C" w:rsidP="00ED190A">
            <w:pPr>
              <w:jc w:val="center"/>
              <w:rPr>
                <w:rFonts w:ascii="Arial" w:hAnsi="Arial" w:cs="Arial"/>
                <w:sz w:val="20"/>
              </w:rPr>
            </w:pPr>
            <w:r w:rsidRPr="00EE7CF7">
              <w:rPr>
                <w:rFonts w:ascii="Arial" w:hAnsi="Arial" w:cs="Arial"/>
                <w:sz w:val="20"/>
              </w:rPr>
              <w:t>NÃO OK</w:t>
            </w:r>
          </w:p>
        </w:tc>
        <w:tc>
          <w:tcPr>
            <w:tcW w:w="3186" w:type="dxa"/>
            <w:vMerge/>
            <w:tcBorders>
              <w:left w:val="single" w:sz="4" w:space="0" w:color="000000"/>
              <w:right w:val="single" w:sz="12" w:space="0" w:color="auto"/>
            </w:tcBorders>
            <w:vAlign w:val="center"/>
          </w:tcPr>
          <w:p w14:paraId="47563803" w14:textId="77777777" w:rsidR="005B091C" w:rsidRPr="00EE7CF7" w:rsidRDefault="005B091C" w:rsidP="00ED190A">
            <w:pPr>
              <w:jc w:val="center"/>
              <w:rPr>
                <w:rFonts w:ascii="Arial" w:hAnsi="Arial" w:cs="Arial"/>
                <w:sz w:val="20"/>
              </w:rPr>
            </w:pPr>
          </w:p>
        </w:tc>
      </w:tr>
      <w:tr w:rsidR="005B091C" w:rsidRPr="00ED190A" w14:paraId="030A7031" w14:textId="77777777" w:rsidTr="00B438F0">
        <w:trPr>
          <w:jc w:val="center"/>
        </w:trPr>
        <w:tc>
          <w:tcPr>
            <w:tcW w:w="1560" w:type="dxa"/>
            <w:vMerge/>
            <w:tcBorders>
              <w:top w:val="single" w:sz="4" w:space="0" w:color="000000"/>
              <w:left w:val="single" w:sz="12" w:space="0" w:color="auto"/>
              <w:bottom w:val="single" w:sz="4" w:space="0" w:color="000000"/>
              <w:right w:val="single" w:sz="4" w:space="0" w:color="000000"/>
            </w:tcBorders>
            <w:tcMar>
              <w:top w:w="0" w:type="dxa"/>
              <w:left w:w="0" w:type="dxa"/>
              <w:bottom w:w="0" w:type="dxa"/>
              <w:right w:w="0" w:type="dxa"/>
            </w:tcMar>
            <w:vAlign w:val="center"/>
          </w:tcPr>
          <w:p w14:paraId="5A992D28" w14:textId="77777777" w:rsidR="005B091C" w:rsidRPr="00EE7CF7" w:rsidRDefault="005B091C" w:rsidP="00ED190A">
            <w:pPr>
              <w:widowControl w:val="0"/>
              <w:pBdr>
                <w:top w:val="nil"/>
                <w:left w:val="nil"/>
                <w:bottom w:val="nil"/>
                <w:right w:val="nil"/>
                <w:between w:val="nil"/>
              </w:pBdr>
              <w:jc w:val="center"/>
              <w:rPr>
                <w:rFonts w:ascii="Arial" w:hAnsi="Arial" w:cs="Arial"/>
                <w:sz w:val="20"/>
              </w:rPr>
            </w:pPr>
          </w:p>
        </w:tc>
        <w:tc>
          <w:tcPr>
            <w:tcW w:w="1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166453A" w14:textId="77777777" w:rsidR="005B091C" w:rsidRPr="00EE7CF7" w:rsidRDefault="005B091C" w:rsidP="00ED190A">
            <w:pPr>
              <w:jc w:val="center"/>
              <w:rPr>
                <w:rFonts w:ascii="Arial" w:hAnsi="Arial" w:cs="Arial"/>
                <w:sz w:val="20"/>
              </w:rPr>
            </w:pPr>
            <w:r w:rsidRPr="00EE7CF7">
              <w:rPr>
                <w:rFonts w:ascii="Arial" w:hAnsi="Arial" w:cs="Arial"/>
                <w:sz w:val="20"/>
              </w:rPr>
              <w:t>TESTE (iii)</w:t>
            </w:r>
          </w:p>
        </w:tc>
        <w:tc>
          <w:tcPr>
            <w:tcW w:w="12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B7A98EA" w14:textId="77777777" w:rsidR="005B091C" w:rsidRPr="00EE7CF7" w:rsidRDefault="005B091C" w:rsidP="00ED190A">
            <w:pPr>
              <w:jc w:val="center"/>
              <w:rPr>
                <w:rFonts w:ascii="Arial" w:hAnsi="Arial" w:cs="Arial"/>
                <w:sz w:val="20"/>
              </w:rPr>
            </w:pPr>
            <w:r w:rsidRPr="00EE7CF7">
              <w:rPr>
                <w:rFonts w:ascii="Arial" w:hAnsi="Arial" w:cs="Arial"/>
                <w:sz w:val="20"/>
              </w:rPr>
              <w:t>OK</w:t>
            </w:r>
          </w:p>
        </w:tc>
        <w:tc>
          <w:tcPr>
            <w:tcW w:w="3186" w:type="dxa"/>
            <w:vMerge/>
            <w:tcBorders>
              <w:left w:val="single" w:sz="4" w:space="0" w:color="000000"/>
              <w:right w:val="single" w:sz="12" w:space="0" w:color="auto"/>
            </w:tcBorders>
            <w:vAlign w:val="center"/>
          </w:tcPr>
          <w:p w14:paraId="7949107C" w14:textId="77777777" w:rsidR="005B091C" w:rsidRPr="00EE7CF7" w:rsidRDefault="005B091C" w:rsidP="00ED190A">
            <w:pPr>
              <w:jc w:val="center"/>
              <w:rPr>
                <w:rFonts w:ascii="Arial" w:hAnsi="Arial" w:cs="Arial"/>
                <w:sz w:val="20"/>
              </w:rPr>
            </w:pPr>
          </w:p>
        </w:tc>
      </w:tr>
      <w:tr w:rsidR="005B091C" w:rsidRPr="00ED190A" w14:paraId="61075452" w14:textId="77777777" w:rsidTr="00B438F0">
        <w:trPr>
          <w:jc w:val="center"/>
        </w:trPr>
        <w:tc>
          <w:tcPr>
            <w:tcW w:w="1560" w:type="dxa"/>
            <w:vMerge/>
            <w:tcBorders>
              <w:top w:val="single" w:sz="4" w:space="0" w:color="000000"/>
              <w:left w:val="single" w:sz="12" w:space="0" w:color="auto"/>
              <w:bottom w:val="single" w:sz="4" w:space="0" w:color="000000"/>
              <w:right w:val="single" w:sz="4" w:space="0" w:color="000000"/>
            </w:tcBorders>
            <w:tcMar>
              <w:top w:w="0" w:type="dxa"/>
              <w:left w:w="0" w:type="dxa"/>
              <w:bottom w:w="0" w:type="dxa"/>
              <w:right w:w="0" w:type="dxa"/>
            </w:tcMar>
            <w:vAlign w:val="center"/>
          </w:tcPr>
          <w:p w14:paraId="427EC71E" w14:textId="77777777" w:rsidR="005B091C" w:rsidRPr="00EE7CF7" w:rsidRDefault="005B091C" w:rsidP="00ED190A">
            <w:pPr>
              <w:widowControl w:val="0"/>
              <w:pBdr>
                <w:top w:val="nil"/>
                <w:left w:val="nil"/>
                <w:bottom w:val="nil"/>
                <w:right w:val="nil"/>
                <w:between w:val="nil"/>
              </w:pBdr>
              <w:jc w:val="center"/>
              <w:rPr>
                <w:rFonts w:ascii="Arial" w:hAnsi="Arial" w:cs="Arial"/>
                <w:sz w:val="20"/>
              </w:rPr>
            </w:pPr>
          </w:p>
        </w:tc>
        <w:tc>
          <w:tcPr>
            <w:tcW w:w="290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4A99009" w14:textId="77777777" w:rsidR="005B091C" w:rsidRPr="00EE7CF7" w:rsidRDefault="005B091C" w:rsidP="00ED190A">
            <w:pPr>
              <w:jc w:val="center"/>
              <w:rPr>
                <w:rFonts w:ascii="Arial" w:hAnsi="Arial" w:cs="Arial"/>
                <w:sz w:val="20"/>
              </w:rPr>
            </w:pPr>
            <w:r w:rsidRPr="00EE7CF7">
              <w:rPr>
                <w:rFonts w:ascii="Arial" w:hAnsi="Arial" w:cs="Arial"/>
                <w:sz w:val="20"/>
              </w:rPr>
              <w:t>TOTAL = 30</w:t>
            </w:r>
          </w:p>
        </w:tc>
        <w:tc>
          <w:tcPr>
            <w:tcW w:w="3186" w:type="dxa"/>
            <w:vMerge/>
            <w:tcBorders>
              <w:left w:val="single" w:sz="4" w:space="0" w:color="000000"/>
              <w:bottom w:val="single" w:sz="4" w:space="0" w:color="000000"/>
              <w:right w:val="single" w:sz="12" w:space="0" w:color="auto"/>
            </w:tcBorders>
            <w:vAlign w:val="center"/>
          </w:tcPr>
          <w:p w14:paraId="48077459" w14:textId="77777777" w:rsidR="005B091C" w:rsidRPr="00EE7CF7" w:rsidRDefault="005B091C" w:rsidP="00ED190A">
            <w:pPr>
              <w:jc w:val="center"/>
              <w:rPr>
                <w:rFonts w:ascii="Arial" w:hAnsi="Arial" w:cs="Arial"/>
                <w:sz w:val="20"/>
              </w:rPr>
            </w:pPr>
          </w:p>
        </w:tc>
      </w:tr>
      <w:tr w:rsidR="005B091C" w:rsidRPr="00ED190A" w14:paraId="61F0D552" w14:textId="77777777" w:rsidTr="00B438F0">
        <w:trPr>
          <w:jc w:val="center"/>
        </w:trPr>
        <w:tc>
          <w:tcPr>
            <w:tcW w:w="1560" w:type="dxa"/>
            <w:vMerge w:val="restart"/>
            <w:tcBorders>
              <w:top w:val="single" w:sz="4" w:space="0" w:color="000000"/>
              <w:left w:val="single" w:sz="12" w:space="0" w:color="auto"/>
              <w:bottom w:val="single" w:sz="4" w:space="0" w:color="000000"/>
              <w:right w:val="single" w:sz="4" w:space="0" w:color="000000"/>
            </w:tcBorders>
            <w:tcMar>
              <w:top w:w="0" w:type="dxa"/>
              <w:left w:w="0" w:type="dxa"/>
              <w:bottom w:w="0" w:type="dxa"/>
              <w:right w:w="0" w:type="dxa"/>
            </w:tcMar>
            <w:vAlign w:val="center"/>
          </w:tcPr>
          <w:p w14:paraId="713AAD65" w14:textId="77777777" w:rsidR="005B091C" w:rsidRPr="00EE7CF7" w:rsidRDefault="005B091C" w:rsidP="00ED190A">
            <w:pPr>
              <w:jc w:val="center"/>
              <w:rPr>
                <w:rFonts w:ascii="Arial" w:hAnsi="Arial" w:cs="Arial"/>
                <w:sz w:val="20"/>
                <w:lang w:val="pt-BR"/>
              </w:rPr>
            </w:pPr>
          </w:p>
          <w:p w14:paraId="731AF333" w14:textId="77777777" w:rsidR="005B091C" w:rsidRPr="00EE7CF7" w:rsidRDefault="005B091C" w:rsidP="00ED190A">
            <w:pPr>
              <w:jc w:val="center"/>
              <w:rPr>
                <w:rFonts w:ascii="Arial" w:hAnsi="Arial" w:cs="Arial"/>
                <w:sz w:val="20"/>
                <w:lang w:val="pt-BR"/>
              </w:rPr>
            </w:pPr>
            <w:r w:rsidRPr="00EE7CF7">
              <w:rPr>
                <w:rFonts w:ascii="Arial" w:hAnsi="Arial" w:cs="Arial"/>
                <w:sz w:val="20"/>
                <w:lang w:val="pt-BR"/>
              </w:rPr>
              <w:t>2 Eficiência e manutenção dos recursos</w:t>
            </w:r>
          </w:p>
        </w:tc>
        <w:tc>
          <w:tcPr>
            <w:tcW w:w="1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BF0E0F0" w14:textId="77777777" w:rsidR="005B091C" w:rsidRPr="00EE7CF7" w:rsidRDefault="005B091C" w:rsidP="00ED190A">
            <w:pPr>
              <w:jc w:val="center"/>
              <w:rPr>
                <w:rFonts w:ascii="Arial" w:hAnsi="Arial" w:cs="Arial"/>
                <w:sz w:val="20"/>
              </w:rPr>
            </w:pPr>
            <w:r w:rsidRPr="00EE7CF7">
              <w:rPr>
                <w:rFonts w:ascii="Arial" w:hAnsi="Arial" w:cs="Arial"/>
                <w:sz w:val="20"/>
              </w:rPr>
              <w:t>2.1</w:t>
            </w:r>
          </w:p>
        </w:tc>
        <w:tc>
          <w:tcPr>
            <w:tcW w:w="12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2F2494E" w14:textId="77777777" w:rsidR="005B091C" w:rsidRPr="00EE7CF7" w:rsidRDefault="005B091C" w:rsidP="00ED190A">
            <w:pPr>
              <w:jc w:val="center"/>
              <w:rPr>
                <w:rFonts w:ascii="Arial" w:hAnsi="Arial" w:cs="Arial"/>
                <w:sz w:val="20"/>
              </w:rPr>
            </w:pPr>
            <w:r w:rsidRPr="00EE7CF7">
              <w:rPr>
                <w:rFonts w:ascii="Arial" w:hAnsi="Arial" w:cs="Arial"/>
                <w:sz w:val="20"/>
              </w:rPr>
              <w:t>20</w:t>
            </w:r>
          </w:p>
        </w:tc>
        <w:tc>
          <w:tcPr>
            <w:tcW w:w="3186" w:type="dxa"/>
            <w:vMerge w:val="restart"/>
            <w:tcBorders>
              <w:top w:val="single" w:sz="4" w:space="0" w:color="000000"/>
              <w:left w:val="single" w:sz="4" w:space="0" w:color="000000"/>
              <w:right w:val="single" w:sz="12" w:space="0" w:color="auto"/>
            </w:tcBorders>
            <w:vAlign w:val="center"/>
          </w:tcPr>
          <w:p w14:paraId="42D69479" w14:textId="77777777" w:rsidR="005B091C" w:rsidRPr="00EE7CF7" w:rsidRDefault="005B091C" w:rsidP="00ED190A">
            <w:pPr>
              <w:rPr>
                <w:rFonts w:ascii="Arial" w:hAnsi="Arial" w:cs="Arial"/>
                <w:sz w:val="20"/>
              </w:rPr>
            </w:pPr>
          </w:p>
          <w:p w14:paraId="3D0AC9E9" w14:textId="77777777" w:rsidR="005B091C" w:rsidRPr="00EE7CF7" w:rsidRDefault="005B091C" w:rsidP="00ED190A">
            <w:pPr>
              <w:jc w:val="center"/>
              <w:rPr>
                <w:rFonts w:ascii="Arial" w:hAnsi="Arial" w:cs="Arial"/>
                <w:sz w:val="20"/>
              </w:rPr>
            </w:pPr>
            <w:r w:rsidRPr="00EE7CF7">
              <w:rPr>
                <w:rFonts w:ascii="Arial" w:hAnsi="Arial" w:cs="Arial"/>
                <w:sz w:val="20"/>
              </w:rPr>
              <w:t>RUIM</w:t>
            </w:r>
          </w:p>
        </w:tc>
      </w:tr>
      <w:tr w:rsidR="005B091C" w:rsidRPr="00ED190A" w14:paraId="68E941E8" w14:textId="77777777" w:rsidTr="00B438F0">
        <w:trPr>
          <w:jc w:val="center"/>
        </w:trPr>
        <w:tc>
          <w:tcPr>
            <w:tcW w:w="1560" w:type="dxa"/>
            <w:vMerge/>
            <w:tcBorders>
              <w:top w:val="single" w:sz="4" w:space="0" w:color="000000"/>
              <w:left w:val="single" w:sz="12" w:space="0" w:color="auto"/>
              <w:bottom w:val="single" w:sz="4" w:space="0" w:color="000000"/>
              <w:right w:val="single" w:sz="4" w:space="0" w:color="000000"/>
            </w:tcBorders>
            <w:tcMar>
              <w:top w:w="0" w:type="dxa"/>
              <w:left w:w="0" w:type="dxa"/>
              <w:bottom w:w="0" w:type="dxa"/>
              <w:right w:w="0" w:type="dxa"/>
            </w:tcMar>
            <w:vAlign w:val="center"/>
          </w:tcPr>
          <w:p w14:paraId="6F349748" w14:textId="77777777" w:rsidR="005B091C" w:rsidRPr="00EE7CF7" w:rsidRDefault="005B091C" w:rsidP="00ED190A">
            <w:pPr>
              <w:widowControl w:val="0"/>
              <w:pBdr>
                <w:top w:val="nil"/>
                <w:left w:val="nil"/>
                <w:bottom w:val="nil"/>
                <w:right w:val="nil"/>
                <w:between w:val="nil"/>
              </w:pBdr>
              <w:jc w:val="center"/>
              <w:rPr>
                <w:rFonts w:ascii="Arial" w:hAnsi="Arial" w:cs="Arial"/>
                <w:sz w:val="20"/>
              </w:rPr>
            </w:pPr>
          </w:p>
        </w:tc>
        <w:tc>
          <w:tcPr>
            <w:tcW w:w="1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F9CA5F5" w14:textId="77777777" w:rsidR="005B091C" w:rsidRPr="00EE7CF7" w:rsidRDefault="005B091C" w:rsidP="00ED190A">
            <w:pPr>
              <w:jc w:val="center"/>
              <w:rPr>
                <w:rFonts w:ascii="Arial" w:hAnsi="Arial" w:cs="Arial"/>
                <w:sz w:val="20"/>
              </w:rPr>
            </w:pPr>
            <w:r w:rsidRPr="00EE7CF7">
              <w:rPr>
                <w:rFonts w:ascii="Arial" w:hAnsi="Arial" w:cs="Arial"/>
                <w:sz w:val="20"/>
              </w:rPr>
              <w:t>2.2</w:t>
            </w:r>
          </w:p>
        </w:tc>
        <w:tc>
          <w:tcPr>
            <w:tcW w:w="12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7978B22" w14:textId="77777777" w:rsidR="005B091C" w:rsidRPr="00EE7CF7" w:rsidRDefault="005B091C" w:rsidP="00ED190A">
            <w:pPr>
              <w:jc w:val="center"/>
              <w:rPr>
                <w:rFonts w:ascii="Arial" w:hAnsi="Arial" w:cs="Arial"/>
                <w:sz w:val="20"/>
              </w:rPr>
            </w:pPr>
            <w:r w:rsidRPr="00EE7CF7">
              <w:rPr>
                <w:rFonts w:ascii="Arial" w:hAnsi="Arial" w:cs="Arial"/>
                <w:sz w:val="20"/>
              </w:rPr>
              <w:t>20</w:t>
            </w:r>
          </w:p>
        </w:tc>
        <w:tc>
          <w:tcPr>
            <w:tcW w:w="3186" w:type="dxa"/>
            <w:vMerge/>
            <w:tcBorders>
              <w:left w:val="single" w:sz="4" w:space="0" w:color="000000"/>
              <w:right w:val="single" w:sz="12" w:space="0" w:color="auto"/>
            </w:tcBorders>
            <w:vAlign w:val="center"/>
          </w:tcPr>
          <w:p w14:paraId="1BC17D1B" w14:textId="77777777" w:rsidR="005B091C" w:rsidRPr="00EE7CF7" w:rsidRDefault="005B091C" w:rsidP="00ED190A">
            <w:pPr>
              <w:jc w:val="center"/>
              <w:rPr>
                <w:rFonts w:ascii="Arial" w:hAnsi="Arial" w:cs="Arial"/>
                <w:sz w:val="20"/>
              </w:rPr>
            </w:pPr>
          </w:p>
        </w:tc>
      </w:tr>
      <w:tr w:rsidR="005B091C" w:rsidRPr="00ED190A" w14:paraId="5A073E97" w14:textId="77777777" w:rsidTr="00B438F0">
        <w:trPr>
          <w:jc w:val="center"/>
        </w:trPr>
        <w:tc>
          <w:tcPr>
            <w:tcW w:w="1560" w:type="dxa"/>
            <w:vMerge/>
            <w:tcBorders>
              <w:top w:val="single" w:sz="4" w:space="0" w:color="000000"/>
              <w:left w:val="single" w:sz="12" w:space="0" w:color="auto"/>
              <w:bottom w:val="single" w:sz="4" w:space="0" w:color="000000"/>
              <w:right w:val="single" w:sz="4" w:space="0" w:color="000000"/>
            </w:tcBorders>
            <w:tcMar>
              <w:top w:w="0" w:type="dxa"/>
              <w:left w:w="0" w:type="dxa"/>
              <w:bottom w:w="0" w:type="dxa"/>
              <w:right w:w="0" w:type="dxa"/>
            </w:tcMar>
            <w:vAlign w:val="center"/>
          </w:tcPr>
          <w:p w14:paraId="57925DF6" w14:textId="77777777" w:rsidR="005B091C" w:rsidRPr="00EE7CF7" w:rsidRDefault="005B091C" w:rsidP="00ED190A">
            <w:pPr>
              <w:widowControl w:val="0"/>
              <w:pBdr>
                <w:top w:val="nil"/>
                <w:left w:val="nil"/>
                <w:bottom w:val="nil"/>
                <w:right w:val="nil"/>
                <w:between w:val="nil"/>
              </w:pBdr>
              <w:jc w:val="center"/>
              <w:rPr>
                <w:rFonts w:ascii="Arial" w:hAnsi="Arial" w:cs="Arial"/>
                <w:sz w:val="20"/>
              </w:rPr>
            </w:pPr>
          </w:p>
        </w:tc>
        <w:tc>
          <w:tcPr>
            <w:tcW w:w="1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52B89CD" w14:textId="77777777" w:rsidR="005B091C" w:rsidRPr="00EE7CF7" w:rsidRDefault="005B091C" w:rsidP="00ED190A">
            <w:pPr>
              <w:jc w:val="center"/>
              <w:rPr>
                <w:rFonts w:ascii="Arial" w:hAnsi="Arial" w:cs="Arial"/>
                <w:sz w:val="20"/>
              </w:rPr>
            </w:pPr>
            <w:r w:rsidRPr="00EE7CF7">
              <w:rPr>
                <w:rFonts w:ascii="Arial" w:hAnsi="Arial" w:cs="Arial"/>
                <w:sz w:val="20"/>
              </w:rPr>
              <w:t>2.3</w:t>
            </w:r>
          </w:p>
        </w:tc>
        <w:tc>
          <w:tcPr>
            <w:tcW w:w="12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2523260" w14:textId="77777777" w:rsidR="005B091C" w:rsidRPr="00EE7CF7" w:rsidRDefault="005B091C" w:rsidP="00ED190A">
            <w:pPr>
              <w:jc w:val="center"/>
              <w:rPr>
                <w:rFonts w:ascii="Arial" w:hAnsi="Arial" w:cs="Arial"/>
                <w:sz w:val="20"/>
              </w:rPr>
            </w:pPr>
            <w:r w:rsidRPr="00EE7CF7">
              <w:rPr>
                <w:rFonts w:ascii="Arial" w:hAnsi="Arial" w:cs="Arial"/>
                <w:sz w:val="20"/>
              </w:rPr>
              <w:t>0</w:t>
            </w:r>
          </w:p>
        </w:tc>
        <w:tc>
          <w:tcPr>
            <w:tcW w:w="3186" w:type="dxa"/>
            <w:vMerge/>
            <w:tcBorders>
              <w:left w:val="single" w:sz="4" w:space="0" w:color="000000"/>
              <w:right w:val="single" w:sz="12" w:space="0" w:color="auto"/>
            </w:tcBorders>
            <w:vAlign w:val="center"/>
          </w:tcPr>
          <w:p w14:paraId="7663497D" w14:textId="77777777" w:rsidR="005B091C" w:rsidRPr="00EE7CF7" w:rsidRDefault="005B091C" w:rsidP="00ED190A">
            <w:pPr>
              <w:jc w:val="center"/>
              <w:rPr>
                <w:rFonts w:ascii="Arial" w:hAnsi="Arial" w:cs="Arial"/>
                <w:sz w:val="20"/>
              </w:rPr>
            </w:pPr>
          </w:p>
        </w:tc>
      </w:tr>
      <w:tr w:rsidR="005B091C" w:rsidRPr="00ED190A" w14:paraId="2E7303E1" w14:textId="77777777" w:rsidTr="00B438F0">
        <w:trPr>
          <w:jc w:val="center"/>
        </w:trPr>
        <w:tc>
          <w:tcPr>
            <w:tcW w:w="1560" w:type="dxa"/>
            <w:vMerge/>
            <w:tcBorders>
              <w:top w:val="single" w:sz="4" w:space="0" w:color="000000"/>
              <w:left w:val="single" w:sz="12" w:space="0" w:color="auto"/>
              <w:bottom w:val="single" w:sz="4" w:space="0" w:color="000000"/>
              <w:right w:val="single" w:sz="4" w:space="0" w:color="000000"/>
            </w:tcBorders>
            <w:tcMar>
              <w:top w:w="0" w:type="dxa"/>
              <w:left w:w="0" w:type="dxa"/>
              <w:bottom w:w="0" w:type="dxa"/>
              <w:right w:w="0" w:type="dxa"/>
            </w:tcMar>
            <w:vAlign w:val="center"/>
          </w:tcPr>
          <w:p w14:paraId="62F8FC32" w14:textId="77777777" w:rsidR="005B091C" w:rsidRPr="00EE7CF7" w:rsidRDefault="005B091C" w:rsidP="00ED190A">
            <w:pPr>
              <w:widowControl w:val="0"/>
              <w:pBdr>
                <w:top w:val="nil"/>
                <w:left w:val="nil"/>
                <w:bottom w:val="nil"/>
                <w:right w:val="nil"/>
                <w:between w:val="nil"/>
              </w:pBdr>
              <w:jc w:val="center"/>
              <w:rPr>
                <w:rFonts w:ascii="Arial" w:hAnsi="Arial" w:cs="Arial"/>
                <w:sz w:val="20"/>
              </w:rPr>
            </w:pPr>
          </w:p>
        </w:tc>
        <w:tc>
          <w:tcPr>
            <w:tcW w:w="1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4F00619" w14:textId="77777777" w:rsidR="005B091C" w:rsidRPr="00EE7CF7" w:rsidRDefault="005B091C" w:rsidP="00ED190A">
            <w:pPr>
              <w:jc w:val="center"/>
              <w:rPr>
                <w:rFonts w:ascii="Arial" w:hAnsi="Arial" w:cs="Arial"/>
                <w:sz w:val="20"/>
              </w:rPr>
            </w:pPr>
            <w:r w:rsidRPr="00EE7CF7">
              <w:rPr>
                <w:rFonts w:ascii="Arial" w:hAnsi="Arial" w:cs="Arial"/>
                <w:sz w:val="20"/>
              </w:rPr>
              <w:t>2.4</w:t>
            </w:r>
          </w:p>
        </w:tc>
        <w:tc>
          <w:tcPr>
            <w:tcW w:w="12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726B132" w14:textId="77777777" w:rsidR="005B091C" w:rsidRPr="00EE7CF7" w:rsidRDefault="005B091C" w:rsidP="00ED190A">
            <w:pPr>
              <w:jc w:val="center"/>
              <w:rPr>
                <w:rFonts w:ascii="Arial" w:hAnsi="Arial" w:cs="Arial"/>
                <w:sz w:val="20"/>
              </w:rPr>
            </w:pPr>
            <w:r w:rsidRPr="00EE7CF7">
              <w:rPr>
                <w:rFonts w:ascii="Arial" w:hAnsi="Arial" w:cs="Arial"/>
                <w:sz w:val="20"/>
              </w:rPr>
              <w:t>0</w:t>
            </w:r>
          </w:p>
        </w:tc>
        <w:tc>
          <w:tcPr>
            <w:tcW w:w="3186" w:type="dxa"/>
            <w:vMerge/>
            <w:tcBorders>
              <w:left w:val="single" w:sz="4" w:space="0" w:color="000000"/>
              <w:right w:val="single" w:sz="12" w:space="0" w:color="auto"/>
            </w:tcBorders>
            <w:vAlign w:val="center"/>
          </w:tcPr>
          <w:p w14:paraId="726882E8" w14:textId="77777777" w:rsidR="005B091C" w:rsidRPr="00EE7CF7" w:rsidRDefault="005B091C" w:rsidP="00ED190A">
            <w:pPr>
              <w:jc w:val="center"/>
              <w:rPr>
                <w:rFonts w:ascii="Arial" w:hAnsi="Arial" w:cs="Arial"/>
                <w:sz w:val="20"/>
              </w:rPr>
            </w:pPr>
          </w:p>
        </w:tc>
      </w:tr>
      <w:tr w:rsidR="005B091C" w:rsidRPr="00ED190A" w14:paraId="28605D6F" w14:textId="77777777" w:rsidTr="00B438F0">
        <w:trPr>
          <w:jc w:val="center"/>
        </w:trPr>
        <w:tc>
          <w:tcPr>
            <w:tcW w:w="1560" w:type="dxa"/>
            <w:vMerge/>
            <w:tcBorders>
              <w:top w:val="single" w:sz="4" w:space="0" w:color="000000"/>
              <w:left w:val="single" w:sz="12" w:space="0" w:color="auto"/>
              <w:bottom w:val="single" w:sz="4" w:space="0" w:color="000000"/>
              <w:right w:val="single" w:sz="4" w:space="0" w:color="000000"/>
            </w:tcBorders>
            <w:tcMar>
              <w:top w:w="0" w:type="dxa"/>
              <w:left w:w="0" w:type="dxa"/>
              <w:bottom w:w="0" w:type="dxa"/>
              <w:right w:w="0" w:type="dxa"/>
            </w:tcMar>
            <w:vAlign w:val="center"/>
          </w:tcPr>
          <w:p w14:paraId="0D68A37C" w14:textId="77777777" w:rsidR="005B091C" w:rsidRPr="00EE7CF7" w:rsidRDefault="005B091C" w:rsidP="00ED190A">
            <w:pPr>
              <w:widowControl w:val="0"/>
              <w:pBdr>
                <w:top w:val="nil"/>
                <w:left w:val="nil"/>
                <w:bottom w:val="nil"/>
                <w:right w:val="nil"/>
                <w:between w:val="nil"/>
              </w:pBdr>
              <w:jc w:val="center"/>
              <w:rPr>
                <w:rFonts w:ascii="Arial" w:hAnsi="Arial" w:cs="Arial"/>
                <w:sz w:val="20"/>
              </w:rPr>
            </w:pPr>
          </w:p>
        </w:tc>
        <w:tc>
          <w:tcPr>
            <w:tcW w:w="1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254903C" w14:textId="77777777" w:rsidR="005B091C" w:rsidRPr="00EE7CF7" w:rsidRDefault="005B091C" w:rsidP="00ED190A">
            <w:pPr>
              <w:jc w:val="center"/>
              <w:rPr>
                <w:rFonts w:ascii="Arial" w:hAnsi="Arial" w:cs="Arial"/>
                <w:sz w:val="20"/>
              </w:rPr>
            </w:pPr>
            <w:r w:rsidRPr="00EE7CF7">
              <w:rPr>
                <w:rFonts w:ascii="Arial" w:hAnsi="Arial" w:cs="Arial"/>
                <w:sz w:val="20"/>
              </w:rPr>
              <w:t>TESTE (i)</w:t>
            </w:r>
          </w:p>
        </w:tc>
        <w:tc>
          <w:tcPr>
            <w:tcW w:w="12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12E0C84" w14:textId="77777777" w:rsidR="005B091C" w:rsidRPr="00EE7CF7" w:rsidRDefault="005B091C" w:rsidP="00ED190A">
            <w:pPr>
              <w:jc w:val="center"/>
              <w:rPr>
                <w:rFonts w:ascii="Arial" w:hAnsi="Arial" w:cs="Arial"/>
                <w:sz w:val="20"/>
              </w:rPr>
            </w:pPr>
            <w:r w:rsidRPr="00EE7CF7">
              <w:rPr>
                <w:rFonts w:ascii="Arial" w:hAnsi="Arial" w:cs="Arial"/>
                <w:sz w:val="20"/>
              </w:rPr>
              <w:t>OK</w:t>
            </w:r>
          </w:p>
        </w:tc>
        <w:tc>
          <w:tcPr>
            <w:tcW w:w="3186" w:type="dxa"/>
            <w:vMerge/>
            <w:tcBorders>
              <w:left w:val="single" w:sz="4" w:space="0" w:color="000000"/>
              <w:right w:val="single" w:sz="12" w:space="0" w:color="auto"/>
            </w:tcBorders>
            <w:vAlign w:val="center"/>
          </w:tcPr>
          <w:p w14:paraId="5EA2D8B4" w14:textId="77777777" w:rsidR="005B091C" w:rsidRPr="00EE7CF7" w:rsidRDefault="005B091C" w:rsidP="00ED190A">
            <w:pPr>
              <w:jc w:val="center"/>
              <w:rPr>
                <w:rFonts w:ascii="Arial" w:hAnsi="Arial" w:cs="Arial"/>
                <w:sz w:val="20"/>
              </w:rPr>
            </w:pPr>
          </w:p>
        </w:tc>
      </w:tr>
      <w:tr w:rsidR="005B091C" w:rsidRPr="00ED190A" w14:paraId="70072CDE" w14:textId="77777777" w:rsidTr="00B438F0">
        <w:trPr>
          <w:jc w:val="center"/>
        </w:trPr>
        <w:tc>
          <w:tcPr>
            <w:tcW w:w="1560" w:type="dxa"/>
            <w:vMerge/>
            <w:tcBorders>
              <w:top w:val="single" w:sz="4" w:space="0" w:color="000000"/>
              <w:left w:val="single" w:sz="12" w:space="0" w:color="auto"/>
              <w:bottom w:val="single" w:sz="4" w:space="0" w:color="000000"/>
              <w:right w:val="single" w:sz="4" w:space="0" w:color="000000"/>
            </w:tcBorders>
            <w:tcMar>
              <w:top w:w="0" w:type="dxa"/>
              <w:left w:w="0" w:type="dxa"/>
              <w:bottom w:w="0" w:type="dxa"/>
              <w:right w:w="0" w:type="dxa"/>
            </w:tcMar>
            <w:vAlign w:val="center"/>
          </w:tcPr>
          <w:p w14:paraId="13ED2F36" w14:textId="77777777" w:rsidR="005B091C" w:rsidRPr="00EE7CF7" w:rsidRDefault="005B091C" w:rsidP="00ED190A">
            <w:pPr>
              <w:widowControl w:val="0"/>
              <w:pBdr>
                <w:top w:val="nil"/>
                <w:left w:val="nil"/>
                <w:bottom w:val="nil"/>
                <w:right w:val="nil"/>
                <w:between w:val="nil"/>
              </w:pBdr>
              <w:jc w:val="center"/>
              <w:rPr>
                <w:rFonts w:ascii="Arial" w:hAnsi="Arial" w:cs="Arial"/>
                <w:sz w:val="20"/>
              </w:rPr>
            </w:pPr>
          </w:p>
        </w:tc>
        <w:tc>
          <w:tcPr>
            <w:tcW w:w="1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D38F3D3" w14:textId="77777777" w:rsidR="005B091C" w:rsidRPr="00EE7CF7" w:rsidRDefault="005B091C" w:rsidP="00ED190A">
            <w:pPr>
              <w:jc w:val="center"/>
              <w:rPr>
                <w:rFonts w:ascii="Arial" w:hAnsi="Arial" w:cs="Arial"/>
                <w:sz w:val="20"/>
              </w:rPr>
            </w:pPr>
            <w:r w:rsidRPr="00EE7CF7">
              <w:rPr>
                <w:rFonts w:ascii="Arial" w:hAnsi="Arial" w:cs="Arial"/>
                <w:sz w:val="20"/>
              </w:rPr>
              <w:t>TESTE (ii)</w:t>
            </w:r>
          </w:p>
        </w:tc>
        <w:tc>
          <w:tcPr>
            <w:tcW w:w="12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CEEAAE2" w14:textId="77777777" w:rsidR="005B091C" w:rsidRPr="00EE7CF7" w:rsidRDefault="005B091C" w:rsidP="00ED190A">
            <w:pPr>
              <w:jc w:val="center"/>
              <w:rPr>
                <w:rFonts w:ascii="Arial" w:hAnsi="Arial" w:cs="Arial"/>
                <w:sz w:val="20"/>
              </w:rPr>
            </w:pPr>
            <w:r w:rsidRPr="00EE7CF7">
              <w:rPr>
                <w:rFonts w:ascii="Arial" w:hAnsi="Arial" w:cs="Arial"/>
                <w:sz w:val="20"/>
              </w:rPr>
              <w:t>NÃO OK</w:t>
            </w:r>
          </w:p>
        </w:tc>
        <w:tc>
          <w:tcPr>
            <w:tcW w:w="3186" w:type="dxa"/>
            <w:vMerge/>
            <w:tcBorders>
              <w:left w:val="single" w:sz="4" w:space="0" w:color="000000"/>
              <w:right w:val="single" w:sz="12" w:space="0" w:color="auto"/>
            </w:tcBorders>
            <w:vAlign w:val="center"/>
          </w:tcPr>
          <w:p w14:paraId="4B1E9A02" w14:textId="77777777" w:rsidR="005B091C" w:rsidRPr="00EE7CF7" w:rsidRDefault="005B091C" w:rsidP="00ED190A">
            <w:pPr>
              <w:jc w:val="center"/>
              <w:rPr>
                <w:rFonts w:ascii="Arial" w:hAnsi="Arial" w:cs="Arial"/>
                <w:sz w:val="20"/>
              </w:rPr>
            </w:pPr>
          </w:p>
        </w:tc>
      </w:tr>
      <w:tr w:rsidR="005B091C" w:rsidRPr="00ED190A" w14:paraId="75135317" w14:textId="77777777" w:rsidTr="00B438F0">
        <w:trPr>
          <w:jc w:val="center"/>
        </w:trPr>
        <w:tc>
          <w:tcPr>
            <w:tcW w:w="1560" w:type="dxa"/>
            <w:vMerge/>
            <w:tcBorders>
              <w:top w:val="single" w:sz="4" w:space="0" w:color="000000"/>
              <w:left w:val="single" w:sz="12" w:space="0" w:color="auto"/>
              <w:bottom w:val="single" w:sz="4" w:space="0" w:color="000000"/>
              <w:right w:val="single" w:sz="4" w:space="0" w:color="000000"/>
            </w:tcBorders>
            <w:tcMar>
              <w:top w:w="0" w:type="dxa"/>
              <w:left w:w="0" w:type="dxa"/>
              <w:bottom w:w="0" w:type="dxa"/>
              <w:right w:w="0" w:type="dxa"/>
            </w:tcMar>
            <w:vAlign w:val="center"/>
          </w:tcPr>
          <w:p w14:paraId="5E51414C" w14:textId="77777777" w:rsidR="005B091C" w:rsidRPr="00EE7CF7" w:rsidRDefault="005B091C" w:rsidP="00ED190A">
            <w:pPr>
              <w:widowControl w:val="0"/>
              <w:pBdr>
                <w:top w:val="nil"/>
                <w:left w:val="nil"/>
                <w:bottom w:val="nil"/>
                <w:right w:val="nil"/>
                <w:between w:val="nil"/>
              </w:pBdr>
              <w:jc w:val="center"/>
              <w:rPr>
                <w:rFonts w:ascii="Arial" w:hAnsi="Arial" w:cs="Arial"/>
                <w:sz w:val="20"/>
              </w:rPr>
            </w:pPr>
          </w:p>
        </w:tc>
        <w:tc>
          <w:tcPr>
            <w:tcW w:w="1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E42FC2A" w14:textId="77777777" w:rsidR="005B091C" w:rsidRPr="00EE7CF7" w:rsidRDefault="005B091C" w:rsidP="00ED190A">
            <w:pPr>
              <w:jc w:val="center"/>
              <w:rPr>
                <w:rFonts w:ascii="Arial" w:hAnsi="Arial" w:cs="Arial"/>
                <w:sz w:val="20"/>
              </w:rPr>
            </w:pPr>
            <w:r w:rsidRPr="00EE7CF7">
              <w:rPr>
                <w:rFonts w:ascii="Arial" w:hAnsi="Arial" w:cs="Arial"/>
                <w:sz w:val="20"/>
              </w:rPr>
              <w:t>TESTE (iii)</w:t>
            </w:r>
          </w:p>
        </w:tc>
        <w:tc>
          <w:tcPr>
            <w:tcW w:w="12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AD0C541" w14:textId="77777777" w:rsidR="005B091C" w:rsidRPr="00EE7CF7" w:rsidRDefault="005B091C" w:rsidP="00ED190A">
            <w:pPr>
              <w:jc w:val="center"/>
              <w:rPr>
                <w:rFonts w:ascii="Arial" w:hAnsi="Arial" w:cs="Arial"/>
                <w:sz w:val="20"/>
              </w:rPr>
            </w:pPr>
            <w:r w:rsidRPr="00EE7CF7">
              <w:rPr>
                <w:rFonts w:ascii="Arial" w:hAnsi="Arial" w:cs="Arial"/>
                <w:sz w:val="20"/>
              </w:rPr>
              <w:t>NÃO OK</w:t>
            </w:r>
          </w:p>
        </w:tc>
        <w:tc>
          <w:tcPr>
            <w:tcW w:w="3186" w:type="dxa"/>
            <w:vMerge/>
            <w:tcBorders>
              <w:left w:val="single" w:sz="4" w:space="0" w:color="000000"/>
              <w:right w:val="single" w:sz="12" w:space="0" w:color="auto"/>
            </w:tcBorders>
            <w:vAlign w:val="center"/>
          </w:tcPr>
          <w:p w14:paraId="562C1AF7" w14:textId="77777777" w:rsidR="005B091C" w:rsidRPr="00EE7CF7" w:rsidRDefault="005B091C" w:rsidP="00ED190A">
            <w:pPr>
              <w:jc w:val="center"/>
              <w:rPr>
                <w:rFonts w:ascii="Arial" w:hAnsi="Arial" w:cs="Arial"/>
                <w:sz w:val="20"/>
              </w:rPr>
            </w:pPr>
          </w:p>
        </w:tc>
      </w:tr>
      <w:tr w:rsidR="005B091C" w:rsidRPr="00ED190A" w14:paraId="0B2A02AB" w14:textId="77777777" w:rsidTr="00B438F0">
        <w:trPr>
          <w:jc w:val="center"/>
        </w:trPr>
        <w:tc>
          <w:tcPr>
            <w:tcW w:w="1560" w:type="dxa"/>
            <w:vMerge/>
            <w:tcBorders>
              <w:top w:val="single" w:sz="4" w:space="0" w:color="000000"/>
              <w:left w:val="single" w:sz="12" w:space="0" w:color="auto"/>
              <w:bottom w:val="single" w:sz="4" w:space="0" w:color="000000"/>
              <w:right w:val="single" w:sz="4" w:space="0" w:color="000000"/>
            </w:tcBorders>
            <w:tcMar>
              <w:top w:w="0" w:type="dxa"/>
              <w:left w:w="0" w:type="dxa"/>
              <w:bottom w:w="0" w:type="dxa"/>
              <w:right w:w="0" w:type="dxa"/>
            </w:tcMar>
            <w:vAlign w:val="center"/>
          </w:tcPr>
          <w:p w14:paraId="01677FA3" w14:textId="77777777" w:rsidR="005B091C" w:rsidRPr="00EE7CF7" w:rsidRDefault="005B091C" w:rsidP="00ED190A">
            <w:pPr>
              <w:widowControl w:val="0"/>
              <w:pBdr>
                <w:top w:val="nil"/>
                <w:left w:val="nil"/>
                <w:bottom w:val="nil"/>
                <w:right w:val="nil"/>
                <w:between w:val="nil"/>
              </w:pBdr>
              <w:jc w:val="center"/>
              <w:rPr>
                <w:rFonts w:ascii="Arial" w:hAnsi="Arial" w:cs="Arial"/>
                <w:sz w:val="20"/>
              </w:rPr>
            </w:pPr>
          </w:p>
        </w:tc>
        <w:tc>
          <w:tcPr>
            <w:tcW w:w="290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A984171" w14:textId="77777777" w:rsidR="005B091C" w:rsidRPr="00EE7CF7" w:rsidRDefault="005B091C" w:rsidP="00ED190A">
            <w:pPr>
              <w:jc w:val="center"/>
              <w:rPr>
                <w:rFonts w:ascii="Arial" w:hAnsi="Arial" w:cs="Arial"/>
                <w:sz w:val="20"/>
              </w:rPr>
            </w:pPr>
            <w:r w:rsidRPr="00EE7CF7">
              <w:rPr>
                <w:rFonts w:ascii="Arial" w:hAnsi="Arial" w:cs="Arial"/>
                <w:sz w:val="20"/>
              </w:rPr>
              <w:t>TOTAL = 40</w:t>
            </w:r>
          </w:p>
        </w:tc>
        <w:tc>
          <w:tcPr>
            <w:tcW w:w="3186" w:type="dxa"/>
            <w:vMerge/>
            <w:tcBorders>
              <w:left w:val="single" w:sz="4" w:space="0" w:color="000000"/>
              <w:bottom w:val="single" w:sz="4" w:space="0" w:color="000000"/>
              <w:right w:val="single" w:sz="12" w:space="0" w:color="auto"/>
            </w:tcBorders>
            <w:vAlign w:val="center"/>
          </w:tcPr>
          <w:p w14:paraId="3E1372DB" w14:textId="77777777" w:rsidR="005B091C" w:rsidRPr="00EE7CF7" w:rsidRDefault="005B091C" w:rsidP="00ED190A">
            <w:pPr>
              <w:jc w:val="center"/>
              <w:rPr>
                <w:rFonts w:ascii="Arial" w:hAnsi="Arial" w:cs="Arial"/>
                <w:sz w:val="20"/>
              </w:rPr>
            </w:pPr>
          </w:p>
        </w:tc>
      </w:tr>
      <w:tr w:rsidR="005B091C" w:rsidRPr="00ED190A" w14:paraId="58682E71" w14:textId="77777777" w:rsidTr="00B438F0">
        <w:trPr>
          <w:jc w:val="center"/>
        </w:trPr>
        <w:tc>
          <w:tcPr>
            <w:tcW w:w="1560" w:type="dxa"/>
            <w:vMerge w:val="restart"/>
            <w:tcBorders>
              <w:top w:val="single" w:sz="4" w:space="0" w:color="000000"/>
              <w:left w:val="single" w:sz="12" w:space="0" w:color="auto"/>
              <w:bottom w:val="single" w:sz="4" w:space="0" w:color="000000"/>
              <w:right w:val="single" w:sz="4" w:space="0" w:color="000000"/>
            </w:tcBorders>
            <w:tcMar>
              <w:top w:w="0" w:type="dxa"/>
              <w:left w:w="0" w:type="dxa"/>
              <w:bottom w:w="0" w:type="dxa"/>
              <w:right w:w="0" w:type="dxa"/>
            </w:tcMar>
            <w:vAlign w:val="center"/>
          </w:tcPr>
          <w:p w14:paraId="65B51C0E" w14:textId="77777777" w:rsidR="005B091C" w:rsidRPr="00EE7CF7" w:rsidRDefault="005B091C" w:rsidP="00ED190A">
            <w:pPr>
              <w:jc w:val="center"/>
              <w:rPr>
                <w:rFonts w:ascii="Arial" w:hAnsi="Arial" w:cs="Arial"/>
                <w:sz w:val="20"/>
                <w:lang w:val="pt-BR"/>
              </w:rPr>
            </w:pPr>
          </w:p>
          <w:p w14:paraId="70023F4B" w14:textId="77777777" w:rsidR="005B091C" w:rsidRPr="00EE7CF7" w:rsidRDefault="005B091C" w:rsidP="00ED190A">
            <w:pPr>
              <w:jc w:val="center"/>
              <w:rPr>
                <w:rFonts w:ascii="Arial" w:hAnsi="Arial" w:cs="Arial"/>
                <w:sz w:val="20"/>
                <w:lang w:val="pt-BR"/>
              </w:rPr>
            </w:pPr>
            <w:r w:rsidRPr="00EE7CF7">
              <w:rPr>
                <w:rFonts w:ascii="Arial" w:hAnsi="Arial" w:cs="Arial"/>
                <w:sz w:val="20"/>
                <w:lang w:val="pt-BR"/>
              </w:rPr>
              <w:lastRenderedPageBreak/>
              <w:t>3 Existência de meios de subsistência e oportunidades suficientes</w:t>
            </w:r>
          </w:p>
        </w:tc>
        <w:tc>
          <w:tcPr>
            <w:tcW w:w="1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14303E7" w14:textId="77777777" w:rsidR="005B091C" w:rsidRPr="00EE7CF7" w:rsidRDefault="005B091C" w:rsidP="00ED190A">
            <w:pPr>
              <w:jc w:val="center"/>
              <w:rPr>
                <w:rFonts w:ascii="Arial" w:hAnsi="Arial" w:cs="Arial"/>
                <w:sz w:val="20"/>
              </w:rPr>
            </w:pPr>
            <w:r w:rsidRPr="00EE7CF7">
              <w:rPr>
                <w:rFonts w:ascii="Arial" w:hAnsi="Arial" w:cs="Arial"/>
                <w:sz w:val="20"/>
              </w:rPr>
              <w:lastRenderedPageBreak/>
              <w:t>3.1</w:t>
            </w:r>
          </w:p>
        </w:tc>
        <w:tc>
          <w:tcPr>
            <w:tcW w:w="12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2F97EE0" w14:textId="77777777" w:rsidR="005B091C" w:rsidRPr="00EE7CF7" w:rsidRDefault="005B091C" w:rsidP="00ED190A">
            <w:pPr>
              <w:jc w:val="center"/>
              <w:rPr>
                <w:rFonts w:ascii="Arial" w:hAnsi="Arial" w:cs="Arial"/>
                <w:sz w:val="20"/>
              </w:rPr>
            </w:pPr>
            <w:r w:rsidRPr="00EE7CF7">
              <w:rPr>
                <w:rFonts w:ascii="Arial" w:hAnsi="Arial" w:cs="Arial"/>
                <w:sz w:val="20"/>
              </w:rPr>
              <w:t>10</w:t>
            </w:r>
          </w:p>
        </w:tc>
        <w:tc>
          <w:tcPr>
            <w:tcW w:w="3186" w:type="dxa"/>
            <w:vMerge w:val="restart"/>
            <w:tcBorders>
              <w:top w:val="single" w:sz="4" w:space="0" w:color="000000"/>
              <w:left w:val="single" w:sz="4" w:space="0" w:color="000000"/>
              <w:right w:val="single" w:sz="12" w:space="0" w:color="auto"/>
            </w:tcBorders>
            <w:vAlign w:val="center"/>
          </w:tcPr>
          <w:p w14:paraId="03482A68" w14:textId="77777777" w:rsidR="005B091C" w:rsidRPr="00EE7CF7" w:rsidRDefault="005B091C" w:rsidP="00ED190A">
            <w:pPr>
              <w:rPr>
                <w:rFonts w:ascii="Arial" w:hAnsi="Arial" w:cs="Arial"/>
                <w:sz w:val="20"/>
              </w:rPr>
            </w:pPr>
          </w:p>
          <w:p w14:paraId="028F8EDC" w14:textId="77777777" w:rsidR="005B091C" w:rsidRPr="00EE7CF7" w:rsidRDefault="005B091C" w:rsidP="00ED190A">
            <w:pPr>
              <w:jc w:val="center"/>
              <w:rPr>
                <w:rFonts w:ascii="Arial" w:hAnsi="Arial" w:cs="Arial"/>
                <w:sz w:val="20"/>
              </w:rPr>
            </w:pPr>
            <w:r w:rsidRPr="00EE7CF7">
              <w:rPr>
                <w:rFonts w:ascii="Arial" w:hAnsi="Arial" w:cs="Arial"/>
                <w:sz w:val="20"/>
              </w:rPr>
              <w:t>RUIM</w:t>
            </w:r>
          </w:p>
        </w:tc>
      </w:tr>
      <w:tr w:rsidR="005B091C" w:rsidRPr="00ED190A" w14:paraId="1C0532E4" w14:textId="77777777" w:rsidTr="00B438F0">
        <w:trPr>
          <w:jc w:val="center"/>
        </w:trPr>
        <w:tc>
          <w:tcPr>
            <w:tcW w:w="1560" w:type="dxa"/>
            <w:vMerge/>
            <w:tcBorders>
              <w:top w:val="single" w:sz="4" w:space="0" w:color="000000"/>
              <w:left w:val="single" w:sz="12" w:space="0" w:color="auto"/>
              <w:bottom w:val="single" w:sz="4" w:space="0" w:color="000000"/>
              <w:right w:val="single" w:sz="4" w:space="0" w:color="000000"/>
            </w:tcBorders>
            <w:tcMar>
              <w:top w:w="0" w:type="dxa"/>
              <w:left w:w="0" w:type="dxa"/>
              <w:bottom w:w="0" w:type="dxa"/>
              <w:right w:w="0" w:type="dxa"/>
            </w:tcMar>
            <w:vAlign w:val="center"/>
          </w:tcPr>
          <w:p w14:paraId="2FCA8F72" w14:textId="77777777" w:rsidR="005B091C" w:rsidRPr="00EE7CF7" w:rsidRDefault="005B091C" w:rsidP="00ED190A">
            <w:pPr>
              <w:widowControl w:val="0"/>
              <w:pBdr>
                <w:top w:val="nil"/>
                <w:left w:val="nil"/>
                <w:bottom w:val="nil"/>
                <w:right w:val="nil"/>
                <w:between w:val="nil"/>
              </w:pBdr>
              <w:jc w:val="center"/>
              <w:rPr>
                <w:rFonts w:ascii="Arial" w:hAnsi="Arial" w:cs="Arial"/>
                <w:sz w:val="20"/>
              </w:rPr>
            </w:pPr>
          </w:p>
        </w:tc>
        <w:tc>
          <w:tcPr>
            <w:tcW w:w="1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8EDD7EB" w14:textId="77777777" w:rsidR="005B091C" w:rsidRPr="00EE7CF7" w:rsidRDefault="005B091C" w:rsidP="00ED190A">
            <w:pPr>
              <w:jc w:val="center"/>
              <w:rPr>
                <w:rFonts w:ascii="Arial" w:hAnsi="Arial" w:cs="Arial"/>
                <w:sz w:val="20"/>
              </w:rPr>
            </w:pPr>
            <w:r w:rsidRPr="00EE7CF7">
              <w:rPr>
                <w:rFonts w:ascii="Arial" w:hAnsi="Arial" w:cs="Arial"/>
                <w:sz w:val="20"/>
              </w:rPr>
              <w:t>3.2</w:t>
            </w:r>
          </w:p>
        </w:tc>
        <w:tc>
          <w:tcPr>
            <w:tcW w:w="12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80FB22" w14:textId="77777777" w:rsidR="005B091C" w:rsidRPr="00EE7CF7" w:rsidRDefault="005B091C" w:rsidP="00ED190A">
            <w:pPr>
              <w:jc w:val="center"/>
              <w:rPr>
                <w:rFonts w:ascii="Arial" w:hAnsi="Arial" w:cs="Arial"/>
                <w:sz w:val="20"/>
              </w:rPr>
            </w:pPr>
            <w:r w:rsidRPr="00EE7CF7">
              <w:rPr>
                <w:rFonts w:ascii="Arial" w:hAnsi="Arial" w:cs="Arial"/>
                <w:sz w:val="20"/>
              </w:rPr>
              <w:t>10</w:t>
            </w:r>
          </w:p>
        </w:tc>
        <w:tc>
          <w:tcPr>
            <w:tcW w:w="3186" w:type="dxa"/>
            <w:vMerge/>
            <w:tcBorders>
              <w:left w:val="single" w:sz="4" w:space="0" w:color="000000"/>
              <w:right w:val="single" w:sz="12" w:space="0" w:color="auto"/>
            </w:tcBorders>
            <w:vAlign w:val="center"/>
          </w:tcPr>
          <w:p w14:paraId="1A2F1A00" w14:textId="77777777" w:rsidR="005B091C" w:rsidRPr="00EE7CF7" w:rsidRDefault="005B091C" w:rsidP="00ED190A">
            <w:pPr>
              <w:jc w:val="center"/>
              <w:rPr>
                <w:rFonts w:ascii="Arial" w:hAnsi="Arial" w:cs="Arial"/>
                <w:sz w:val="20"/>
              </w:rPr>
            </w:pPr>
          </w:p>
        </w:tc>
      </w:tr>
      <w:tr w:rsidR="005B091C" w:rsidRPr="00ED190A" w14:paraId="28120734" w14:textId="77777777" w:rsidTr="00B438F0">
        <w:trPr>
          <w:jc w:val="center"/>
        </w:trPr>
        <w:tc>
          <w:tcPr>
            <w:tcW w:w="1560" w:type="dxa"/>
            <w:vMerge/>
            <w:tcBorders>
              <w:top w:val="single" w:sz="4" w:space="0" w:color="000000"/>
              <w:left w:val="single" w:sz="12" w:space="0" w:color="auto"/>
              <w:bottom w:val="single" w:sz="4" w:space="0" w:color="000000"/>
              <w:right w:val="single" w:sz="4" w:space="0" w:color="000000"/>
            </w:tcBorders>
            <w:tcMar>
              <w:top w:w="0" w:type="dxa"/>
              <w:left w:w="0" w:type="dxa"/>
              <w:bottom w:w="0" w:type="dxa"/>
              <w:right w:w="0" w:type="dxa"/>
            </w:tcMar>
            <w:vAlign w:val="center"/>
          </w:tcPr>
          <w:p w14:paraId="0E7E13D9" w14:textId="77777777" w:rsidR="005B091C" w:rsidRPr="00EE7CF7" w:rsidRDefault="005B091C" w:rsidP="00ED190A">
            <w:pPr>
              <w:widowControl w:val="0"/>
              <w:pBdr>
                <w:top w:val="nil"/>
                <w:left w:val="nil"/>
                <w:bottom w:val="nil"/>
                <w:right w:val="nil"/>
                <w:between w:val="nil"/>
              </w:pBdr>
              <w:jc w:val="center"/>
              <w:rPr>
                <w:rFonts w:ascii="Arial" w:hAnsi="Arial" w:cs="Arial"/>
                <w:sz w:val="20"/>
              </w:rPr>
            </w:pPr>
          </w:p>
        </w:tc>
        <w:tc>
          <w:tcPr>
            <w:tcW w:w="1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5CC1618" w14:textId="77777777" w:rsidR="005B091C" w:rsidRPr="00EE7CF7" w:rsidRDefault="005B091C" w:rsidP="00ED190A">
            <w:pPr>
              <w:jc w:val="center"/>
              <w:rPr>
                <w:rFonts w:ascii="Arial" w:hAnsi="Arial" w:cs="Arial"/>
                <w:sz w:val="20"/>
              </w:rPr>
            </w:pPr>
            <w:r w:rsidRPr="00EE7CF7">
              <w:rPr>
                <w:rFonts w:ascii="Arial" w:hAnsi="Arial" w:cs="Arial"/>
                <w:sz w:val="20"/>
              </w:rPr>
              <w:t>3.3</w:t>
            </w:r>
          </w:p>
        </w:tc>
        <w:tc>
          <w:tcPr>
            <w:tcW w:w="12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1785B47" w14:textId="77777777" w:rsidR="005B091C" w:rsidRPr="00EE7CF7" w:rsidRDefault="005B091C" w:rsidP="00ED190A">
            <w:pPr>
              <w:jc w:val="center"/>
              <w:rPr>
                <w:rFonts w:ascii="Arial" w:hAnsi="Arial" w:cs="Arial"/>
                <w:sz w:val="20"/>
              </w:rPr>
            </w:pPr>
            <w:r w:rsidRPr="00EE7CF7">
              <w:rPr>
                <w:rFonts w:ascii="Arial" w:hAnsi="Arial" w:cs="Arial"/>
                <w:sz w:val="20"/>
              </w:rPr>
              <w:t>20</w:t>
            </w:r>
          </w:p>
        </w:tc>
        <w:tc>
          <w:tcPr>
            <w:tcW w:w="3186" w:type="dxa"/>
            <w:vMerge/>
            <w:tcBorders>
              <w:left w:val="single" w:sz="4" w:space="0" w:color="000000"/>
              <w:right w:val="single" w:sz="12" w:space="0" w:color="auto"/>
            </w:tcBorders>
            <w:vAlign w:val="center"/>
          </w:tcPr>
          <w:p w14:paraId="1152945A" w14:textId="77777777" w:rsidR="005B091C" w:rsidRPr="00EE7CF7" w:rsidRDefault="005B091C" w:rsidP="00ED190A">
            <w:pPr>
              <w:jc w:val="center"/>
              <w:rPr>
                <w:rFonts w:ascii="Arial" w:hAnsi="Arial" w:cs="Arial"/>
                <w:sz w:val="20"/>
              </w:rPr>
            </w:pPr>
          </w:p>
        </w:tc>
      </w:tr>
      <w:tr w:rsidR="005B091C" w:rsidRPr="00ED190A" w14:paraId="1CAF73B8" w14:textId="77777777" w:rsidTr="00B438F0">
        <w:trPr>
          <w:jc w:val="center"/>
        </w:trPr>
        <w:tc>
          <w:tcPr>
            <w:tcW w:w="1560" w:type="dxa"/>
            <w:vMerge/>
            <w:tcBorders>
              <w:top w:val="single" w:sz="4" w:space="0" w:color="000000"/>
              <w:left w:val="single" w:sz="12" w:space="0" w:color="auto"/>
              <w:bottom w:val="single" w:sz="4" w:space="0" w:color="000000"/>
              <w:right w:val="single" w:sz="4" w:space="0" w:color="000000"/>
            </w:tcBorders>
            <w:tcMar>
              <w:top w:w="0" w:type="dxa"/>
              <w:left w:w="0" w:type="dxa"/>
              <w:bottom w:w="0" w:type="dxa"/>
              <w:right w:w="0" w:type="dxa"/>
            </w:tcMar>
            <w:vAlign w:val="center"/>
          </w:tcPr>
          <w:p w14:paraId="56AB2CCE" w14:textId="77777777" w:rsidR="005B091C" w:rsidRPr="00EE7CF7" w:rsidRDefault="005B091C" w:rsidP="00ED190A">
            <w:pPr>
              <w:widowControl w:val="0"/>
              <w:pBdr>
                <w:top w:val="nil"/>
                <w:left w:val="nil"/>
                <w:bottom w:val="nil"/>
                <w:right w:val="nil"/>
                <w:between w:val="nil"/>
              </w:pBdr>
              <w:jc w:val="center"/>
              <w:rPr>
                <w:rFonts w:ascii="Arial" w:hAnsi="Arial" w:cs="Arial"/>
                <w:sz w:val="20"/>
              </w:rPr>
            </w:pPr>
          </w:p>
        </w:tc>
        <w:tc>
          <w:tcPr>
            <w:tcW w:w="1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FE2CFA5" w14:textId="77777777" w:rsidR="005B091C" w:rsidRPr="00EE7CF7" w:rsidRDefault="005B091C" w:rsidP="00ED190A">
            <w:pPr>
              <w:jc w:val="center"/>
              <w:rPr>
                <w:rFonts w:ascii="Arial" w:hAnsi="Arial" w:cs="Arial"/>
                <w:sz w:val="20"/>
              </w:rPr>
            </w:pPr>
            <w:r w:rsidRPr="00EE7CF7">
              <w:rPr>
                <w:rFonts w:ascii="Arial" w:hAnsi="Arial" w:cs="Arial"/>
                <w:sz w:val="20"/>
              </w:rPr>
              <w:t>3.4</w:t>
            </w:r>
          </w:p>
        </w:tc>
        <w:tc>
          <w:tcPr>
            <w:tcW w:w="12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B44F3F6" w14:textId="77777777" w:rsidR="005B091C" w:rsidRPr="00EE7CF7" w:rsidRDefault="005B091C" w:rsidP="00ED190A">
            <w:pPr>
              <w:jc w:val="center"/>
              <w:rPr>
                <w:rFonts w:ascii="Arial" w:hAnsi="Arial" w:cs="Arial"/>
                <w:sz w:val="20"/>
              </w:rPr>
            </w:pPr>
            <w:r w:rsidRPr="00EE7CF7">
              <w:rPr>
                <w:rFonts w:ascii="Arial" w:hAnsi="Arial" w:cs="Arial"/>
                <w:sz w:val="20"/>
              </w:rPr>
              <w:t>0</w:t>
            </w:r>
          </w:p>
        </w:tc>
        <w:tc>
          <w:tcPr>
            <w:tcW w:w="3186" w:type="dxa"/>
            <w:vMerge/>
            <w:tcBorders>
              <w:left w:val="single" w:sz="4" w:space="0" w:color="000000"/>
              <w:right w:val="single" w:sz="12" w:space="0" w:color="auto"/>
            </w:tcBorders>
            <w:vAlign w:val="center"/>
          </w:tcPr>
          <w:p w14:paraId="5F500A7E" w14:textId="77777777" w:rsidR="005B091C" w:rsidRPr="00EE7CF7" w:rsidRDefault="005B091C" w:rsidP="00ED190A">
            <w:pPr>
              <w:jc w:val="center"/>
              <w:rPr>
                <w:rFonts w:ascii="Arial" w:hAnsi="Arial" w:cs="Arial"/>
                <w:sz w:val="20"/>
              </w:rPr>
            </w:pPr>
          </w:p>
        </w:tc>
      </w:tr>
      <w:tr w:rsidR="005B091C" w:rsidRPr="00ED190A" w14:paraId="200204C1" w14:textId="77777777" w:rsidTr="00B438F0">
        <w:trPr>
          <w:jc w:val="center"/>
        </w:trPr>
        <w:tc>
          <w:tcPr>
            <w:tcW w:w="1560" w:type="dxa"/>
            <w:vMerge/>
            <w:tcBorders>
              <w:top w:val="single" w:sz="4" w:space="0" w:color="000000"/>
              <w:left w:val="single" w:sz="12" w:space="0" w:color="auto"/>
              <w:bottom w:val="single" w:sz="4" w:space="0" w:color="000000"/>
              <w:right w:val="single" w:sz="4" w:space="0" w:color="000000"/>
            </w:tcBorders>
            <w:tcMar>
              <w:top w:w="0" w:type="dxa"/>
              <w:left w:w="0" w:type="dxa"/>
              <w:bottom w:w="0" w:type="dxa"/>
              <w:right w:w="0" w:type="dxa"/>
            </w:tcMar>
            <w:vAlign w:val="center"/>
          </w:tcPr>
          <w:p w14:paraId="11F71B8F" w14:textId="77777777" w:rsidR="005B091C" w:rsidRPr="00EE7CF7" w:rsidRDefault="005B091C" w:rsidP="00ED190A">
            <w:pPr>
              <w:widowControl w:val="0"/>
              <w:pBdr>
                <w:top w:val="nil"/>
                <w:left w:val="nil"/>
                <w:bottom w:val="nil"/>
                <w:right w:val="nil"/>
                <w:between w:val="nil"/>
              </w:pBdr>
              <w:jc w:val="center"/>
              <w:rPr>
                <w:rFonts w:ascii="Arial" w:hAnsi="Arial" w:cs="Arial"/>
                <w:sz w:val="20"/>
              </w:rPr>
            </w:pPr>
          </w:p>
        </w:tc>
        <w:tc>
          <w:tcPr>
            <w:tcW w:w="1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FE8FBE3" w14:textId="77777777" w:rsidR="005B091C" w:rsidRPr="00EE7CF7" w:rsidRDefault="005B091C" w:rsidP="00ED190A">
            <w:pPr>
              <w:jc w:val="center"/>
              <w:rPr>
                <w:rFonts w:ascii="Arial" w:hAnsi="Arial" w:cs="Arial"/>
                <w:sz w:val="20"/>
              </w:rPr>
            </w:pPr>
            <w:r w:rsidRPr="00EE7CF7">
              <w:rPr>
                <w:rFonts w:ascii="Arial" w:hAnsi="Arial" w:cs="Arial"/>
                <w:sz w:val="20"/>
              </w:rPr>
              <w:t>TESTE (i)</w:t>
            </w:r>
          </w:p>
        </w:tc>
        <w:tc>
          <w:tcPr>
            <w:tcW w:w="12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814237C" w14:textId="77777777" w:rsidR="005B091C" w:rsidRPr="00EE7CF7" w:rsidRDefault="005B091C" w:rsidP="00ED190A">
            <w:pPr>
              <w:jc w:val="center"/>
              <w:rPr>
                <w:rFonts w:ascii="Arial" w:hAnsi="Arial" w:cs="Arial"/>
                <w:sz w:val="20"/>
              </w:rPr>
            </w:pPr>
            <w:r w:rsidRPr="00EE7CF7">
              <w:rPr>
                <w:rFonts w:ascii="Arial" w:hAnsi="Arial" w:cs="Arial"/>
                <w:sz w:val="20"/>
              </w:rPr>
              <w:t>NÃO OK</w:t>
            </w:r>
          </w:p>
        </w:tc>
        <w:tc>
          <w:tcPr>
            <w:tcW w:w="3186" w:type="dxa"/>
            <w:vMerge/>
            <w:tcBorders>
              <w:left w:val="single" w:sz="4" w:space="0" w:color="000000"/>
              <w:right w:val="single" w:sz="12" w:space="0" w:color="auto"/>
            </w:tcBorders>
            <w:vAlign w:val="center"/>
          </w:tcPr>
          <w:p w14:paraId="77A214B9" w14:textId="77777777" w:rsidR="005B091C" w:rsidRPr="00EE7CF7" w:rsidRDefault="005B091C" w:rsidP="00ED190A">
            <w:pPr>
              <w:jc w:val="center"/>
              <w:rPr>
                <w:rFonts w:ascii="Arial" w:hAnsi="Arial" w:cs="Arial"/>
                <w:sz w:val="20"/>
              </w:rPr>
            </w:pPr>
          </w:p>
        </w:tc>
      </w:tr>
      <w:tr w:rsidR="005B091C" w:rsidRPr="00ED190A" w14:paraId="19711F90" w14:textId="77777777" w:rsidTr="00B438F0">
        <w:trPr>
          <w:jc w:val="center"/>
        </w:trPr>
        <w:tc>
          <w:tcPr>
            <w:tcW w:w="1560" w:type="dxa"/>
            <w:vMerge/>
            <w:tcBorders>
              <w:top w:val="single" w:sz="4" w:space="0" w:color="000000"/>
              <w:left w:val="single" w:sz="12" w:space="0" w:color="auto"/>
              <w:bottom w:val="single" w:sz="4" w:space="0" w:color="000000"/>
              <w:right w:val="single" w:sz="4" w:space="0" w:color="000000"/>
            </w:tcBorders>
            <w:tcMar>
              <w:top w:w="0" w:type="dxa"/>
              <w:left w:w="0" w:type="dxa"/>
              <w:bottom w:w="0" w:type="dxa"/>
              <w:right w:w="0" w:type="dxa"/>
            </w:tcMar>
            <w:vAlign w:val="center"/>
          </w:tcPr>
          <w:p w14:paraId="087D2A39" w14:textId="77777777" w:rsidR="005B091C" w:rsidRPr="00EE7CF7" w:rsidRDefault="005B091C" w:rsidP="00ED190A">
            <w:pPr>
              <w:widowControl w:val="0"/>
              <w:pBdr>
                <w:top w:val="nil"/>
                <w:left w:val="nil"/>
                <w:bottom w:val="nil"/>
                <w:right w:val="nil"/>
                <w:between w:val="nil"/>
              </w:pBdr>
              <w:jc w:val="center"/>
              <w:rPr>
                <w:rFonts w:ascii="Arial" w:hAnsi="Arial" w:cs="Arial"/>
                <w:sz w:val="20"/>
              </w:rPr>
            </w:pPr>
          </w:p>
        </w:tc>
        <w:tc>
          <w:tcPr>
            <w:tcW w:w="1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4C97279" w14:textId="77777777" w:rsidR="005B091C" w:rsidRPr="00EE7CF7" w:rsidRDefault="005B091C" w:rsidP="00ED190A">
            <w:pPr>
              <w:jc w:val="center"/>
              <w:rPr>
                <w:rFonts w:ascii="Arial" w:hAnsi="Arial" w:cs="Arial"/>
                <w:sz w:val="20"/>
              </w:rPr>
            </w:pPr>
            <w:r w:rsidRPr="00EE7CF7">
              <w:rPr>
                <w:rFonts w:ascii="Arial" w:hAnsi="Arial" w:cs="Arial"/>
                <w:sz w:val="20"/>
              </w:rPr>
              <w:t>TESTE (ii)</w:t>
            </w:r>
          </w:p>
        </w:tc>
        <w:tc>
          <w:tcPr>
            <w:tcW w:w="12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F395469" w14:textId="77777777" w:rsidR="005B091C" w:rsidRPr="00EE7CF7" w:rsidRDefault="005B091C" w:rsidP="00ED190A">
            <w:pPr>
              <w:jc w:val="center"/>
              <w:rPr>
                <w:rFonts w:ascii="Arial" w:hAnsi="Arial" w:cs="Arial"/>
                <w:sz w:val="20"/>
              </w:rPr>
            </w:pPr>
            <w:r w:rsidRPr="00EE7CF7">
              <w:rPr>
                <w:rFonts w:ascii="Arial" w:hAnsi="Arial" w:cs="Arial"/>
                <w:sz w:val="20"/>
              </w:rPr>
              <w:t>NÃO OK</w:t>
            </w:r>
          </w:p>
        </w:tc>
        <w:tc>
          <w:tcPr>
            <w:tcW w:w="3186" w:type="dxa"/>
            <w:vMerge/>
            <w:tcBorders>
              <w:left w:val="single" w:sz="4" w:space="0" w:color="000000"/>
              <w:right w:val="single" w:sz="12" w:space="0" w:color="auto"/>
            </w:tcBorders>
            <w:vAlign w:val="center"/>
          </w:tcPr>
          <w:p w14:paraId="556832C9" w14:textId="77777777" w:rsidR="005B091C" w:rsidRPr="00EE7CF7" w:rsidRDefault="005B091C" w:rsidP="00ED190A">
            <w:pPr>
              <w:jc w:val="center"/>
              <w:rPr>
                <w:rFonts w:ascii="Arial" w:hAnsi="Arial" w:cs="Arial"/>
                <w:sz w:val="20"/>
              </w:rPr>
            </w:pPr>
          </w:p>
        </w:tc>
      </w:tr>
      <w:tr w:rsidR="005B091C" w:rsidRPr="00ED190A" w14:paraId="1CA74ACC" w14:textId="77777777" w:rsidTr="00B438F0">
        <w:trPr>
          <w:jc w:val="center"/>
        </w:trPr>
        <w:tc>
          <w:tcPr>
            <w:tcW w:w="1560" w:type="dxa"/>
            <w:vMerge/>
            <w:tcBorders>
              <w:top w:val="single" w:sz="4" w:space="0" w:color="000000"/>
              <w:left w:val="single" w:sz="12" w:space="0" w:color="auto"/>
              <w:bottom w:val="single" w:sz="4" w:space="0" w:color="000000"/>
              <w:right w:val="single" w:sz="4" w:space="0" w:color="000000"/>
            </w:tcBorders>
            <w:tcMar>
              <w:top w:w="0" w:type="dxa"/>
              <w:left w:w="0" w:type="dxa"/>
              <w:bottom w:w="0" w:type="dxa"/>
              <w:right w:w="0" w:type="dxa"/>
            </w:tcMar>
            <w:vAlign w:val="center"/>
          </w:tcPr>
          <w:p w14:paraId="23D4A949" w14:textId="77777777" w:rsidR="005B091C" w:rsidRPr="00EE7CF7" w:rsidRDefault="005B091C" w:rsidP="00ED190A">
            <w:pPr>
              <w:widowControl w:val="0"/>
              <w:pBdr>
                <w:top w:val="nil"/>
                <w:left w:val="nil"/>
                <w:bottom w:val="nil"/>
                <w:right w:val="nil"/>
                <w:between w:val="nil"/>
              </w:pBdr>
              <w:jc w:val="center"/>
              <w:rPr>
                <w:rFonts w:ascii="Arial" w:hAnsi="Arial" w:cs="Arial"/>
                <w:sz w:val="20"/>
              </w:rPr>
            </w:pPr>
          </w:p>
        </w:tc>
        <w:tc>
          <w:tcPr>
            <w:tcW w:w="1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06F246C" w14:textId="77777777" w:rsidR="005B091C" w:rsidRPr="00EE7CF7" w:rsidRDefault="005B091C" w:rsidP="00ED190A">
            <w:pPr>
              <w:jc w:val="center"/>
              <w:rPr>
                <w:rFonts w:ascii="Arial" w:hAnsi="Arial" w:cs="Arial"/>
                <w:sz w:val="20"/>
              </w:rPr>
            </w:pPr>
            <w:r w:rsidRPr="00EE7CF7">
              <w:rPr>
                <w:rFonts w:ascii="Arial" w:hAnsi="Arial" w:cs="Arial"/>
                <w:sz w:val="20"/>
              </w:rPr>
              <w:t>TESTE (iii)</w:t>
            </w:r>
          </w:p>
        </w:tc>
        <w:tc>
          <w:tcPr>
            <w:tcW w:w="12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2D500FA" w14:textId="77777777" w:rsidR="005B091C" w:rsidRPr="00EE7CF7" w:rsidRDefault="005B091C" w:rsidP="00ED190A">
            <w:pPr>
              <w:jc w:val="center"/>
              <w:rPr>
                <w:rFonts w:ascii="Arial" w:hAnsi="Arial" w:cs="Arial"/>
                <w:sz w:val="20"/>
              </w:rPr>
            </w:pPr>
            <w:r w:rsidRPr="00EE7CF7">
              <w:rPr>
                <w:rFonts w:ascii="Arial" w:hAnsi="Arial" w:cs="Arial"/>
                <w:sz w:val="20"/>
              </w:rPr>
              <w:t>NÃO OK</w:t>
            </w:r>
          </w:p>
        </w:tc>
        <w:tc>
          <w:tcPr>
            <w:tcW w:w="3186" w:type="dxa"/>
            <w:vMerge/>
            <w:tcBorders>
              <w:left w:val="single" w:sz="4" w:space="0" w:color="000000"/>
              <w:right w:val="single" w:sz="12" w:space="0" w:color="auto"/>
            </w:tcBorders>
            <w:vAlign w:val="center"/>
          </w:tcPr>
          <w:p w14:paraId="30934413" w14:textId="77777777" w:rsidR="005B091C" w:rsidRPr="00EE7CF7" w:rsidRDefault="005B091C" w:rsidP="00ED190A">
            <w:pPr>
              <w:jc w:val="center"/>
              <w:rPr>
                <w:rFonts w:ascii="Arial" w:hAnsi="Arial" w:cs="Arial"/>
                <w:sz w:val="20"/>
              </w:rPr>
            </w:pPr>
          </w:p>
        </w:tc>
      </w:tr>
      <w:tr w:rsidR="005B091C" w:rsidRPr="00ED190A" w14:paraId="3DBBD52E" w14:textId="77777777" w:rsidTr="00B438F0">
        <w:trPr>
          <w:jc w:val="center"/>
        </w:trPr>
        <w:tc>
          <w:tcPr>
            <w:tcW w:w="1560" w:type="dxa"/>
            <w:vMerge/>
            <w:tcBorders>
              <w:top w:val="single" w:sz="4" w:space="0" w:color="000000"/>
              <w:left w:val="single" w:sz="12" w:space="0" w:color="auto"/>
              <w:bottom w:val="single" w:sz="4" w:space="0" w:color="000000"/>
              <w:right w:val="single" w:sz="4" w:space="0" w:color="000000"/>
            </w:tcBorders>
            <w:tcMar>
              <w:top w:w="0" w:type="dxa"/>
              <w:left w:w="0" w:type="dxa"/>
              <w:bottom w:w="0" w:type="dxa"/>
              <w:right w:w="0" w:type="dxa"/>
            </w:tcMar>
            <w:vAlign w:val="center"/>
          </w:tcPr>
          <w:p w14:paraId="58ED28EF" w14:textId="77777777" w:rsidR="005B091C" w:rsidRPr="00EE7CF7" w:rsidRDefault="005B091C" w:rsidP="00ED190A">
            <w:pPr>
              <w:widowControl w:val="0"/>
              <w:pBdr>
                <w:top w:val="nil"/>
                <w:left w:val="nil"/>
                <w:bottom w:val="nil"/>
                <w:right w:val="nil"/>
                <w:between w:val="nil"/>
              </w:pBdr>
              <w:jc w:val="center"/>
              <w:rPr>
                <w:rFonts w:ascii="Arial" w:hAnsi="Arial" w:cs="Arial"/>
                <w:sz w:val="20"/>
              </w:rPr>
            </w:pPr>
          </w:p>
        </w:tc>
        <w:tc>
          <w:tcPr>
            <w:tcW w:w="290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D4834D7" w14:textId="77777777" w:rsidR="005B091C" w:rsidRPr="00EE7CF7" w:rsidRDefault="005B091C" w:rsidP="00ED190A">
            <w:pPr>
              <w:jc w:val="center"/>
              <w:rPr>
                <w:rFonts w:ascii="Arial" w:hAnsi="Arial" w:cs="Arial"/>
                <w:sz w:val="20"/>
              </w:rPr>
            </w:pPr>
            <w:r w:rsidRPr="00EE7CF7">
              <w:rPr>
                <w:rFonts w:ascii="Arial" w:hAnsi="Arial" w:cs="Arial"/>
                <w:sz w:val="20"/>
              </w:rPr>
              <w:t>TOTAL = 40</w:t>
            </w:r>
          </w:p>
        </w:tc>
        <w:tc>
          <w:tcPr>
            <w:tcW w:w="3186" w:type="dxa"/>
            <w:vMerge/>
            <w:tcBorders>
              <w:left w:val="single" w:sz="4" w:space="0" w:color="000000"/>
              <w:bottom w:val="single" w:sz="4" w:space="0" w:color="000000"/>
              <w:right w:val="single" w:sz="12" w:space="0" w:color="auto"/>
            </w:tcBorders>
            <w:vAlign w:val="center"/>
          </w:tcPr>
          <w:p w14:paraId="761FD1AD" w14:textId="77777777" w:rsidR="005B091C" w:rsidRPr="00EE7CF7" w:rsidRDefault="005B091C" w:rsidP="00ED190A">
            <w:pPr>
              <w:jc w:val="center"/>
              <w:rPr>
                <w:rFonts w:ascii="Arial" w:hAnsi="Arial" w:cs="Arial"/>
                <w:sz w:val="20"/>
              </w:rPr>
            </w:pPr>
          </w:p>
        </w:tc>
      </w:tr>
      <w:tr w:rsidR="005B091C" w:rsidRPr="00ED190A" w14:paraId="1024D0E1" w14:textId="77777777" w:rsidTr="00B438F0">
        <w:trPr>
          <w:jc w:val="center"/>
        </w:trPr>
        <w:tc>
          <w:tcPr>
            <w:tcW w:w="1560" w:type="dxa"/>
            <w:vMerge w:val="restart"/>
            <w:tcBorders>
              <w:top w:val="single" w:sz="4" w:space="0" w:color="000000"/>
              <w:left w:val="single" w:sz="12" w:space="0" w:color="auto"/>
              <w:bottom w:val="single" w:sz="4" w:space="0" w:color="000000"/>
              <w:right w:val="single" w:sz="4" w:space="0" w:color="000000"/>
            </w:tcBorders>
            <w:tcMar>
              <w:top w:w="0" w:type="dxa"/>
              <w:left w:w="0" w:type="dxa"/>
              <w:bottom w:w="0" w:type="dxa"/>
              <w:right w:w="0" w:type="dxa"/>
            </w:tcMar>
            <w:vAlign w:val="center"/>
          </w:tcPr>
          <w:p w14:paraId="69EE1EF3" w14:textId="77777777" w:rsidR="005B091C" w:rsidRPr="00EE7CF7" w:rsidRDefault="005B091C" w:rsidP="00ED190A">
            <w:pPr>
              <w:jc w:val="center"/>
              <w:rPr>
                <w:rFonts w:ascii="Arial" w:hAnsi="Arial" w:cs="Arial"/>
                <w:sz w:val="20"/>
                <w:lang w:val="pt-BR"/>
              </w:rPr>
            </w:pPr>
          </w:p>
          <w:p w14:paraId="6F2636ED" w14:textId="77777777" w:rsidR="005B091C" w:rsidRPr="00EE7CF7" w:rsidRDefault="005B091C" w:rsidP="00ED190A">
            <w:pPr>
              <w:jc w:val="center"/>
              <w:rPr>
                <w:rFonts w:ascii="Arial" w:hAnsi="Arial" w:cs="Arial"/>
                <w:sz w:val="20"/>
                <w:lang w:val="pt-BR"/>
              </w:rPr>
            </w:pPr>
            <w:r w:rsidRPr="00EE7CF7">
              <w:rPr>
                <w:rFonts w:ascii="Arial" w:hAnsi="Arial" w:cs="Arial"/>
                <w:sz w:val="20"/>
                <w:lang w:val="pt-BR"/>
              </w:rPr>
              <w:t>4 Engajamento da sociedade civil e governança democrática</w:t>
            </w:r>
          </w:p>
          <w:p w14:paraId="28161C75" w14:textId="77777777" w:rsidR="005B091C" w:rsidRPr="00EE7CF7" w:rsidRDefault="005B091C" w:rsidP="00ED190A">
            <w:pPr>
              <w:jc w:val="center"/>
              <w:rPr>
                <w:rFonts w:ascii="Arial" w:hAnsi="Arial" w:cs="Arial"/>
                <w:sz w:val="20"/>
                <w:lang w:val="pt-BR"/>
              </w:rPr>
            </w:pPr>
          </w:p>
        </w:tc>
        <w:tc>
          <w:tcPr>
            <w:tcW w:w="1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34E7FCE" w14:textId="77777777" w:rsidR="005B091C" w:rsidRPr="00EE7CF7" w:rsidRDefault="005B091C" w:rsidP="00ED190A">
            <w:pPr>
              <w:jc w:val="center"/>
              <w:rPr>
                <w:rFonts w:ascii="Arial" w:hAnsi="Arial" w:cs="Arial"/>
                <w:sz w:val="20"/>
              </w:rPr>
            </w:pPr>
            <w:r w:rsidRPr="00EE7CF7">
              <w:rPr>
                <w:rFonts w:ascii="Arial" w:hAnsi="Arial" w:cs="Arial"/>
                <w:sz w:val="20"/>
              </w:rPr>
              <w:t>4.1</w:t>
            </w:r>
          </w:p>
        </w:tc>
        <w:tc>
          <w:tcPr>
            <w:tcW w:w="12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589F0BB" w14:textId="77777777" w:rsidR="005B091C" w:rsidRPr="00EE7CF7" w:rsidRDefault="005B091C" w:rsidP="00ED190A">
            <w:pPr>
              <w:jc w:val="center"/>
              <w:rPr>
                <w:rFonts w:ascii="Arial" w:hAnsi="Arial" w:cs="Arial"/>
                <w:sz w:val="20"/>
              </w:rPr>
            </w:pPr>
            <w:r w:rsidRPr="00EE7CF7">
              <w:rPr>
                <w:rFonts w:ascii="Arial" w:hAnsi="Arial" w:cs="Arial"/>
                <w:sz w:val="20"/>
              </w:rPr>
              <w:t>20</w:t>
            </w:r>
          </w:p>
        </w:tc>
        <w:tc>
          <w:tcPr>
            <w:tcW w:w="3186" w:type="dxa"/>
            <w:vMerge w:val="restart"/>
            <w:tcBorders>
              <w:top w:val="single" w:sz="4" w:space="0" w:color="000000"/>
              <w:left w:val="single" w:sz="4" w:space="0" w:color="000000"/>
              <w:right w:val="single" w:sz="12" w:space="0" w:color="auto"/>
            </w:tcBorders>
            <w:vAlign w:val="center"/>
          </w:tcPr>
          <w:p w14:paraId="0FD8B6F6" w14:textId="77777777" w:rsidR="005B091C" w:rsidRPr="00EE7CF7" w:rsidRDefault="005B091C" w:rsidP="00ED190A">
            <w:pPr>
              <w:rPr>
                <w:rFonts w:ascii="Arial" w:hAnsi="Arial" w:cs="Arial"/>
                <w:sz w:val="20"/>
              </w:rPr>
            </w:pPr>
          </w:p>
          <w:p w14:paraId="07EFA8A1" w14:textId="77777777" w:rsidR="005B091C" w:rsidRPr="00EE7CF7" w:rsidRDefault="005B091C" w:rsidP="00ED190A">
            <w:pPr>
              <w:jc w:val="center"/>
              <w:rPr>
                <w:rFonts w:ascii="Arial" w:hAnsi="Arial" w:cs="Arial"/>
                <w:sz w:val="20"/>
              </w:rPr>
            </w:pPr>
            <w:r w:rsidRPr="00EE7CF7">
              <w:rPr>
                <w:rFonts w:ascii="Arial" w:hAnsi="Arial" w:cs="Arial"/>
                <w:sz w:val="20"/>
              </w:rPr>
              <w:t>REGULAR</w:t>
            </w:r>
          </w:p>
        </w:tc>
      </w:tr>
      <w:tr w:rsidR="005B091C" w:rsidRPr="00ED190A" w14:paraId="2D0EB869" w14:textId="77777777" w:rsidTr="00B438F0">
        <w:trPr>
          <w:jc w:val="center"/>
        </w:trPr>
        <w:tc>
          <w:tcPr>
            <w:tcW w:w="1560" w:type="dxa"/>
            <w:vMerge/>
            <w:tcBorders>
              <w:top w:val="single" w:sz="4" w:space="0" w:color="000000"/>
              <w:left w:val="single" w:sz="12" w:space="0" w:color="auto"/>
              <w:bottom w:val="single" w:sz="4" w:space="0" w:color="000000"/>
              <w:right w:val="single" w:sz="4" w:space="0" w:color="000000"/>
            </w:tcBorders>
            <w:tcMar>
              <w:top w:w="0" w:type="dxa"/>
              <w:left w:w="0" w:type="dxa"/>
              <w:bottom w:w="0" w:type="dxa"/>
              <w:right w:w="0" w:type="dxa"/>
            </w:tcMar>
            <w:vAlign w:val="center"/>
          </w:tcPr>
          <w:p w14:paraId="6F6DF78A" w14:textId="77777777" w:rsidR="005B091C" w:rsidRPr="00EE7CF7" w:rsidRDefault="005B091C" w:rsidP="00ED190A">
            <w:pPr>
              <w:widowControl w:val="0"/>
              <w:pBdr>
                <w:top w:val="nil"/>
                <w:left w:val="nil"/>
                <w:bottom w:val="nil"/>
                <w:right w:val="nil"/>
                <w:between w:val="nil"/>
              </w:pBdr>
              <w:jc w:val="center"/>
              <w:rPr>
                <w:rFonts w:ascii="Arial" w:hAnsi="Arial" w:cs="Arial"/>
                <w:sz w:val="20"/>
              </w:rPr>
            </w:pPr>
          </w:p>
        </w:tc>
        <w:tc>
          <w:tcPr>
            <w:tcW w:w="1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8BE64FD" w14:textId="77777777" w:rsidR="005B091C" w:rsidRPr="00EE7CF7" w:rsidRDefault="005B091C" w:rsidP="00ED190A">
            <w:pPr>
              <w:jc w:val="center"/>
              <w:rPr>
                <w:rFonts w:ascii="Arial" w:hAnsi="Arial" w:cs="Arial"/>
                <w:sz w:val="20"/>
              </w:rPr>
            </w:pPr>
            <w:r w:rsidRPr="00EE7CF7">
              <w:rPr>
                <w:rFonts w:ascii="Arial" w:hAnsi="Arial" w:cs="Arial"/>
                <w:sz w:val="20"/>
              </w:rPr>
              <w:t>4.2</w:t>
            </w:r>
          </w:p>
        </w:tc>
        <w:tc>
          <w:tcPr>
            <w:tcW w:w="12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B35217D" w14:textId="77777777" w:rsidR="005B091C" w:rsidRPr="00EE7CF7" w:rsidRDefault="005B091C" w:rsidP="00ED190A">
            <w:pPr>
              <w:jc w:val="center"/>
              <w:rPr>
                <w:rFonts w:ascii="Arial" w:hAnsi="Arial" w:cs="Arial"/>
                <w:sz w:val="20"/>
              </w:rPr>
            </w:pPr>
            <w:r w:rsidRPr="00EE7CF7">
              <w:rPr>
                <w:rFonts w:ascii="Arial" w:hAnsi="Arial" w:cs="Arial"/>
                <w:sz w:val="20"/>
              </w:rPr>
              <w:t>20</w:t>
            </w:r>
          </w:p>
        </w:tc>
        <w:tc>
          <w:tcPr>
            <w:tcW w:w="3186" w:type="dxa"/>
            <w:vMerge/>
            <w:tcBorders>
              <w:left w:val="single" w:sz="4" w:space="0" w:color="000000"/>
              <w:right w:val="single" w:sz="12" w:space="0" w:color="auto"/>
            </w:tcBorders>
            <w:vAlign w:val="center"/>
          </w:tcPr>
          <w:p w14:paraId="7052A19B" w14:textId="77777777" w:rsidR="005B091C" w:rsidRPr="00EE7CF7" w:rsidRDefault="005B091C" w:rsidP="00ED190A">
            <w:pPr>
              <w:jc w:val="center"/>
              <w:rPr>
                <w:rFonts w:ascii="Arial" w:hAnsi="Arial" w:cs="Arial"/>
                <w:sz w:val="20"/>
              </w:rPr>
            </w:pPr>
          </w:p>
        </w:tc>
      </w:tr>
      <w:tr w:rsidR="005B091C" w:rsidRPr="00ED190A" w14:paraId="4C360787" w14:textId="77777777" w:rsidTr="00B438F0">
        <w:trPr>
          <w:jc w:val="center"/>
        </w:trPr>
        <w:tc>
          <w:tcPr>
            <w:tcW w:w="1560" w:type="dxa"/>
            <w:vMerge/>
            <w:tcBorders>
              <w:top w:val="single" w:sz="4" w:space="0" w:color="000000"/>
              <w:left w:val="single" w:sz="12" w:space="0" w:color="auto"/>
              <w:bottom w:val="single" w:sz="4" w:space="0" w:color="000000"/>
              <w:right w:val="single" w:sz="4" w:space="0" w:color="000000"/>
            </w:tcBorders>
            <w:tcMar>
              <w:top w:w="0" w:type="dxa"/>
              <w:left w:w="0" w:type="dxa"/>
              <w:bottom w:w="0" w:type="dxa"/>
              <w:right w:w="0" w:type="dxa"/>
            </w:tcMar>
            <w:vAlign w:val="center"/>
          </w:tcPr>
          <w:p w14:paraId="28C56CC9" w14:textId="77777777" w:rsidR="005B091C" w:rsidRPr="00EE7CF7" w:rsidRDefault="005B091C" w:rsidP="00ED190A">
            <w:pPr>
              <w:widowControl w:val="0"/>
              <w:pBdr>
                <w:top w:val="nil"/>
                <w:left w:val="nil"/>
                <w:bottom w:val="nil"/>
                <w:right w:val="nil"/>
                <w:between w:val="nil"/>
              </w:pBdr>
              <w:jc w:val="center"/>
              <w:rPr>
                <w:rFonts w:ascii="Arial" w:hAnsi="Arial" w:cs="Arial"/>
                <w:sz w:val="20"/>
              </w:rPr>
            </w:pPr>
          </w:p>
        </w:tc>
        <w:tc>
          <w:tcPr>
            <w:tcW w:w="1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8EB304A" w14:textId="77777777" w:rsidR="005B091C" w:rsidRPr="00EE7CF7" w:rsidRDefault="005B091C" w:rsidP="00ED190A">
            <w:pPr>
              <w:jc w:val="center"/>
              <w:rPr>
                <w:rFonts w:ascii="Arial" w:hAnsi="Arial" w:cs="Arial"/>
                <w:sz w:val="20"/>
              </w:rPr>
            </w:pPr>
            <w:r w:rsidRPr="00EE7CF7">
              <w:rPr>
                <w:rFonts w:ascii="Arial" w:hAnsi="Arial" w:cs="Arial"/>
                <w:sz w:val="20"/>
              </w:rPr>
              <w:t>4.3</w:t>
            </w:r>
          </w:p>
        </w:tc>
        <w:tc>
          <w:tcPr>
            <w:tcW w:w="12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1A8557C" w14:textId="77777777" w:rsidR="005B091C" w:rsidRPr="00EE7CF7" w:rsidRDefault="005B091C" w:rsidP="00ED190A">
            <w:pPr>
              <w:jc w:val="center"/>
              <w:rPr>
                <w:rFonts w:ascii="Arial" w:hAnsi="Arial" w:cs="Arial"/>
                <w:sz w:val="20"/>
              </w:rPr>
            </w:pPr>
            <w:r w:rsidRPr="00EE7CF7">
              <w:rPr>
                <w:rFonts w:ascii="Arial" w:hAnsi="Arial" w:cs="Arial"/>
                <w:sz w:val="20"/>
              </w:rPr>
              <w:t>10</w:t>
            </w:r>
          </w:p>
        </w:tc>
        <w:tc>
          <w:tcPr>
            <w:tcW w:w="3186" w:type="dxa"/>
            <w:vMerge/>
            <w:tcBorders>
              <w:left w:val="single" w:sz="4" w:space="0" w:color="000000"/>
              <w:right w:val="single" w:sz="12" w:space="0" w:color="auto"/>
            </w:tcBorders>
            <w:vAlign w:val="center"/>
          </w:tcPr>
          <w:p w14:paraId="21E43E48" w14:textId="77777777" w:rsidR="005B091C" w:rsidRPr="00EE7CF7" w:rsidRDefault="005B091C" w:rsidP="00ED190A">
            <w:pPr>
              <w:jc w:val="center"/>
              <w:rPr>
                <w:rFonts w:ascii="Arial" w:hAnsi="Arial" w:cs="Arial"/>
                <w:sz w:val="20"/>
              </w:rPr>
            </w:pPr>
          </w:p>
        </w:tc>
      </w:tr>
      <w:tr w:rsidR="005B091C" w:rsidRPr="00ED190A" w14:paraId="64E9E11D" w14:textId="77777777" w:rsidTr="00B438F0">
        <w:trPr>
          <w:jc w:val="center"/>
        </w:trPr>
        <w:tc>
          <w:tcPr>
            <w:tcW w:w="1560" w:type="dxa"/>
            <w:vMerge/>
            <w:tcBorders>
              <w:top w:val="single" w:sz="4" w:space="0" w:color="000000"/>
              <w:left w:val="single" w:sz="12" w:space="0" w:color="auto"/>
              <w:bottom w:val="single" w:sz="4" w:space="0" w:color="000000"/>
              <w:right w:val="single" w:sz="4" w:space="0" w:color="000000"/>
            </w:tcBorders>
            <w:tcMar>
              <w:top w:w="0" w:type="dxa"/>
              <w:left w:w="0" w:type="dxa"/>
              <w:bottom w:w="0" w:type="dxa"/>
              <w:right w:w="0" w:type="dxa"/>
            </w:tcMar>
            <w:vAlign w:val="center"/>
          </w:tcPr>
          <w:p w14:paraId="4FCBA8CC" w14:textId="77777777" w:rsidR="005B091C" w:rsidRPr="00EE7CF7" w:rsidRDefault="005B091C" w:rsidP="00ED190A">
            <w:pPr>
              <w:widowControl w:val="0"/>
              <w:pBdr>
                <w:top w:val="nil"/>
                <w:left w:val="nil"/>
                <w:bottom w:val="nil"/>
                <w:right w:val="nil"/>
                <w:between w:val="nil"/>
              </w:pBdr>
              <w:jc w:val="center"/>
              <w:rPr>
                <w:rFonts w:ascii="Arial" w:hAnsi="Arial" w:cs="Arial"/>
                <w:sz w:val="20"/>
              </w:rPr>
            </w:pPr>
          </w:p>
        </w:tc>
        <w:tc>
          <w:tcPr>
            <w:tcW w:w="1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3178362" w14:textId="77777777" w:rsidR="005B091C" w:rsidRPr="00EE7CF7" w:rsidRDefault="005B091C" w:rsidP="00ED190A">
            <w:pPr>
              <w:jc w:val="center"/>
              <w:rPr>
                <w:rFonts w:ascii="Arial" w:hAnsi="Arial" w:cs="Arial"/>
                <w:sz w:val="20"/>
              </w:rPr>
            </w:pPr>
            <w:r w:rsidRPr="00EE7CF7">
              <w:rPr>
                <w:rFonts w:ascii="Arial" w:hAnsi="Arial" w:cs="Arial"/>
                <w:sz w:val="20"/>
              </w:rPr>
              <w:t>4.4</w:t>
            </w:r>
          </w:p>
        </w:tc>
        <w:tc>
          <w:tcPr>
            <w:tcW w:w="12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818284F" w14:textId="77777777" w:rsidR="005B091C" w:rsidRPr="00EE7CF7" w:rsidRDefault="005B091C" w:rsidP="00ED190A">
            <w:pPr>
              <w:jc w:val="center"/>
              <w:rPr>
                <w:rFonts w:ascii="Arial" w:hAnsi="Arial" w:cs="Arial"/>
                <w:sz w:val="20"/>
              </w:rPr>
            </w:pPr>
            <w:r w:rsidRPr="00EE7CF7">
              <w:rPr>
                <w:rFonts w:ascii="Arial" w:hAnsi="Arial" w:cs="Arial"/>
                <w:sz w:val="20"/>
              </w:rPr>
              <w:t>10</w:t>
            </w:r>
          </w:p>
        </w:tc>
        <w:tc>
          <w:tcPr>
            <w:tcW w:w="3186" w:type="dxa"/>
            <w:vMerge/>
            <w:tcBorders>
              <w:left w:val="single" w:sz="4" w:space="0" w:color="000000"/>
              <w:right w:val="single" w:sz="12" w:space="0" w:color="auto"/>
            </w:tcBorders>
            <w:vAlign w:val="center"/>
          </w:tcPr>
          <w:p w14:paraId="61CF3324" w14:textId="77777777" w:rsidR="005B091C" w:rsidRPr="00EE7CF7" w:rsidRDefault="005B091C" w:rsidP="00ED190A">
            <w:pPr>
              <w:jc w:val="center"/>
              <w:rPr>
                <w:rFonts w:ascii="Arial" w:hAnsi="Arial" w:cs="Arial"/>
                <w:sz w:val="20"/>
              </w:rPr>
            </w:pPr>
          </w:p>
        </w:tc>
      </w:tr>
      <w:tr w:rsidR="005B091C" w:rsidRPr="00ED190A" w14:paraId="50DBA29A" w14:textId="77777777" w:rsidTr="00B438F0">
        <w:trPr>
          <w:jc w:val="center"/>
        </w:trPr>
        <w:tc>
          <w:tcPr>
            <w:tcW w:w="1560" w:type="dxa"/>
            <w:vMerge/>
            <w:tcBorders>
              <w:top w:val="single" w:sz="4" w:space="0" w:color="000000"/>
              <w:left w:val="single" w:sz="12" w:space="0" w:color="auto"/>
              <w:bottom w:val="single" w:sz="4" w:space="0" w:color="000000"/>
              <w:right w:val="single" w:sz="4" w:space="0" w:color="000000"/>
            </w:tcBorders>
            <w:tcMar>
              <w:top w:w="0" w:type="dxa"/>
              <w:left w:w="0" w:type="dxa"/>
              <w:bottom w:w="0" w:type="dxa"/>
              <w:right w:w="0" w:type="dxa"/>
            </w:tcMar>
            <w:vAlign w:val="center"/>
          </w:tcPr>
          <w:p w14:paraId="7B6E0B18" w14:textId="77777777" w:rsidR="005B091C" w:rsidRPr="00EE7CF7" w:rsidRDefault="005B091C" w:rsidP="00ED190A">
            <w:pPr>
              <w:widowControl w:val="0"/>
              <w:pBdr>
                <w:top w:val="nil"/>
                <w:left w:val="nil"/>
                <w:bottom w:val="nil"/>
                <w:right w:val="nil"/>
                <w:between w:val="nil"/>
              </w:pBdr>
              <w:jc w:val="center"/>
              <w:rPr>
                <w:rFonts w:ascii="Arial" w:hAnsi="Arial" w:cs="Arial"/>
                <w:sz w:val="20"/>
              </w:rPr>
            </w:pPr>
          </w:p>
        </w:tc>
        <w:tc>
          <w:tcPr>
            <w:tcW w:w="1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7AC97B2" w14:textId="77777777" w:rsidR="005B091C" w:rsidRPr="00EE7CF7" w:rsidRDefault="005B091C" w:rsidP="00ED190A">
            <w:pPr>
              <w:jc w:val="center"/>
              <w:rPr>
                <w:rFonts w:ascii="Arial" w:hAnsi="Arial" w:cs="Arial"/>
                <w:sz w:val="20"/>
              </w:rPr>
            </w:pPr>
            <w:r w:rsidRPr="00EE7CF7">
              <w:rPr>
                <w:rFonts w:ascii="Arial" w:hAnsi="Arial" w:cs="Arial"/>
                <w:sz w:val="20"/>
              </w:rPr>
              <w:t>TESTE (i)</w:t>
            </w:r>
          </w:p>
        </w:tc>
        <w:tc>
          <w:tcPr>
            <w:tcW w:w="12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3446ACB" w14:textId="77777777" w:rsidR="005B091C" w:rsidRPr="00EE7CF7" w:rsidRDefault="005B091C" w:rsidP="00ED190A">
            <w:pPr>
              <w:jc w:val="center"/>
              <w:rPr>
                <w:rFonts w:ascii="Arial" w:hAnsi="Arial" w:cs="Arial"/>
                <w:sz w:val="20"/>
              </w:rPr>
            </w:pPr>
            <w:r w:rsidRPr="00EE7CF7">
              <w:rPr>
                <w:rFonts w:ascii="Arial" w:hAnsi="Arial" w:cs="Arial"/>
                <w:sz w:val="20"/>
              </w:rPr>
              <w:t>NÃO OK</w:t>
            </w:r>
          </w:p>
        </w:tc>
        <w:tc>
          <w:tcPr>
            <w:tcW w:w="3186" w:type="dxa"/>
            <w:vMerge/>
            <w:tcBorders>
              <w:left w:val="single" w:sz="4" w:space="0" w:color="000000"/>
              <w:right w:val="single" w:sz="12" w:space="0" w:color="auto"/>
            </w:tcBorders>
            <w:vAlign w:val="center"/>
          </w:tcPr>
          <w:p w14:paraId="32C1D380" w14:textId="77777777" w:rsidR="005B091C" w:rsidRPr="00EE7CF7" w:rsidRDefault="005B091C" w:rsidP="00ED190A">
            <w:pPr>
              <w:jc w:val="center"/>
              <w:rPr>
                <w:rFonts w:ascii="Arial" w:hAnsi="Arial" w:cs="Arial"/>
                <w:sz w:val="20"/>
              </w:rPr>
            </w:pPr>
          </w:p>
        </w:tc>
      </w:tr>
      <w:tr w:rsidR="005B091C" w:rsidRPr="00ED190A" w14:paraId="3DBABE87" w14:textId="77777777" w:rsidTr="00B438F0">
        <w:trPr>
          <w:jc w:val="center"/>
        </w:trPr>
        <w:tc>
          <w:tcPr>
            <w:tcW w:w="1560" w:type="dxa"/>
            <w:vMerge/>
            <w:tcBorders>
              <w:top w:val="single" w:sz="4" w:space="0" w:color="000000"/>
              <w:left w:val="single" w:sz="12" w:space="0" w:color="auto"/>
              <w:bottom w:val="single" w:sz="4" w:space="0" w:color="000000"/>
              <w:right w:val="single" w:sz="4" w:space="0" w:color="000000"/>
            </w:tcBorders>
            <w:tcMar>
              <w:top w:w="0" w:type="dxa"/>
              <w:left w:w="0" w:type="dxa"/>
              <w:bottom w:w="0" w:type="dxa"/>
              <w:right w:w="0" w:type="dxa"/>
            </w:tcMar>
            <w:vAlign w:val="center"/>
          </w:tcPr>
          <w:p w14:paraId="14F9C444" w14:textId="77777777" w:rsidR="005B091C" w:rsidRPr="00EE7CF7" w:rsidRDefault="005B091C" w:rsidP="00ED190A">
            <w:pPr>
              <w:widowControl w:val="0"/>
              <w:pBdr>
                <w:top w:val="nil"/>
                <w:left w:val="nil"/>
                <w:bottom w:val="nil"/>
                <w:right w:val="nil"/>
                <w:between w:val="nil"/>
              </w:pBdr>
              <w:jc w:val="center"/>
              <w:rPr>
                <w:rFonts w:ascii="Arial" w:hAnsi="Arial" w:cs="Arial"/>
                <w:sz w:val="20"/>
              </w:rPr>
            </w:pPr>
          </w:p>
        </w:tc>
        <w:tc>
          <w:tcPr>
            <w:tcW w:w="1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CEB21C5" w14:textId="77777777" w:rsidR="005B091C" w:rsidRPr="00EE7CF7" w:rsidRDefault="005B091C" w:rsidP="00ED190A">
            <w:pPr>
              <w:jc w:val="center"/>
              <w:rPr>
                <w:rFonts w:ascii="Arial" w:hAnsi="Arial" w:cs="Arial"/>
                <w:sz w:val="20"/>
              </w:rPr>
            </w:pPr>
            <w:r w:rsidRPr="00EE7CF7">
              <w:rPr>
                <w:rFonts w:ascii="Arial" w:hAnsi="Arial" w:cs="Arial"/>
                <w:sz w:val="20"/>
              </w:rPr>
              <w:t>TESTE (ii)</w:t>
            </w:r>
          </w:p>
        </w:tc>
        <w:tc>
          <w:tcPr>
            <w:tcW w:w="12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37B5DD4" w14:textId="77777777" w:rsidR="005B091C" w:rsidRPr="00EE7CF7" w:rsidRDefault="005B091C" w:rsidP="00ED190A">
            <w:pPr>
              <w:jc w:val="center"/>
              <w:rPr>
                <w:rFonts w:ascii="Arial" w:hAnsi="Arial" w:cs="Arial"/>
                <w:sz w:val="20"/>
              </w:rPr>
            </w:pPr>
            <w:r w:rsidRPr="00EE7CF7">
              <w:rPr>
                <w:rFonts w:ascii="Arial" w:hAnsi="Arial" w:cs="Arial"/>
                <w:sz w:val="20"/>
              </w:rPr>
              <w:t>NÃO OK</w:t>
            </w:r>
          </w:p>
        </w:tc>
        <w:tc>
          <w:tcPr>
            <w:tcW w:w="3186" w:type="dxa"/>
            <w:vMerge/>
            <w:tcBorders>
              <w:left w:val="single" w:sz="4" w:space="0" w:color="000000"/>
              <w:right w:val="single" w:sz="12" w:space="0" w:color="auto"/>
            </w:tcBorders>
            <w:vAlign w:val="center"/>
          </w:tcPr>
          <w:p w14:paraId="5ECB70FF" w14:textId="77777777" w:rsidR="005B091C" w:rsidRPr="00EE7CF7" w:rsidRDefault="005B091C" w:rsidP="00ED190A">
            <w:pPr>
              <w:jc w:val="center"/>
              <w:rPr>
                <w:rFonts w:ascii="Arial" w:hAnsi="Arial" w:cs="Arial"/>
                <w:sz w:val="20"/>
              </w:rPr>
            </w:pPr>
          </w:p>
        </w:tc>
      </w:tr>
      <w:tr w:rsidR="005B091C" w:rsidRPr="00ED190A" w14:paraId="1B28B234" w14:textId="77777777" w:rsidTr="00B438F0">
        <w:trPr>
          <w:trHeight w:val="70"/>
          <w:jc w:val="center"/>
        </w:trPr>
        <w:tc>
          <w:tcPr>
            <w:tcW w:w="1560" w:type="dxa"/>
            <w:vMerge/>
            <w:tcBorders>
              <w:top w:val="single" w:sz="4" w:space="0" w:color="000000"/>
              <w:left w:val="single" w:sz="12" w:space="0" w:color="auto"/>
              <w:bottom w:val="single" w:sz="4" w:space="0" w:color="000000"/>
              <w:right w:val="single" w:sz="4" w:space="0" w:color="000000"/>
            </w:tcBorders>
            <w:tcMar>
              <w:top w:w="0" w:type="dxa"/>
              <w:left w:w="0" w:type="dxa"/>
              <w:bottom w:w="0" w:type="dxa"/>
              <w:right w:w="0" w:type="dxa"/>
            </w:tcMar>
            <w:vAlign w:val="center"/>
          </w:tcPr>
          <w:p w14:paraId="402C1D5B" w14:textId="77777777" w:rsidR="005B091C" w:rsidRPr="00EE7CF7" w:rsidRDefault="005B091C" w:rsidP="00ED190A">
            <w:pPr>
              <w:widowControl w:val="0"/>
              <w:pBdr>
                <w:top w:val="nil"/>
                <w:left w:val="nil"/>
                <w:bottom w:val="nil"/>
                <w:right w:val="nil"/>
                <w:between w:val="nil"/>
              </w:pBdr>
              <w:jc w:val="center"/>
              <w:rPr>
                <w:rFonts w:ascii="Arial" w:hAnsi="Arial" w:cs="Arial"/>
                <w:sz w:val="20"/>
              </w:rPr>
            </w:pPr>
          </w:p>
        </w:tc>
        <w:tc>
          <w:tcPr>
            <w:tcW w:w="1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76EFD81" w14:textId="77777777" w:rsidR="005B091C" w:rsidRPr="00EE7CF7" w:rsidRDefault="005B091C" w:rsidP="00ED190A">
            <w:pPr>
              <w:jc w:val="center"/>
              <w:rPr>
                <w:rFonts w:ascii="Arial" w:hAnsi="Arial" w:cs="Arial"/>
                <w:sz w:val="20"/>
              </w:rPr>
            </w:pPr>
            <w:r w:rsidRPr="00EE7CF7">
              <w:rPr>
                <w:rFonts w:ascii="Arial" w:hAnsi="Arial" w:cs="Arial"/>
                <w:sz w:val="20"/>
              </w:rPr>
              <w:t>TESTE (iii)</w:t>
            </w:r>
          </w:p>
        </w:tc>
        <w:tc>
          <w:tcPr>
            <w:tcW w:w="12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80028B5" w14:textId="77777777" w:rsidR="005B091C" w:rsidRPr="00EE7CF7" w:rsidRDefault="005B091C" w:rsidP="00ED190A">
            <w:pPr>
              <w:jc w:val="center"/>
              <w:rPr>
                <w:rFonts w:ascii="Arial" w:hAnsi="Arial" w:cs="Arial"/>
                <w:sz w:val="20"/>
              </w:rPr>
            </w:pPr>
            <w:r w:rsidRPr="00EE7CF7">
              <w:rPr>
                <w:rFonts w:ascii="Arial" w:hAnsi="Arial" w:cs="Arial"/>
                <w:sz w:val="20"/>
              </w:rPr>
              <w:t>OK</w:t>
            </w:r>
          </w:p>
        </w:tc>
        <w:tc>
          <w:tcPr>
            <w:tcW w:w="3186" w:type="dxa"/>
            <w:vMerge/>
            <w:tcBorders>
              <w:left w:val="single" w:sz="4" w:space="0" w:color="000000"/>
              <w:right w:val="single" w:sz="12" w:space="0" w:color="auto"/>
            </w:tcBorders>
            <w:vAlign w:val="center"/>
          </w:tcPr>
          <w:p w14:paraId="3926A8DB" w14:textId="77777777" w:rsidR="005B091C" w:rsidRPr="00EE7CF7" w:rsidRDefault="005B091C" w:rsidP="00ED190A">
            <w:pPr>
              <w:jc w:val="center"/>
              <w:rPr>
                <w:rFonts w:ascii="Arial" w:hAnsi="Arial" w:cs="Arial"/>
                <w:sz w:val="20"/>
              </w:rPr>
            </w:pPr>
          </w:p>
        </w:tc>
      </w:tr>
      <w:tr w:rsidR="005B091C" w:rsidRPr="00ED190A" w14:paraId="726F7011" w14:textId="77777777" w:rsidTr="00B438F0">
        <w:trPr>
          <w:jc w:val="center"/>
        </w:trPr>
        <w:tc>
          <w:tcPr>
            <w:tcW w:w="1560" w:type="dxa"/>
            <w:vMerge/>
            <w:tcBorders>
              <w:top w:val="single" w:sz="4" w:space="0" w:color="000000"/>
              <w:left w:val="single" w:sz="12" w:space="0" w:color="auto"/>
              <w:bottom w:val="single" w:sz="4" w:space="0" w:color="000000"/>
              <w:right w:val="single" w:sz="4" w:space="0" w:color="000000"/>
            </w:tcBorders>
            <w:tcMar>
              <w:top w:w="0" w:type="dxa"/>
              <w:left w:w="0" w:type="dxa"/>
              <w:bottom w:w="0" w:type="dxa"/>
              <w:right w:w="0" w:type="dxa"/>
            </w:tcMar>
            <w:vAlign w:val="center"/>
          </w:tcPr>
          <w:p w14:paraId="034923CD" w14:textId="77777777" w:rsidR="005B091C" w:rsidRPr="00EE7CF7" w:rsidRDefault="005B091C" w:rsidP="00ED190A">
            <w:pPr>
              <w:widowControl w:val="0"/>
              <w:pBdr>
                <w:top w:val="nil"/>
                <w:left w:val="nil"/>
                <w:bottom w:val="nil"/>
                <w:right w:val="nil"/>
                <w:between w:val="nil"/>
              </w:pBdr>
              <w:jc w:val="center"/>
              <w:rPr>
                <w:rFonts w:ascii="Arial" w:hAnsi="Arial" w:cs="Arial"/>
                <w:sz w:val="20"/>
              </w:rPr>
            </w:pPr>
          </w:p>
        </w:tc>
        <w:tc>
          <w:tcPr>
            <w:tcW w:w="290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EF17B6" w14:textId="77777777" w:rsidR="005B091C" w:rsidRPr="00EE7CF7" w:rsidRDefault="005B091C" w:rsidP="00ED190A">
            <w:pPr>
              <w:jc w:val="center"/>
              <w:rPr>
                <w:rFonts w:ascii="Arial" w:hAnsi="Arial" w:cs="Arial"/>
                <w:sz w:val="20"/>
              </w:rPr>
            </w:pPr>
            <w:r w:rsidRPr="00EE7CF7">
              <w:rPr>
                <w:rFonts w:ascii="Arial" w:hAnsi="Arial" w:cs="Arial"/>
                <w:sz w:val="20"/>
              </w:rPr>
              <w:t>TOTAL = 60</w:t>
            </w:r>
          </w:p>
        </w:tc>
        <w:tc>
          <w:tcPr>
            <w:tcW w:w="3186" w:type="dxa"/>
            <w:vMerge/>
            <w:tcBorders>
              <w:left w:val="single" w:sz="4" w:space="0" w:color="000000"/>
              <w:bottom w:val="single" w:sz="4" w:space="0" w:color="000000"/>
              <w:right w:val="single" w:sz="12" w:space="0" w:color="auto"/>
            </w:tcBorders>
            <w:vAlign w:val="center"/>
          </w:tcPr>
          <w:p w14:paraId="1A6D695A" w14:textId="77777777" w:rsidR="005B091C" w:rsidRPr="00EE7CF7" w:rsidRDefault="005B091C" w:rsidP="00ED190A">
            <w:pPr>
              <w:jc w:val="center"/>
              <w:rPr>
                <w:rFonts w:ascii="Arial" w:hAnsi="Arial" w:cs="Arial"/>
                <w:sz w:val="20"/>
              </w:rPr>
            </w:pPr>
          </w:p>
        </w:tc>
      </w:tr>
      <w:tr w:rsidR="005B091C" w:rsidRPr="00ED190A" w14:paraId="1D299E54" w14:textId="77777777" w:rsidTr="00B438F0">
        <w:trPr>
          <w:jc w:val="center"/>
        </w:trPr>
        <w:tc>
          <w:tcPr>
            <w:tcW w:w="1560" w:type="dxa"/>
            <w:vMerge w:val="restart"/>
            <w:tcBorders>
              <w:top w:val="single" w:sz="4" w:space="0" w:color="000000"/>
              <w:left w:val="single" w:sz="12" w:space="0" w:color="auto"/>
              <w:bottom w:val="single" w:sz="4" w:space="0" w:color="000000"/>
              <w:right w:val="single" w:sz="4" w:space="0" w:color="000000"/>
            </w:tcBorders>
            <w:tcMar>
              <w:top w:w="0" w:type="dxa"/>
              <w:left w:w="0" w:type="dxa"/>
              <w:bottom w:w="0" w:type="dxa"/>
              <w:right w:w="0" w:type="dxa"/>
            </w:tcMar>
            <w:vAlign w:val="center"/>
          </w:tcPr>
          <w:p w14:paraId="382B3C3B" w14:textId="77777777" w:rsidR="005B091C" w:rsidRPr="00EE7CF7" w:rsidRDefault="005B091C" w:rsidP="00ED190A">
            <w:pPr>
              <w:jc w:val="center"/>
              <w:rPr>
                <w:rFonts w:ascii="Arial" w:hAnsi="Arial" w:cs="Arial"/>
                <w:sz w:val="20"/>
              </w:rPr>
            </w:pPr>
          </w:p>
          <w:p w14:paraId="6DB2673E" w14:textId="77777777" w:rsidR="005B091C" w:rsidRPr="00EE7CF7" w:rsidRDefault="005B091C" w:rsidP="00ED190A">
            <w:pPr>
              <w:jc w:val="center"/>
              <w:rPr>
                <w:rFonts w:ascii="Arial" w:hAnsi="Arial" w:cs="Arial"/>
                <w:sz w:val="20"/>
              </w:rPr>
            </w:pPr>
            <w:r w:rsidRPr="00EE7CF7">
              <w:rPr>
                <w:rFonts w:ascii="Arial" w:hAnsi="Arial" w:cs="Arial"/>
                <w:sz w:val="20"/>
              </w:rPr>
              <w:t xml:space="preserve">5 </w:t>
            </w:r>
            <w:proofErr w:type="spellStart"/>
            <w:r w:rsidRPr="00EE7CF7">
              <w:rPr>
                <w:rFonts w:ascii="Arial" w:hAnsi="Arial" w:cs="Arial"/>
                <w:sz w:val="20"/>
              </w:rPr>
              <w:t>Equidade</w:t>
            </w:r>
            <w:proofErr w:type="spellEnd"/>
            <w:r w:rsidRPr="00EE7CF7">
              <w:rPr>
                <w:rFonts w:ascii="Arial" w:hAnsi="Arial" w:cs="Arial"/>
                <w:sz w:val="20"/>
              </w:rPr>
              <w:t xml:space="preserve"> inter e </w:t>
            </w:r>
            <w:proofErr w:type="spellStart"/>
            <w:r w:rsidRPr="00EE7CF7">
              <w:rPr>
                <w:rFonts w:ascii="Arial" w:hAnsi="Arial" w:cs="Arial"/>
                <w:sz w:val="20"/>
              </w:rPr>
              <w:t>intrageracional</w:t>
            </w:r>
            <w:proofErr w:type="spellEnd"/>
          </w:p>
        </w:tc>
        <w:tc>
          <w:tcPr>
            <w:tcW w:w="1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02F9E1F" w14:textId="77777777" w:rsidR="005B091C" w:rsidRPr="00EE7CF7" w:rsidRDefault="005B091C" w:rsidP="00ED190A">
            <w:pPr>
              <w:jc w:val="center"/>
              <w:rPr>
                <w:rFonts w:ascii="Arial" w:hAnsi="Arial" w:cs="Arial"/>
                <w:sz w:val="20"/>
              </w:rPr>
            </w:pPr>
            <w:r w:rsidRPr="00EE7CF7">
              <w:rPr>
                <w:rFonts w:ascii="Arial" w:hAnsi="Arial" w:cs="Arial"/>
                <w:sz w:val="20"/>
              </w:rPr>
              <w:t>5.1</w:t>
            </w:r>
          </w:p>
        </w:tc>
        <w:tc>
          <w:tcPr>
            <w:tcW w:w="12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D1FAFA" w14:textId="77777777" w:rsidR="005B091C" w:rsidRPr="00EE7CF7" w:rsidRDefault="005B091C" w:rsidP="00ED190A">
            <w:pPr>
              <w:jc w:val="center"/>
              <w:rPr>
                <w:rFonts w:ascii="Arial" w:hAnsi="Arial" w:cs="Arial"/>
                <w:sz w:val="20"/>
              </w:rPr>
            </w:pPr>
            <w:r w:rsidRPr="00EE7CF7">
              <w:rPr>
                <w:rFonts w:ascii="Arial" w:hAnsi="Arial" w:cs="Arial"/>
                <w:sz w:val="20"/>
              </w:rPr>
              <w:t>20</w:t>
            </w:r>
          </w:p>
        </w:tc>
        <w:tc>
          <w:tcPr>
            <w:tcW w:w="3186" w:type="dxa"/>
            <w:vMerge w:val="restart"/>
            <w:tcBorders>
              <w:top w:val="single" w:sz="4" w:space="0" w:color="000000"/>
              <w:left w:val="single" w:sz="4" w:space="0" w:color="000000"/>
              <w:right w:val="single" w:sz="12" w:space="0" w:color="auto"/>
            </w:tcBorders>
            <w:vAlign w:val="center"/>
          </w:tcPr>
          <w:p w14:paraId="3405CA14" w14:textId="77777777" w:rsidR="005B091C" w:rsidRPr="00EE7CF7" w:rsidRDefault="005B091C" w:rsidP="00ED190A">
            <w:pPr>
              <w:rPr>
                <w:rFonts w:ascii="Arial" w:hAnsi="Arial" w:cs="Arial"/>
                <w:sz w:val="20"/>
              </w:rPr>
            </w:pPr>
          </w:p>
          <w:p w14:paraId="5D2630C3" w14:textId="77777777" w:rsidR="005B091C" w:rsidRPr="00EE7CF7" w:rsidRDefault="005B091C" w:rsidP="00ED190A">
            <w:pPr>
              <w:jc w:val="center"/>
              <w:rPr>
                <w:rFonts w:ascii="Arial" w:hAnsi="Arial" w:cs="Arial"/>
                <w:sz w:val="20"/>
              </w:rPr>
            </w:pPr>
            <w:r w:rsidRPr="00EE7CF7">
              <w:rPr>
                <w:rFonts w:ascii="Arial" w:hAnsi="Arial" w:cs="Arial"/>
                <w:sz w:val="20"/>
              </w:rPr>
              <w:t>REGULAR</w:t>
            </w:r>
          </w:p>
        </w:tc>
      </w:tr>
      <w:tr w:rsidR="005B091C" w:rsidRPr="00ED190A" w14:paraId="346C2891" w14:textId="77777777" w:rsidTr="00B438F0">
        <w:trPr>
          <w:jc w:val="center"/>
        </w:trPr>
        <w:tc>
          <w:tcPr>
            <w:tcW w:w="1560" w:type="dxa"/>
            <w:vMerge/>
            <w:tcBorders>
              <w:top w:val="single" w:sz="4" w:space="0" w:color="000000"/>
              <w:left w:val="single" w:sz="12" w:space="0" w:color="auto"/>
              <w:bottom w:val="single" w:sz="4" w:space="0" w:color="000000"/>
              <w:right w:val="single" w:sz="4" w:space="0" w:color="000000"/>
            </w:tcBorders>
            <w:tcMar>
              <w:top w:w="0" w:type="dxa"/>
              <w:left w:w="0" w:type="dxa"/>
              <w:bottom w:w="0" w:type="dxa"/>
              <w:right w:w="0" w:type="dxa"/>
            </w:tcMar>
            <w:vAlign w:val="center"/>
          </w:tcPr>
          <w:p w14:paraId="60ABCF29" w14:textId="77777777" w:rsidR="005B091C" w:rsidRPr="00ED190A" w:rsidRDefault="005B091C" w:rsidP="00ED190A">
            <w:pPr>
              <w:widowControl w:val="0"/>
              <w:pBdr>
                <w:top w:val="nil"/>
                <w:left w:val="nil"/>
                <w:bottom w:val="nil"/>
                <w:right w:val="nil"/>
                <w:between w:val="nil"/>
              </w:pBdr>
              <w:jc w:val="center"/>
              <w:rPr>
                <w:rFonts w:ascii="Arial" w:hAnsi="Arial" w:cs="Arial"/>
                <w:sz w:val="20"/>
              </w:rPr>
            </w:pPr>
          </w:p>
        </w:tc>
        <w:tc>
          <w:tcPr>
            <w:tcW w:w="1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A373F25" w14:textId="77777777" w:rsidR="005B091C" w:rsidRPr="00ED190A" w:rsidRDefault="005B091C" w:rsidP="00ED190A">
            <w:pPr>
              <w:jc w:val="center"/>
              <w:rPr>
                <w:rFonts w:ascii="Arial" w:hAnsi="Arial" w:cs="Arial"/>
                <w:sz w:val="20"/>
              </w:rPr>
            </w:pPr>
            <w:r w:rsidRPr="00ED190A">
              <w:rPr>
                <w:rFonts w:ascii="Arial" w:hAnsi="Arial" w:cs="Arial"/>
                <w:sz w:val="20"/>
              </w:rPr>
              <w:t>5.2</w:t>
            </w:r>
          </w:p>
        </w:tc>
        <w:tc>
          <w:tcPr>
            <w:tcW w:w="12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47E53D1" w14:textId="77777777" w:rsidR="005B091C" w:rsidRPr="00ED190A" w:rsidRDefault="005B091C" w:rsidP="00ED190A">
            <w:pPr>
              <w:jc w:val="center"/>
              <w:rPr>
                <w:rFonts w:ascii="Arial" w:hAnsi="Arial" w:cs="Arial"/>
                <w:sz w:val="20"/>
              </w:rPr>
            </w:pPr>
            <w:r w:rsidRPr="00ED190A">
              <w:rPr>
                <w:rFonts w:ascii="Arial" w:hAnsi="Arial" w:cs="Arial"/>
                <w:sz w:val="20"/>
              </w:rPr>
              <w:t>10</w:t>
            </w:r>
          </w:p>
        </w:tc>
        <w:tc>
          <w:tcPr>
            <w:tcW w:w="3186" w:type="dxa"/>
            <w:vMerge/>
            <w:tcBorders>
              <w:left w:val="single" w:sz="4" w:space="0" w:color="000000"/>
              <w:right w:val="single" w:sz="12" w:space="0" w:color="auto"/>
            </w:tcBorders>
            <w:vAlign w:val="center"/>
          </w:tcPr>
          <w:p w14:paraId="2D626FEA" w14:textId="77777777" w:rsidR="005B091C" w:rsidRPr="00ED190A" w:rsidRDefault="005B091C" w:rsidP="00ED190A">
            <w:pPr>
              <w:jc w:val="center"/>
              <w:rPr>
                <w:rFonts w:ascii="Arial" w:hAnsi="Arial" w:cs="Arial"/>
                <w:sz w:val="20"/>
              </w:rPr>
            </w:pPr>
          </w:p>
        </w:tc>
      </w:tr>
      <w:tr w:rsidR="005B091C" w:rsidRPr="00ED190A" w14:paraId="34085979" w14:textId="77777777" w:rsidTr="00B438F0">
        <w:trPr>
          <w:jc w:val="center"/>
        </w:trPr>
        <w:tc>
          <w:tcPr>
            <w:tcW w:w="1560" w:type="dxa"/>
            <w:vMerge/>
            <w:tcBorders>
              <w:top w:val="single" w:sz="4" w:space="0" w:color="000000"/>
              <w:left w:val="single" w:sz="12" w:space="0" w:color="auto"/>
              <w:bottom w:val="single" w:sz="4" w:space="0" w:color="000000"/>
              <w:right w:val="single" w:sz="4" w:space="0" w:color="000000"/>
            </w:tcBorders>
            <w:tcMar>
              <w:top w:w="0" w:type="dxa"/>
              <w:left w:w="0" w:type="dxa"/>
              <w:bottom w:w="0" w:type="dxa"/>
              <w:right w:w="0" w:type="dxa"/>
            </w:tcMar>
            <w:vAlign w:val="center"/>
          </w:tcPr>
          <w:p w14:paraId="345D243C" w14:textId="77777777" w:rsidR="005B091C" w:rsidRPr="00ED190A" w:rsidRDefault="005B091C" w:rsidP="00ED190A">
            <w:pPr>
              <w:widowControl w:val="0"/>
              <w:pBdr>
                <w:top w:val="nil"/>
                <w:left w:val="nil"/>
                <w:bottom w:val="nil"/>
                <w:right w:val="nil"/>
                <w:between w:val="nil"/>
              </w:pBdr>
              <w:jc w:val="center"/>
              <w:rPr>
                <w:rFonts w:ascii="Arial" w:hAnsi="Arial" w:cs="Arial"/>
                <w:sz w:val="20"/>
              </w:rPr>
            </w:pPr>
          </w:p>
        </w:tc>
        <w:tc>
          <w:tcPr>
            <w:tcW w:w="1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443D84D" w14:textId="77777777" w:rsidR="005B091C" w:rsidRPr="00ED190A" w:rsidRDefault="005B091C" w:rsidP="00ED190A">
            <w:pPr>
              <w:jc w:val="center"/>
              <w:rPr>
                <w:rFonts w:ascii="Arial" w:hAnsi="Arial" w:cs="Arial"/>
                <w:sz w:val="20"/>
              </w:rPr>
            </w:pPr>
            <w:r w:rsidRPr="00ED190A">
              <w:rPr>
                <w:rFonts w:ascii="Arial" w:hAnsi="Arial" w:cs="Arial"/>
                <w:sz w:val="20"/>
              </w:rPr>
              <w:t>5.3</w:t>
            </w:r>
          </w:p>
        </w:tc>
        <w:tc>
          <w:tcPr>
            <w:tcW w:w="12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9CDFF40" w14:textId="77777777" w:rsidR="005B091C" w:rsidRPr="00ED190A" w:rsidRDefault="005B091C" w:rsidP="00ED190A">
            <w:pPr>
              <w:jc w:val="center"/>
              <w:rPr>
                <w:rFonts w:ascii="Arial" w:hAnsi="Arial" w:cs="Arial"/>
                <w:sz w:val="20"/>
              </w:rPr>
            </w:pPr>
            <w:r w:rsidRPr="00ED190A">
              <w:rPr>
                <w:rFonts w:ascii="Arial" w:hAnsi="Arial" w:cs="Arial"/>
                <w:sz w:val="20"/>
              </w:rPr>
              <w:t>10</w:t>
            </w:r>
          </w:p>
        </w:tc>
        <w:tc>
          <w:tcPr>
            <w:tcW w:w="3186" w:type="dxa"/>
            <w:vMerge/>
            <w:tcBorders>
              <w:left w:val="single" w:sz="4" w:space="0" w:color="000000"/>
              <w:right w:val="single" w:sz="12" w:space="0" w:color="auto"/>
            </w:tcBorders>
            <w:vAlign w:val="center"/>
          </w:tcPr>
          <w:p w14:paraId="1EC62F11" w14:textId="77777777" w:rsidR="005B091C" w:rsidRPr="00ED190A" w:rsidRDefault="005B091C" w:rsidP="00ED190A">
            <w:pPr>
              <w:jc w:val="center"/>
              <w:rPr>
                <w:rFonts w:ascii="Arial" w:hAnsi="Arial" w:cs="Arial"/>
                <w:sz w:val="20"/>
              </w:rPr>
            </w:pPr>
          </w:p>
        </w:tc>
      </w:tr>
      <w:tr w:rsidR="005B091C" w:rsidRPr="00ED190A" w14:paraId="76A1C60A" w14:textId="77777777" w:rsidTr="00B438F0">
        <w:trPr>
          <w:jc w:val="center"/>
        </w:trPr>
        <w:tc>
          <w:tcPr>
            <w:tcW w:w="1560" w:type="dxa"/>
            <w:vMerge/>
            <w:tcBorders>
              <w:top w:val="single" w:sz="4" w:space="0" w:color="000000"/>
              <w:left w:val="single" w:sz="12" w:space="0" w:color="auto"/>
              <w:bottom w:val="single" w:sz="4" w:space="0" w:color="000000"/>
              <w:right w:val="single" w:sz="4" w:space="0" w:color="000000"/>
            </w:tcBorders>
            <w:tcMar>
              <w:top w:w="0" w:type="dxa"/>
              <w:left w:w="0" w:type="dxa"/>
              <w:bottom w:w="0" w:type="dxa"/>
              <w:right w:w="0" w:type="dxa"/>
            </w:tcMar>
            <w:vAlign w:val="center"/>
          </w:tcPr>
          <w:p w14:paraId="3F5D3692" w14:textId="77777777" w:rsidR="005B091C" w:rsidRPr="00ED190A" w:rsidRDefault="005B091C" w:rsidP="00ED190A">
            <w:pPr>
              <w:widowControl w:val="0"/>
              <w:pBdr>
                <w:top w:val="nil"/>
                <w:left w:val="nil"/>
                <w:bottom w:val="nil"/>
                <w:right w:val="nil"/>
                <w:between w:val="nil"/>
              </w:pBdr>
              <w:jc w:val="center"/>
              <w:rPr>
                <w:rFonts w:ascii="Arial" w:hAnsi="Arial" w:cs="Arial"/>
                <w:sz w:val="20"/>
              </w:rPr>
            </w:pPr>
          </w:p>
        </w:tc>
        <w:tc>
          <w:tcPr>
            <w:tcW w:w="1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603610B" w14:textId="77777777" w:rsidR="005B091C" w:rsidRPr="00ED190A" w:rsidRDefault="005B091C" w:rsidP="00ED190A">
            <w:pPr>
              <w:jc w:val="center"/>
              <w:rPr>
                <w:rFonts w:ascii="Arial" w:hAnsi="Arial" w:cs="Arial"/>
                <w:sz w:val="20"/>
              </w:rPr>
            </w:pPr>
            <w:r w:rsidRPr="00ED190A">
              <w:rPr>
                <w:rFonts w:ascii="Arial" w:hAnsi="Arial" w:cs="Arial"/>
                <w:sz w:val="20"/>
              </w:rPr>
              <w:t>5.4</w:t>
            </w:r>
          </w:p>
        </w:tc>
        <w:tc>
          <w:tcPr>
            <w:tcW w:w="12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AAED34F" w14:textId="77777777" w:rsidR="005B091C" w:rsidRPr="00ED190A" w:rsidRDefault="005B091C" w:rsidP="00ED190A">
            <w:pPr>
              <w:jc w:val="center"/>
              <w:rPr>
                <w:rFonts w:ascii="Arial" w:hAnsi="Arial" w:cs="Arial"/>
                <w:sz w:val="20"/>
              </w:rPr>
            </w:pPr>
            <w:r w:rsidRPr="00ED190A">
              <w:rPr>
                <w:rFonts w:ascii="Arial" w:hAnsi="Arial" w:cs="Arial"/>
                <w:sz w:val="20"/>
              </w:rPr>
              <w:t>10</w:t>
            </w:r>
          </w:p>
        </w:tc>
        <w:tc>
          <w:tcPr>
            <w:tcW w:w="3186" w:type="dxa"/>
            <w:vMerge/>
            <w:tcBorders>
              <w:left w:val="single" w:sz="4" w:space="0" w:color="000000"/>
              <w:right w:val="single" w:sz="12" w:space="0" w:color="auto"/>
            </w:tcBorders>
            <w:vAlign w:val="center"/>
          </w:tcPr>
          <w:p w14:paraId="1FED88B2" w14:textId="77777777" w:rsidR="005B091C" w:rsidRPr="00ED190A" w:rsidRDefault="005B091C" w:rsidP="00ED190A">
            <w:pPr>
              <w:jc w:val="center"/>
              <w:rPr>
                <w:rFonts w:ascii="Arial" w:hAnsi="Arial" w:cs="Arial"/>
                <w:sz w:val="20"/>
              </w:rPr>
            </w:pPr>
          </w:p>
        </w:tc>
      </w:tr>
      <w:tr w:rsidR="005B091C" w:rsidRPr="00ED190A" w14:paraId="47FDFD5C" w14:textId="77777777" w:rsidTr="00B438F0">
        <w:trPr>
          <w:jc w:val="center"/>
        </w:trPr>
        <w:tc>
          <w:tcPr>
            <w:tcW w:w="1560" w:type="dxa"/>
            <w:vMerge/>
            <w:tcBorders>
              <w:top w:val="single" w:sz="4" w:space="0" w:color="000000"/>
              <w:left w:val="single" w:sz="12" w:space="0" w:color="auto"/>
              <w:bottom w:val="single" w:sz="4" w:space="0" w:color="000000"/>
              <w:right w:val="single" w:sz="4" w:space="0" w:color="000000"/>
            </w:tcBorders>
            <w:tcMar>
              <w:top w:w="0" w:type="dxa"/>
              <w:left w:w="0" w:type="dxa"/>
              <w:bottom w:w="0" w:type="dxa"/>
              <w:right w:w="0" w:type="dxa"/>
            </w:tcMar>
            <w:vAlign w:val="center"/>
          </w:tcPr>
          <w:p w14:paraId="3737625F" w14:textId="77777777" w:rsidR="005B091C" w:rsidRPr="00ED190A" w:rsidRDefault="005B091C" w:rsidP="00ED190A">
            <w:pPr>
              <w:widowControl w:val="0"/>
              <w:pBdr>
                <w:top w:val="nil"/>
                <w:left w:val="nil"/>
                <w:bottom w:val="nil"/>
                <w:right w:val="nil"/>
                <w:between w:val="nil"/>
              </w:pBdr>
              <w:jc w:val="center"/>
              <w:rPr>
                <w:rFonts w:ascii="Arial" w:hAnsi="Arial" w:cs="Arial"/>
                <w:sz w:val="20"/>
              </w:rPr>
            </w:pPr>
          </w:p>
        </w:tc>
        <w:tc>
          <w:tcPr>
            <w:tcW w:w="1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2C5B059" w14:textId="77777777" w:rsidR="005B091C" w:rsidRPr="00ED190A" w:rsidRDefault="005B091C" w:rsidP="00ED190A">
            <w:pPr>
              <w:jc w:val="center"/>
              <w:rPr>
                <w:rFonts w:ascii="Arial" w:hAnsi="Arial" w:cs="Arial"/>
                <w:sz w:val="20"/>
              </w:rPr>
            </w:pPr>
            <w:r w:rsidRPr="00ED190A">
              <w:rPr>
                <w:rFonts w:ascii="Arial" w:hAnsi="Arial" w:cs="Arial"/>
                <w:sz w:val="20"/>
              </w:rPr>
              <w:t>TOTAL (i)</w:t>
            </w:r>
          </w:p>
        </w:tc>
        <w:tc>
          <w:tcPr>
            <w:tcW w:w="12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50B3E5E" w14:textId="77777777" w:rsidR="005B091C" w:rsidRPr="00ED190A" w:rsidRDefault="005B091C" w:rsidP="00ED190A">
            <w:pPr>
              <w:jc w:val="center"/>
              <w:rPr>
                <w:rFonts w:ascii="Arial" w:hAnsi="Arial" w:cs="Arial"/>
                <w:sz w:val="20"/>
              </w:rPr>
            </w:pPr>
            <w:r w:rsidRPr="00ED190A">
              <w:rPr>
                <w:rFonts w:ascii="Arial" w:hAnsi="Arial" w:cs="Arial"/>
                <w:sz w:val="20"/>
              </w:rPr>
              <w:t>OK</w:t>
            </w:r>
          </w:p>
        </w:tc>
        <w:tc>
          <w:tcPr>
            <w:tcW w:w="3186" w:type="dxa"/>
            <w:vMerge/>
            <w:tcBorders>
              <w:left w:val="single" w:sz="4" w:space="0" w:color="000000"/>
              <w:right w:val="single" w:sz="12" w:space="0" w:color="auto"/>
            </w:tcBorders>
            <w:vAlign w:val="center"/>
          </w:tcPr>
          <w:p w14:paraId="2B64758A" w14:textId="77777777" w:rsidR="005B091C" w:rsidRPr="00ED190A" w:rsidRDefault="005B091C" w:rsidP="00ED190A">
            <w:pPr>
              <w:jc w:val="center"/>
              <w:rPr>
                <w:rFonts w:ascii="Arial" w:hAnsi="Arial" w:cs="Arial"/>
                <w:sz w:val="20"/>
              </w:rPr>
            </w:pPr>
          </w:p>
        </w:tc>
      </w:tr>
      <w:tr w:rsidR="005B091C" w:rsidRPr="00ED190A" w14:paraId="6B0170CE" w14:textId="77777777" w:rsidTr="00B438F0">
        <w:trPr>
          <w:jc w:val="center"/>
        </w:trPr>
        <w:tc>
          <w:tcPr>
            <w:tcW w:w="1560" w:type="dxa"/>
            <w:vMerge/>
            <w:tcBorders>
              <w:top w:val="single" w:sz="4" w:space="0" w:color="000000"/>
              <w:left w:val="single" w:sz="12" w:space="0" w:color="auto"/>
              <w:bottom w:val="single" w:sz="4" w:space="0" w:color="000000"/>
              <w:right w:val="single" w:sz="4" w:space="0" w:color="000000"/>
            </w:tcBorders>
            <w:tcMar>
              <w:top w:w="0" w:type="dxa"/>
              <w:left w:w="0" w:type="dxa"/>
              <w:bottom w:w="0" w:type="dxa"/>
              <w:right w:w="0" w:type="dxa"/>
            </w:tcMar>
            <w:vAlign w:val="center"/>
          </w:tcPr>
          <w:p w14:paraId="75ED7E2C" w14:textId="77777777" w:rsidR="005B091C" w:rsidRPr="00ED190A" w:rsidRDefault="005B091C" w:rsidP="00ED190A">
            <w:pPr>
              <w:widowControl w:val="0"/>
              <w:pBdr>
                <w:top w:val="nil"/>
                <w:left w:val="nil"/>
                <w:bottom w:val="nil"/>
                <w:right w:val="nil"/>
                <w:between w:val="nil"/>
              </w:pBdr>
              <w:jc w:val="center"/>
              <w:rPr>
                <w:rFonts w:ascii="Arial" w:hAnsi="Arial" w:cs="Arial"/>
                <w:sz w:val="20"/>
              </w:rPr>
            </w:pPr>
          </w:p>
        </w:tc>
        <w:tc>
          <w:tcPr>
            <w:tcW w:w="1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0E5053" w14:textId="77777777" w:rsidR="005B091C" w:rsidRPr="00ED190A" w:rsidRDefault="005B091C" w:rsidP="00ED190A">
            <w:pPr>
              <w:jc w:val="center"/>
              <w:rPr>
                <w:rFonts w:ascii="Arial" w:hAnsi="Arial" w:cs="Arial"/>
                <w:sz w:val="20"/>
              </w:rPr>
            </w:pPr>
            <w:r w:rsidRPr="00ED190A">
              <w:rPr>
                <w:rFonts w:ascii="Arial" w:hAnsi="Arial" w:cs="Arial"/>
                <w:sz w:val="20"/>
              </w:rPr>
              <w:t>TOTAL (ii)</w:t>
            </w:r>
          </w:p>
        </w:tc>
        <w:tc>
          <w:tcPr>
            <w:tcW w:w="12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72C612F" w14:textId="77777777" w:rsidR="005B091C" w:rsidRPr="00ED190A" w:rsidRDefault="005B091C" w:rsidP="00ED190A">
            <w:pPr>
              <w:jc w:val="center"/>
              <w:rPr>
                <w:rFonts w:ascii="Arial" w:hAnsi="Arial" w:cs="Arial"/>
                <w:sz w:val="20"/>
              </w:rPr>
            </w:pPr>
            <w:r w:rsidRPr="00ED190A">
              <w:rPr>
                <w:rFonts w:ascii="Arial" w:hAnsi="Arial" w:cs="Arial"/>
                <w:sz w:val="20"/>
              </w:rPr>
              <w:t>NÃO OK</w:t>
            </w:r>
          </w:p>
        </w:tc>
        <w:tc>
          <w:tcPr>
            <w:tcW w:w="3186" w:type="dxa"/>
            <w:vMerge/>
            <w:tcBorders>
              <w:left w:val="single" w:sz="4" w:space="0" w:color="000000"/>
              <w:right w:val="single" w:sz="12" w:space="0" w:color="auto"/>
            </w:tcBorders>
            <w:vAlign w:val="center"/>
          </w:tcPr>
          <w:p w14:paraId="0C992A89" w14:textId="77777777" w:rsidR="005B091C" w:rsidRPr="00ED190A" w:rsidRDefault="005B091C" w:rsidP="00ED190A">
            <w:pPr>
              <w:jc w:val="center"/>
              <w:rPr>
                <w:rFonts w:ascii="Arial" w:hAnsi="Arial" w:cs="Arial"/>
                <w:sz w:val="20"/>
              </w:rPr>
            </w:pPr>
          </w:p>
        </w:tc>
      </w:tr>
      <w:tr w:rsidR="005B091C" w:rsidRPr="00ED190A" w14:paraId="3339C9DC" w14:textId="77777777" w:rsidTr="00B438F0">
        <w:trPr>
          <w:jc w:val="center"/>
        </w:trPr>
        <w:tc>
          <w:tcPr>
            <w:tcW w:w="1560" w:type="dxa"/>
            <w:vMerge/>
            <w:tcBorders>
              <w:top w:val="single" w:sz="4" w:space="0" w:color="000000"/>
              <w:left w:val="single" w:sz="12" w:space="0" w:color="auto"/>
              <w:bottom w:val="single" w:sz="4" w:space="0" w:color="000000"/>
              <w:right w:val="single" w:sz="4" w:space="0" w:color="000000"/>
            </w:tcBorders>
            <w:tcMar>
              <w:top w:w="0" w:type="dxa"/>
              <w:left w:w="0" w:type="dxa"/>
              <w:bottom w:w="0" w:type="dxa"/>
              <w:right w:w="0" w:type="dxa"/>
            </w:tcMar>
            <w:vAlign w:val="center"/>
          </w:tcPr>
          <w:p w14:paraId="31518107" w14:textId="77777777" w:rsidR="005B091C" w:rsidRPr="00ED190A" w:rsidRDefault="005B091C" w:rsidP="00ED190A">
            <w:pPr>
              <w:widowControl w:val="0"/>
              <w:pBdr>
                <w:top w:val="nil"/>
                <w:left w:val="nil"/>
                <w:bottom w:val="nil"/>
                <w:right w:val="nil"/>
                <w:between w:val="nil"/>
              </w:pBdr>
              <w:jc w:val="center"/>
              <w:rPr>
                <w:rFonts w:ascii="Arial" w:hAnsi="Arial" w:cs="Arial"/>
                <w:sz w:val="20"/>
              </w:rPr>
            </w:pPr>
          </w:p>
        </w:tc>
        <w:tc>
          <w:tcPr>
            <w:tcW w:w="1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CFBC7E" w14:textId="77777777" w:rsidR="005B091C" w:rsidRPr="00ED190A" w:rsidRDefault="005B091C" w:rsidP="00ED190A">
            <w:pPr>
              <w:jc w:val="center"/>
              <w:rPr>
                <w:rFonts w:ascii="Arial" w:hAnsi="Arial" w:cs="Arial"/>
                <w:sz w:val="20"/>
              </w:rPr>
            </w:pPr>
            <w:r w:rsidRPr="00ED190A">
              <w:rPr>
                <w:rFonts w:ascii="Arial" w:hAnsi="Arial" w:cs="Arial"/>
                <w:sz w:val="20"/>
              </w:rPr>
              <w:t>TOTAL (iii)</w:t>
            </w:r>
          </w:p>
        </w:tc>
        <w:tc>
          <w:tcPr>
            <w:tcW w:w="12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27EE42C" w14:textId="77777777" w:rsidR="005B091C" w:rsidRPr="00ED190A" w:rsidRDefault="005B091C" w:rsidP="00ED190A">
            <w:pPr>
              <w:jc w:val="center"/>
              <w:rPr>
                <w:rFonts w:ascii="Arial" w:hAnsi="Arial" w:cs="Arial"/>
                <w:sz w:val="20"/>
              </w:rPr>
            </w:pPr>
            <w:r w:rsidRPr="00ED190A">
              <w:rPr>
                <w:rFonts w:ascii="Arial" w:hAnsi="Arial" w:cs="Arial"/>
                <w:sz w:val="20"/>
              </w:rPr>
              <w:t>NÃO OK</w:t>
            </w:r>
          </w:p>
        </w:tc>
        <w:tc>
          <w:tcPr>
            <w:tcW w:w="3186" w:type="dxa"/>
            <w:vMerge/>
            <w:tcBorders>
              <w:left w:val="single" w:sz="4" w:space="0" w:color="000000"/>
              <w:right w:val="single" w:sz="12" w:space="0" w:color="auto"/>
            </w:tcBorders>
            <w:vAlign w:val="center"/>
          </w:tcPr>
          <w:p w14:paraId="790440E0" w14:textId="77777777" w:rsidR="005B091C" w:rsidRPr="00ED190A" w:rsidRDefault="005B091C" w:rsidP="00ED190A">
            <w:pPr>
              <w:jc w:val="center"/>
              <w:rPr>
                <w:rFonts w:ascii="Arial" w:hAnsi="Arial" w:cs="Arial"/>
                <w:sz w:val="20"/>
              </w:rPr>
            </w:pPr>
          </w:p>
        </w:tc>
      </w:tr>
      <w:tr w:rsidR="005B091C" w:rsidRPr="00ED190A" w14:paraId="67A44D84" w14:textId="77777777" w:rsidTr="00B438F0">
        <w:trPr>
          <w:jc w:val="center"/>
        </w:trPr>
        <w:tc>
          <w:tcPr>
            <w:tcW w:w="1560" w:type="dxa"/>
            <w:vMerge/>
            <w:tcBorders>
              <w:top w:val="single" w:sz="4" w:space="0" w:color="000000"/>
              <w:left w:val="single" w:sz="12" w:space="0" w:color="auto"/>
              <w:bottom w:val="single" w:sz="4" w:space="0" w:color="000000"/>
              <w:right w:val="single" w:sz="4" w:space="0" w:color="000000"/>
            </w:tcBorders>
            <w:tcMar>
              <w:top w:w="0" w:type="dxa"/>
              <w:left w:w="0" w:type="dxa"/>
              <w:bottom w:w="0" w:type="dxa"/>
              <w:right w:w="0" w:type="dxa"/>
            </w:tcMar>
            <w:vAlign w:val="center"/>
          </w:tcPr>
          <w:p w14:paraId="4B01D9C2" w14:textId="77777777" w:rsidR="005B091C" w:rsidRPr="00ED190A" w:rsidRDefault="005B091C" w:rsidP="00ED190A">
            <w:pPr>
              <w:widowControl w:val="0"/>
              <w:pBdr>
                <w:top w:val="nil"/>
                <w:left w:val="nil"/>
                <w:bottom w:val="nil"/>
                <w:right w:val="nil"/>
                <w:between w:val="nil"/>
              </w:pBdr>
              <w:jc w:val="center"/>
              <w:rPr>
                <w:rFonts w:ascii="Arial" w:hAnsi="Arial" w:cs="Arial"/>
                <w:sz w:val="20"/>
              </w:rPr>
            </w:pPr>
          </w:p>
        </w:tc>
        <w:tc>
          <w:tcPr>
            <w:tcW w:w="290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10BC357" w14:textId="77777777" w:rsidR="005B091C" w:rsidRPr="00EE7CF7" w:rsidRDefault="005B091C" w:rsidP="00ED190A">
            <w:pPr>
              <w:jc w:val="center"/>
              <w:rPr>
                <w:rFonts w:ascii="Arial" w:hAnsi="Arial" w:cs="Arial"/>
                <w:bCs/>
                <w:sz w:val="20"/>
              </w:rPr>
            </w:pPr>
            <w:r w:rsidRPr="00EE7CF7">
              <w:rPr>
                <w:rFonts w:ascii="Arial" w:hAnsi="Arial" w:cs="Arial"/>
                <w:bCs/>
                <w:sz w:val="20"/>
              </w:rPr>
              <w:t>TOTAL = 50</w:t>
            </w:r>
          </w:p>
        </w:tc>
        <w:tc>
          <w:tcPr>
            <w:tcW w:w="3186" w:type="dxa"/>
            <w:vMerge/>
            <w:tcBorders>
              <w:left w:val="single" w:sz="4" w:space="0" w:color="000000"/>
              <w:bottom w:val="single" w:sz="4" w:space="0" w:color="000000"/>
              <w:right w:val="single" w:sz="12" w:space="0" w:color="auto"/>
            </w:tcBorders>
            <w:vAlign w:val="center"/>
          </w:tcPr>
          <w:p w14:paraId="5B51AE9B" w14:textId="77777777" w:rsidR="005B091C" w:rsidRPr="00ED190A" w:rsidRDefault="005B091C" w:rsidP="00ED190A">
            <w:pPr>
              <w:jc w:val="center"/>
              <w:rPr>
                <w:rFonts w:ascii="Arial" w:hAnsi="Arial" w:cs="Arial"/>
                <w:b/>
                <w:sz w:val="20"/>
              </w:rPr>
            </w:pPr>
          </w:p>
        </w:tc>
      </w:tr>
      <w:tr w:rsidR="005B091C" w:rsidRPr="00ED190A" w14:paraId="2D884D9B" w14:textId="77777777" w:rsidTr="00B438F0">
        <w:trPr>
          <w:jc w:val="center"/>
        </w:trPr>
        <w:tc>
          <w:tcPr>
            <w:tcW w:w="1560" w:type="dxa"/>
            <w:vMerge w:val="restart"/>
            <w:tcBorders>
              <w:top w:val="single" w:sz="4" w:space="0" w:color="000000"/>
              <w:left w:val="single" w:sz="12" w:space="0" w:color="auto"/>
              <w:bottom w:val="single" w:sz="4" w:space="0" w:color="000000"/>
              <w:right w:val="single" w:sz="4" w:space="0" w:color="000000"/>
            </w:tcBorders>
            <w:tcMar>
              <w:top w:w="0" w:type="dxa"/>
              <w:left w:w="0" w:type="dxa"/>
              <w:bottom w:w="0" w:type="dxa"/>
              <w:right w:w="0" w:type="dxa"/>
            </w:tcMar>
            <w:vAlign w:val="center"/>
          </w:tcPr>
          <w:p w14:paraId="253EBFA9" w14:textId="77777777" w:rsidR="005B091C" w:rsidRPr="00EE7CF7" w:rsidRDefault="005B091C" w:rsidP="00ED190A">
            <w:pPr>
              <w:jc w:val="center"/>
              <w:rPr>
                <w:rFonts w:ascii="Arial" w:hAnsi="Arial" w:cs="Arial"/>
                <w:sz w:val="20"/>
                <w:lang w:val="pt-BR"/>
              </w:rPr>
            </w:pPr>
          </w:p>
          <w:p w14:paraId="734B6FC9" w14:textId="77777777" w:rsidR="005B091C" w:rsidRPr="00EE7CF7" w:rsidRDefault="005B091C" w:rsidP="00ED190A">
            <w:pPr>
              <w:jc w:val="center"/>
              <w:rPr>
                <w:rFonts w:ascii="Arial" w:hAnsi="Arial" w:cs="Arial"/>
                <w:sz w:val="20"/>
                <w:lang w:val="pt-BR"/>
              </w:rPr>
            </w:pPr>
            <w:r w:rsidRPr="00EE7CF7">
              <w:rPr>
                <w:rFonts w:ascii="Arial" w:hAnsi="Arial" w:cs="Arial"/>
                <w:sz w:val="20"/>
                <w:lang w:val="pt-BR"/>
              </w:rPr>
              <w:t>6 Interconectividade entre as escalas local/ nacional/global</w:t>
            </w:r>
          </w:p>
        </w:tc>
        <w:tc>
          <w:tcPr>
            <w:tcW w:w="1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00C7778" w14:textId="77777777" w:rsidR="005B091C" w:rsidRPr="00EE7CF7" w:rsidRDefault="005B091C" w:rsidP="00ED190A">
            <w:pPr>
              <w:jc w:val="center"/>
              <w:rPr>
                <w:rFonts w:ascii="Arial" w:hAnsi="Arial" w:cs="Arial"/>
                <w:sz w:val="20"/>
              </w:rPr>
            </w:pPr>
            <w:r w:rsidRPr="00EE7CF7">
              <w:rPr>
                <w:rFonts w:ascii="Arial" w:hAnsi="Arial" w:cs="Arial"/>
                <w:sz w:val="20"/>
              </w:rPr>
              <w:t>6.1</w:t>
            </w:r>
          </w:p>
        </w:tc>
        <w:tc>
          <w:tcPr>
            <w:tcW w:w="12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94FFD66" w14:textId="77777777" w:rsidR="005B091C" w:rsidRPr="00EE7CF7" w:rsidRDefault="005B091C" w:rsidP="00ED190A">
            <w:pPr>
              <w:jc w:val="center"/>
              <w:rPr>
                <w:rFonts w:ascii="Arial" w:hAnsi="Arial" w:cs="Arial"/>
                <w:sz w:val="20"/>
              </w:rPr>
            </w:pPr>
            <w:r w:rsidRPr="00EE7CF7">
              <w:rPr>
                <w:rFonts w:ascii="Arial" w:hAnsi="Arial" w:cs="Arial"/>
                <w:sz w:val="20"/>
              </w:rPr>
              <w:t>20</w:t>
            </w:r>
          </w:p>
        </w:tc>
        <w:tc>
          <w:tcPr>
            <w:tcW w:w="3186" w:type="dxa"/>
            <w:vMerge w:val="restart"/>
            <w:tcBorders>
              <w:top w:val="single" w:sz="4" w:space="0" w:color="000000"/>
              <w:left w:val="single" w:sz="4" w:space="0" w:color="000000"/>
              <w:right w:val="single" w:sz="12" w:space="0" w:color="auto"/>
            </w:tcBorders>
            <w:vAlign w:val="center"/>
          </w:tcPr>
          <w:p w14:paraId="6B59B243" w14:textId="77777777" w:rsidR="005B091C" w:rsidRPr="00EE7CF7" w:rsidRDefault="005B091C" w:rsidP="00ED190A">
            <w:pPr>
              <w:rPr>
                <w:rFonts w:ascii="Arial" w:hAnsi="Arial" w:cs="Arial"/>
                <w:sz w:val="20"/>
              </w:rPr>
            </w:pPr>
          </w:p>
          <w:p w14:paraId="6B18B297" w14:textId="77777777" w:rsidR="005B091C" w:rsidRPr="00EE7CF7" w:rsidRDefault="005B091C" w:rsidP="00ED190A">
            <w:pPr>
              <w:jc w:val="center"/>
              <w:rPr>
                <w:rFonts w:ascii="Arial" w:hAnsi="Arial" w:cs="Arial"/>
                <w:sz w:val="20"/>
              </w:rPr>
            </w:pPr>
            <w:r w:rsidRPr="00EE7CF7">
              <w:rPr>
                <w:rFonts w:ascii="Arial" w:hAnsi="Arial" w:cs="Arial"/>
                <w:sz w:val="20"/>
              </w:rPr>
              <w:t>REGULAR</w:t>
            </w:r>
          </w:p>
        </w:tc>
      </w:tr>
      <w:tr w:rsidR="005B091C" w:rsidRPr="00ED190A" w14:paraId="13103015" w14:textId="77777777" w:rsidTr="00B438F0">
        <w:trPr>
          <w:jc w:val="center"/>
        </w:trPr>
        <w:tc>
          <w:tcPr>
            <w:tcW w:w="1560" w:type="dxa"/>
            <w:vMerge/>
            <w:tcBorders>
              <w:top w:val="single" w:sz="4" w:space="0" w:color="000000"/>
              <w:left w:val="single" w:sz="12" w:space="0" w:color="auto"/>
              <w:bottom w:val="single" w:sz="4" w:space="0" w:color="000000"/>
              <w:right w:val="single" w:sz="4" w:space="0" w:color="000000"/>
            </w:tcBorders>
            <w:tcMar>
              <w:top w:w="0" w:type="dxa"/>
              <w:left w:w="0" w:type="dxa"/>
              <w:bottom w:w="0" w:type="dxa"/>
              <w:right w:w="0" w:type="dxa"/>
            </w:tcMar>
            <w:vAlign w:val="center"/>
          </w:tcPr>
          <w:p w14:paraId="61160BCC" w14:textId="77777777" w:rsidR="005B091C" w:rsidRPr="00EE7CF7" w:rsidRDefault="005B091C" w:rsidP="00ED190A">
            <w:pPr>
              <w:widowControl w:val="0"/>
              <w:pBdr>
                <w:top w:val="nil"/>
                <w:left w:val="nil"/>
                <w:bottom w:val="nil"/>
                <w:right w:val="nil"/>
                <w:between w:val="nil"/>
              </w:pBdr>
              <w:jc w:val="center"/>
              <w:rPr>
                <w:rFonts w:ascii="Arial" w:hAnsi="Arial" w:cs="Arial"/>
                <w:sz w:val="20"/>
              </w:rPr>
            </w:pPr>
          </w:p>
        </w:tc>
        <w:tc>
          <w:tcPr>
            <w:tcW w:w="1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5CF7ECE" w14:textId="77777777" w:rsidR="005B091C" w:rsidRPr="00EE7CF7" w:rsidRDefault="005B091C" w:rsidP="00ED190A">
            <w:pPr>
              <w:jc w:val="center"/>
              <w:rPr>
                <w:rFonts w:ascii="Arial" w:hAnsi="Arial" w:cs="Arial"/>
                <w:sz w:val="20"/>
              </w:rPr>
            </w:pPr>
            <w:r w:rsidRPr="00EE7CF7">
              <w:rPr>
                <w:rFonts w:ascii="Arial" w:hAnsi="Arial" w:cs="Arial"/>
                <w:sz w:val="20"/>
              </w:rPr>
              <w:t>6.2</w:t>
            </w:r>
          </w:p>
        </w:tc>
        <w:tc>
          <w:tcPr>
            <w:tcW w:w="12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4407BAE" w14:textId="77777777" w:rsidR="005B091C" w:rsidRPr="00EE7CF7" w:rsidRDefault="005B091C" w:rsidP="00ED190A">
            <w:pPr>
              <w:jc w:val="center"/>
              <w:rPr>
                <w:rFonts w:ascii="Arial" w:hAnsi="Arial" w:cs="Arial"/>
                <w:sz w:val="20"/>
              </w:rPr>
            </w:pPr>
            <w:r w:rsidRPr="00EE7CF7">
              <w:rPr>
                <w:rFonts w:ascii="Arial" w:hAnsi="Arial" w:cs="Arial"/>
                <w:sz w:val="20"/>
              </w:rPr>
              <w:t>0</w:t>
            </w:r>
          </w:p>
        </w:tc>
        <w:tc>
          <w:tcPr>
            <w:tcW w:w="3186" w:type="dxa"/>
            <w:vMerge/>
            <w:tcBorders>
              <w:left w:val="single" w:sz="4" w:space="0" w:color="000000"/>
              <w:right w:val="single" w:sz="12" w:space="0" w:color="auto"/>
            </w:tcBorders>
            <w:vAlign w:val="center"/>
          </w:tcPr>
          <w:p w14:paraId="58D589B1" w14:textId="77777777" w:rsidR="005B091C" w:rsidRPr="00EE7CF7" w:rsidRDefault="005B091C" w:rsidP="00ED190A">
            <w:pPr>
              <w:jc w:val="center"/>
              <w:rPr>
                <w:rFonts w:ascii="Arial" w:hAnsi="Arial" w:cs="Arial"/>
                <w:sz w:val="20"/>
              </w:rPr>
            </w:pPr>
          </w:p>
        </w:tc>
      </w:tr>
      <w:tr w:rsidR="005B091C" w:rsidRPr="00ED190A" w14:paraId="79A55990" w14:textId="77777777" w:rsidTr="00B438F0">
        <w:trPr>
          <w:jc w:val="center"/>
        </w:trPr>
        <w:tc>
          <w:tcPr>
            <w:tcW w:w="1560" w:type="dxa"/>
            <w:vMerge/>
            <w:tcBorders>
              <w:top w:val="single" w:sz="4" w:space="0" w:color="000000"/>
              <w:left w:val="single" w:sz="12" w:space="0" w:color="auto"/>
              <w:bottom w:val="single" w:sz="4" w:space="0" w:color="000000"/>
              <w:right w:val="single" w:sz="4" w:space="0" w:color="000000"/>
            </w:tcBorders>
            <w:tcMar>
              <w:top w:w="0" w:type="dxa"/>
              <w:left w:w="0" w:type="dxa"/>
              <w:bottom w:w="0" w:type="dxa"/>
              <w:right w:w="0" w:type="dxa"/>
            </w:tcMar>
            <w:vAlign w:val="center"/>
          </w:tcPr>
          <w:p w14:paraId="6F1154DE" w14:textId="77777777" w:rsidR="005B091C" w:rsidRPr="00EE7CF7" w:rsidRDefault="005B091C" w:rsidP="00ED190A">
            <w:pPr>
              <w:widowControl w:val="0"/>
              <w:pBdr>
                <w:top w:val="nil"/>
                <w:left w:val="nil"/>
                <w:bottom w:val="nil"/>
                <w:right w:val="nil"/>
                <w:between w:val="nil"/>
              </w:pBdr>
              <w:jc w:val="center"/>
              <w:rPr>
                <w:rFonts w:ascii="Arial" w:hAnsi="Arial" w:cs="Arial"/>
                <w:sz w:val="20"/>
              </w:rPr>
            </w:pPr>
          </w:p>
        </w:tc>
        <w:tc>
          <w:tcPr>
            <w:tcW w:w="1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6F1AE2E" w14:textId="77777777" w:rsidR="005B091C" w:rsidRPr="00EE7CF7" w:rsidRDefault="005B091C" w:rsidP="00ED190A">
            <w:pPr>
              <w:jc w:val="center"/>
              <w:rPr>
                <w:rFonts w:ascii="Arial" w:hAnsi="Arial" w:cs="Arial"/>
                <w:sz w:val="20"/>
              </w:rPr>
            </w:pPr>
            <w:r w:rsidRPr="00EE7CF7">
              <w:rPr>
                <w:rFonts w:ascii="Arial" w:hAnsi="Arial" w:cs="Arial"/>
                <w:sz w:val="20"/>
              </w:rPr>
              <w:t>6.3</w:t>
            </w:r>
          </w:p>
        </w:tc>
        <w:tc>
          <w:tcPr>
            <w:tcW w:w="12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B3D2FC" w14:textId="77777777" w:rsidR="005B091C" w:rsidRPr="00EE7CF7" w:rsidRDefault="005B091C" w:rsidP="00ED190A">
            <w:pPr>
              <w:jc w:val="center"/>
              <w:rPr>
                <w:rFonts w:ascii="Arial" w:hAnsi="Arial" w:cs="Arial"/>
                <w:sz w:val="20"/>
              </w:rPr>
            </w:pPr>
            <w:r w:rsidRPr="00EE7CF7">
              <w:rPr>
                <w:rFonts w:ascii="Arial" w:hAnsi="Arial" w:cs="Arial"/>
                <w:sz w:val="20"/>
              </w:rPr>
              <w:t>0</w:t>
            </w:r>
          </w:p>
        </w:tc>
        <w:tc>
          <w:tcPr>
            <w:tcW w:w="3186" w:type="dxa"/>
            <w:vMerge/>
            <w:tcBorders>
              <w:left w:val="single" w:sz="4" w:space="0" w:color="000000"/>
              <w:right w:val="single" w:sz="12" w:space="0" w:color="auto"/>
            </w:tcBorders>
            <w:vAlign w:val="center"/>
          </w:tcPr>
          <w:p w14:paraId="0DB1D0D6" w14:textId="77777777" w:rsidR="005B091C" w:rsidRPr="00EE7CF7" w:rsidRDefault="005B091C" w:rsidP="00ED190A">
            <w:pPr>
              <w:jc w:val="center"/>
              <w:rPr>
                <w:rFonts w:ascii="Arial" w:hAnsi="Arial" w:cs="Arial"/>
                <w:sz w:val="20"/>
              </w:rPr>
            </w:pPr>
          </w:p>
        </w:tc>
      </w:tr>
      <w:tr w:rsidR="005B091C" w:rsidRPr="00ED190A" w14:paraId="2C536DAA" w14:textId="77777777" w:rsidTr="00B438F0">
        <w:trPr>
          <w:jc w:val="center"/>
        </w:trPr>
        <w:tc>
          <w:tcPr>
            <w:tcW w:w="1560" w:type="dxa"/>
            <w:vMerge/>
            <w:tcBorders>
              <w:top w:val="single" w:sz="4" w:space="0" w:color="000000"/>
              <w:left w:val="single" w:sz="12" w:space="0" w:color="auto"/>
              <w:bottom w:val="single" w:sz="4" w:space="0" w:color="000000"/>
              <w:right w:val="single" w:sz="4" w:space="0" w:color="000000"/>
            </w:tcBorders>
            <w:tcMar>
              <w:top w:w="0" w:type="dxa"/>
              <w:left w:w="0" w:type="dxa"/>
              <w:bottom w:w="0" w:type="dxa"/>
              <w:right w:w="0" w:type="dxa"/>
            </w:tcMar>
            <w:vAlign w:val="center"/>
          </w:tcPr>
          <w:p w14:paraId="5769DB04" w14:textId="77777777" w:rsidR="005B091C" w:rsidRPr="00EE7CF7" w:rsidRDefault="005B091C" w:rsidP="00ED190A">
            <w:pPr>
              <w:widowControl w:val="0"/>
              <w:pBdr>
                <w:top w:val="nil"/>
                <w:left w:val="nil"/>
                <w:bottom w:val="nil"/>
                <w:right w:val="nil"/>
                <w:between w:val="nil"/>
              </w:pBdr>
              <w:jc w:val="center"/>
              <w:rPr>
                <w:rFonts w:ascii="Arial" w:hAnsi="Arial" w:cs="Arial"/>
                <w:sz w:val="20"/>
              </w:rPr>
            </w:pPr>
          </w:p>
        </w:tc>
        <w:tc>
          <w:tcPr>
            <w:tcW w:w="1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30407B1" w14:textId="77777777" w:rsidR="005B091C" w:rsidRPr="00EE7CF7" w:rsidRDefault="005B091C" w:rsidP="00ED190A">
            <w:pPr>
              <w:jc w:val="center"/>
              <w:rPr>
                <w:rFonts w:ascii="Arial" w:hAnsi="Arial" w:cs="Arial"/>
                <w:sz w:val="20"/>
              </w:rPr>
            </w:pPr>
            <w:r w:rsidRPr="00EE7CF7">
              <w:rPr>
                <w:rFonts w:ascii="Arial" w:hAnsi="Arial" w:cs="Arial"/>
                <w:sz w:val="20"/>
              </w:rPr>
              <w:t>6.4</w:t>
            </w:r>
          </w:p>
        </w:tc>
        <w:tc>
          <w:tcPr>
            <w:tcW w:w="12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CA7BF9C" w14:textId="77777777" w:rsidR="005B091C" w:rsidRPr="00EE7CF7" w:rsidRDefault="005B091C" w:rsidP="00ED190A">
            <w:pPr>
              <w:jc w:val="center"/>
              <w:rPr>
                <w:rFonts w:ascii="Arial" w:hAnsi="Arial" w:cs="Arial"/>
                <w:sz w:val="20"/>
              </w:rPr>
            </w:pPr>
            <w:r w:rsidRPr="00EE7CF7">
              <w:rPr>
                <w:rFonts w:ascii="Arial" w:hAnsi="Arial" w:cs="Arial"/>
                <w:sz w:val="20"/>
              </w:rPr>
              <w:t>20</w:t>
            </w:r>
          </w:p>
        </w:tc>
        <w:tc>
          <w:tcPr>
            <w:tcW w:w="3186" w:type="dxa"/>
            <w:vMerge/>
            <w:tcBorders>
              <w:left w:val="single" w:sz="4" w:space="0" w:color="000000"/>
              <w:right w:val="single" w:sz="12" w:space="0" w:color="auto"/>
            </w:tcBorders>
            <w:vAlign w:val="center"/>
          </w:tcPr>
          <w:p w14:paraId="6A6E80E3" w14:textId="77777777" w:rsidR="005B091C" w:rsidRPr="00EE7CF7" w:rsidRDefault="005B091C" w:rsidP="00ED190A">
            <w:pPr>
              <w:jc w:val="center"/>
              <w:rPr>
                <w:rFonts w:ascii="Arial" w:hAnsi="Arial" w:cs="Arial"/>
                <w:sz w:val="20"/>
              </w:rPr>
            </w:pPr>
          </w:p>
        </w:tc>
      </w:tr>
      <w:tr w:rsidR="005B091C" w:rsidRPr="00ED190A" w14:paraId="00B31F0A" w14:textId="77777777" w:rsidTr="00B438F0">
        <w:trPr>
          <w:jc w:val="center"/>
        </w:trPr>
        <w:tc>
          <w:tcPr>
            <w:tcW w:w="1560" w:type="dxa"/>
            <w:vMerge/>
            <w:tcBorders>
              <w:top w:val="single" w:sz="4" w:space="0" w:color="000000"/>
              <w:left w:val="single" w:sz="12" w:space="0" w:color="auto"/>
              <w:bottom w:val="single" w:sz="4" w:space="0" w:color="000000"/>
              <w:right w:val="single" w:sz="4" w:space="0" w:color="000000"/>
            </w:tcBorders>
            <w:tcMar>
              <w:top w:w="0" w:type="dxa"/>
              <w:left w:w="0" w:type="dxa"/>
              <w:bottom w:w="0" w:type="dxa"/>
              <w:right w:w="0" w:type="dxa"/>
            </w:tcMar>
            <w:vAlign w:val="center"/>
          </w:tcPr>
          <w:p w14:paraId="17A2ED80" w14:textId="77777777" w:rsidR="005B091C" w:rsidRPr="00EE7CF7" w:rsidRDefault="005B091C" w:rsidP="00ED190A">
            <w:pPr>
              <w:widowControl w:val="0"/>
              <w:pBdr>
                <w:top w:val="nil"/>
                <w:left w:val="nil"/>
                <w:bottom w:val="nil"/>
                <w:right w:val="nil"/>
                <w:between w:val="nil"/>
              </w:pBdr>
              <w:jc w:val="center"/>
              <w:rPr>
                <w:rFonts w:ascii="Arial" w:hAnsi="Arial" w:cs="Arial"/>
                <w:sz w:val="20"/>
              </w:rPr>
            </w:pPr>
          </w:p>
        </w:tc>
        <w:tc>
          <w:tcPr>
            <w:tcW w:w="1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07DF9B3" w14:textId="77777777" w:rsidR="005B091C" w:rsidRPr="00EE7CF7" w:rsidRDefault="005B091C" w:rsidP="00ED190A">
            <w:pPr>
              <w:jc w:val="center"/>
              <w:rPr>
                <w:rFonts w:ascii="Arial" w:hAnsi="Arial" w:cs="Arial"/>
                <w:sz w:val="20"/>
              </w:rPr>
            </w:pPr>
            <w:r w:rsidRPr="00EE7CF7">
              <w:rPr>
                <w:rFonts w:ascii="Arial" w:hAnsi="Arial" w:cs="Arial"/>
                <w:sz w:val="20"/>
              </w:rPr>
              <w:t>TESTE (i)</w:t>
            </w:r>
          </w:p>
        </w:tc>
        <w:tc>
          <w:tcPr>
            <w:tcW w:w="12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BE13CB0" w14:textId="77777777" w:rsidR="005B091C" w:rsidRPr="00EE7CF7" w:rsidRDefault="005B091C" w:rsidP="00ED190A">
            <w:pPr>
              <w:jc w:val="center"/>
              <w:rPr>
                <w:rFonts w:ascii="Arial" w:hAnsi="Arial" w:cs="Arial"/>
                <w:sz w:val="20"/>
              </w:rPr>
            </w:pPr>
            <w:r w:rsidRPr="00EE7CF7">
              <w:rPr>
                <w:rFonts w:ascii="Arial" w:hAnsi="Arial" w:cs="Arial"/>
                <w:sz w:val="20"/>
              </w:rPr>
              <w:t>OK</w:t>
            </w:r>
          </w:p>
        </w:tc>
        <w:tc>
          <w:tcPr>
            <w:tcW w:w="3186" w:type="dxa"/>
            <w:vMerge/>
            <w:tcBorders>
              <w:left w:val="single" w:sz="4" w:space="0" w:color="000000"/>
              <w:right w:val="single" w:sz="12" w:space="0" w:color="auto"/>
            </w:tcBorders>
            <w:vAlign w:val="center"/>
          </w:tcPr>
          <w:p w14:paraId="6AE22505" w14:textId="77777777" w:rsidR="005B091C" w:rsidRPr="00EE7CF7" w:rsidRDefault="005B091C" w:rsidP="00ED190A">
            <w:pPr>
              <w:jc w:val="center"/>
              <w:rPr>
                <w:rFonts w:ascii="Arial" w:hAnsi="Arial" w:cs="Arial"/>
                <w:sz w:val="20"/>
              </w:rPr>
            </w:pPr>
          </w:p>
        </w:tc>
      </w:tr>
      <w:tr w:rsidR="005B091C" w:rsidRPr="00ED190A" w14:paraId="2EC6B37E" w14:textId="77777777" w:rsidTr="00B438F0">
        <w:trPr>
          <w:jc w:val="center"/>
        </w:trPr>
        <w:tc>
          <w:tcPr>
            <w:tcW w:w="1560" w:type="dxa"/>
            <w:vMerge/>
            <w:tcBorders>
              <w:top w:val="single" w:sz="4" w:space="0" w:color="000000"/>
              <w:left w:val="single" w:sz="12" w:space="0" w:color="auto"/>
              <w:bottom w:val="single" w:sz="4" w:space="0" w:color="000000"/>
              <w:right w:val="single" w:sz="4" w:space="0" w:color="000000"/>
            </w:tcBorders>
            <w:tcMar>
              <w:top w:w="0" w:type="dxa"/>
              <w:left w:w="0" w:type="dxa"/>
              <w:bottom w:w="0" w:type="dxa"/>
              <w:right w:w="0" w:type="dxa"/>
            </w:tcMar>
            <w:vAlign w:val="center"/>
          </w:tcPr>
          <w:p w14:paraId="72BA7D99" w14:textId="77777777" w:rsidR="005B091C" w:rsidRPr="00EE7CF7" w:rsidRDefault="005B091C" w:rsidP="00ED190A">
            <w:pPr>
              <w:widowControl w:val="0"/>
              <w:pBdr>
                <w:top w:val="nil"/>
                <w:left w:val="nil"/>
                <w:bottom w:val="nil"/>
                <w:right w:val="nil"/>
                <w:between w:val="nil"/>
              </w:pBdr>
              <w:jc w:val="center"/>
              <w:rPr>
                <w:rFonts w:ascii="Arial" w:hAnsi="Arial" w:cs="Arial"/>
                <w:sz w:val="20"/>
              </w:rPr>
            </w:pPr>
          </w:p>
        </w:tc>
        <w:tc>
          <w:tcPr>
            <w:tcW w:w="1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77154E9" w14:textId="77777777" w:rsidR="005B091C" w:rsidRPr="00EE7CF7" w:rsidRDefault="005B091C" w:rsidP="00ED190A">
            <w:pPr>
              <w:jc w:val="center"/>
              <w:rPr>
                <w:rFonts w:ascii="Arial" w:hAnsi="Arial" w:cs="Arial"/>
                <w:sz w:val="20"/>
              </w:rPr>
            </w:pPr>
            <w:r w:rsidRPr="00EE7CF7">
              <w:rPr>
                <w:rFonts w:ascii="Arial" w:hAnsi="Arial" w:cs="Arial"/>
                <w:sz w:val="20"/>
              </w:rPr>
              <w:t>TESTE (ii)</w:t>
            </w:r>
          </w:p>
        </w:tc>
        <w:tc>
          <w:tcPr>
            <w:tcW w:w="12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1D35D76" w14:textId="77777777" w:rsidR="005B091C" w:rsidRPr="00EE7CF7" w:rsidRDefault="005B091C" w:rsidP="00ED190A">
            <w:pPr>
              <w:jc w:val="center"/>
              <w:rPr>
                <w:rFonts w:ascii="Arial" w:hAnsi="Arial" w:cs="Arial"/>
                <w:sz w:val="20"/>
              </w:rPr>
            </w:pPr>
            <w:r w:rsidRPr="00EE7CF7">
              <w:rPr>
                <w:rFonts w:ascii="Arial" w:hAnsi="Arial" w:cs="Arial"/>
                <w:sz w:val="20"/>
              </w:rPr>
              <w:t>NÃO OK</w:t>
            </w:r>
          </w:p>
        </w:tc>
        <w:tc>
          <w:tcPr>
            <w:tcW w:w="3186" w:type="dxa"/>
            <w:vMerge/>
            <w:tcBorders>
              <w:left w:val="single" w:sz="4" w:space="0" w:color="000000"/>
              <w:right w:val="single" w:sz="12" w:space="0" w:color="auto"/>
            </w:tcBorders>
            <w:vAlign w:val="center"/>
          </w:tcPr>
          <w:p w14:paraId="34B56A95" w14:textId="77777777" w:rsidR="005B091C" w:rsidRPr="00EE7CF7" w:rsidRDefault="005B091C" w:rsidP="00ED190A">
            <w:pPr>
              <w:jc w:val="center"/>
              <w:rPr>
                <w:rFonts w:ascii="Arial" w:hAnsi="Arial" w:cs="Arial"/>
                <w:sz w:val="20"/>
              </w:rPr>
            </w:pPr>
          </w:p>
        </w:tc>
      </w:tr>
      <w:tr w:rsidR="005B091C" w:rsidRPr="00ED190A" w14:paraId="71DD4633" w14:textId="77777777" w:rsidTr="00B438F0">
        <w:trPr>
          <w:jc w:val="center"/>
        </w:trPr>
        <w:tc>
          <w:tcPr>
            <w:tcW w:w="1560" w:type="dxa"/>
            <w:vMerge/>
            <w:tcBorders>
              <w:top w:val="single" w:sz="4" w:space="0" w:color="000000"/>
              <w:left w:val="single" w:sz="12" w:space="0" w:color="auto"/>
              <w:bottom w:val="single" w:sz="12" w:space="0" w:color="auto"/>
              <w:right w:val="single" w:sz="4" w:space="0" w:color="000000"/>
            </w:tcBorders>
            <w:tcMar>
              <w:top w:w="0" w:type="dxa"/>
              <w:left w:w="0" w:type="dxa"/>
              <w:bottom w:w="0" w:type="dxa"/>
              <w:right w:w="0" w:type="dxa"/>
            </w:tcMar>
            <w:vAlign w:val="center"/>
          </w:tcPr>
          <w:p w14:paraId="17E0A8B1" w14:textId="77777777" w:rsidR="005B091C" w:rsidRPr="00EE7CF7" w:rsidRDefault="005B091C" w:rsidP="00ED190A">
            <w:pPr>
              <w:widowControl w:val="0"/>
              <w:pBdr>
                <w:top w:val="nil"/>
                <w:left w:val="nil"/>
                <w:bottom w:val="nil"/>
                <w:right w:val="nil"/>
                <w:between w:val="nil"/>
              </w:pBdr>
              <w:jc w:val="center"/>
              <w:rPr>
                <w:rFonts w:ascii="Arial" w:hAnsi="Arial" w:cs="Arial"/>
                <w:sz w:val="20"/>
              </w:rPr>
            </w:pPr>
          </w:p>
        </w:tc>
        <w:tc>
          <w:tcPr>
            <w:tcW w:w="1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0B43F75" w14:textId="77777777" w:rsidR="005B091C" w:rsidRPr="00EE7CF7" w:rsidRDefault="005B091C" w:rsidP="00ED190A">
            <w:pPr>
              <w:jc w:val="center"/>
              <w:rPr>
                <w:rFonts w:ascii="Arial" w:hAnsi="Arial" w:cs="Arial"/>
                <w:sz w:val="20"/>
              </w:rPr>
            </w:pPr>
            <w:r w:rsidRPr="00EE7CF7">
              <w:rPr>
                <w:rFonts w:ascii="Arial" w:hAnsi="Arial" w:cs="Arial"/>
                <w:sz w:val="20"/>
              </w:rPr>
              <w:t>TESTE (iii)</w:t>
            </w:r>
          </w:p>
        </w:tc>
        <w:tc>
          <w:tcPr>
            <w:tcW w:w="12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DF324F9" w14:textId="77777777" w:rsidR="005B091C" w:rsidRPr="00EE7CF7" w:rsidRDefault="005B091C" w:rsidP="00ED190A">
            <w:pPr>
              <w:jc w:val="center"/>
              <w:rPr>
                <w:rFonts w:ascii="Arial" w:hAnsi="Arial" w:cs="Arial"/>
                <w:sz w:val="20"/>
              </w:rPr>
            </w:pPr>
            <w:r w:rsidRPr="00EE7CF7">
              <w:rPr>
                <w:rFonts w:ascii="Arial" w:hAnsi="Arial" w:cs="Arial"/>
                <w:sz w:val="20"/>
              </w:rPr>
              <w:t>OK</w:t>
            </w:r>
          </w:p>
        </w:tc>
        <w:tc>
          <w:tcPr>
            <w:tcW w:w="3186" w:type="dxa"/>
            <w:vMerge/>
            <w:tcBorders>
              <w:left w:val="single" w:sz="4" w:space="0" w:color="000000"/>
              <w:right w:val="single" w:sz="12" w:space="0" w:color="auto"/>
            </w:tcBorders>
            <w:vAlign w:val="center"/>
          </w:tcPr>
          <w:p w14:paraId="33DE4A83" w14:textId="77777777" w:rsidR="005B091C" w:rsidRPr="00EE7CF7" w:rsidRDefault="005B091C" w:rsidP="00ED190A">
            <w:pPr>
              <w:jc w:val="center"/>
              <w:rPr>
                <w:rFonts w:ascii="Arial" w:hAnsi="Arial" w:cs="Arial"/>
                <w:sz w:val="20"/>
              </w:rPr>
            </w:pPr>
          </w:p>
        </w:tc>
      </w:tr>
      <w:tr w:rsidR="005B091C" w:rsidRPr="00ED190A" w14:paraId="54A00B43" w14:textId="77777777" w:rsidTr="00B438F0">
        <w:trPr>
          <w:jc w:val="center"/>
        </w:trPr>
        <w:tc>
          <w:tcPr>
            <w:tcW w:w="1560" w:type="dxa"/>
            <w:vMerge/>
            <w:tcBorders>
              <w:top w:val="single" w:sz="12" w:space="0" w:color="auto"/>
              <w:left w:val="single" w:sz="12" w:space="0" w:color="auto"/>
              <w:bottom w:val="single" w:sz="4" w:space="0" w:color="000000"/>
              <w:right w:val="single" w:sz="4" w:space="0" w:color="000000"/>
            </w:tcBorders>
            <w:tcMar>
              <w:top w:w="0" w:type="dxa"/>
              <w:left w:w="0" w:type="dxa"/>
              <w:bottom w:w="0" w:type="dxa"/>
              <w:right w:w="0" w:type="dxa"/>
            </w:tcMar>
            <w:vAlign w:val="center"/>
          </w:tcPr>
          <w:p w14:paraId="50DAFEB9" w14:textId="77777777" w:rsidR="005B091C" w:rsidRPr="00EE7CF7" w:rsidRDefault="005B091C" w:rsidP="00ED190A">
            <w:pPr>
              <w:widowControl w:val="0"/>
              <w:pBdr>
                <w:top w:val="nil"/>
                <w:left w:val="nil"/>
                <w:bottom w:val="nil"/>
                <w:right w:val="nil"/>
                <w:between w:val="nil"/>
              </w:pBdr>
              <w:jc w:val="center"/>
              <w:rPr>
                <w:rFonts w:ascii="Arial" w:hAnsi="Arial" w:cs="Arial"/>
                <w:sz w:val="20"/>
              </w:rPr>
            </w:pPr>
          </w:p>
        </w:tc>
        <w:tc>
          <w:tcPr>
            <w:tcW w:w="290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C6AE422" w14:textId="7375D7C2" w:rsidR="005B091C" w:rsidRPr="00EE7CF7" w:rsidRDefault="00B56827" w:rsidP="00ED190A">
            <w:pPr>
              <w:jc w:val="center"/>
              <w:rPr>
                <w:rFonts w:ascii="Arial" w:hAnsi="Arial" w:cs="Arial"/>
                <w:sz w:val="20"/>
              </w:rPr>
            </w:pPr>
            <w:r w:rsidRPr="00EE7CF7">
              <w:rPr>
                <w:rFonts w:ascii="Arial" w:hAnsi="Arial" w:cs="Arial"/>
                <w:sz w:val="20"/>
              </w:rPr>
              <w:t>TOTAL = 5</w:t>
            </w:r>
            <w:r w:rsidR="005B091C" w:rsidRPr="00EE7CF7">
              <w:rPr>
                <w:rFonts w:ascii="Arial" w:hAnsi="Arial" w:cs="Arial"/>
                <w:sz w:val="20"/>
              </w:rPr>
              <w:t>0</w:t>
            </w:r>
          </w:p>
        </w:tc>
        <w:tc>
          <w:tcPr>
            <w:tcW w:w="3186" w:type="dxa"/>
            <w:vMerge/>
            <w:tcBorders>
              <w:left w:val="single" w:sz="4" w:space="0" w:color="000000"/>
              <w:bottom w:val="single" w:sz="4" w:space="0" w:color="000000"/>
              <w:right w:val="single" w:sz="12" w:space="0" w:color="auto"/>
            </w:tcBorders>
            <w:vAlign w:val="center"/>
          </w:tcPr>
          <w:p w14:paraId="2BBEDFE4" w14:textId="77777777" w:rsidR="005B091C" w:rsidRPr="00EE7CF7" w:rsidRDefault="005B091C" w:rsidP="00ED190A">
            <w:pPr>
              <w:jc w:val="center"/>
              <w:rPr>
                <w:rFonts w:ascii="Arial" w:hAnsi="Arial" w:cs="Arial"/>
                <w:sz w:val="20"/>
              </w:rPr>
            </w:pPr>
          </w:p>
        </w:tc>
      </w:tr>
      <w:tr w:rsidR="005B091C" w:rsidRPr="00ED190A" w14:paraId="037A9E31" w14:textId="77777777" w:rsidTr="00B438F0">
        <w:trPr>
          <w:jc w:val="center"/>
        </w:trPr>
        <w:tc>
          <w:tcPr>
            <w:tcW w:w="1560" w:type="dxa"/>
            <w:vMerge w:val="restart"/>
            <w:tcBorders>
              <w:top w:val="single" w:sz="4" w:space="0" w:color="000000"/>
              <w:left w:val="single" w:sz="12" w:space="0" w:color="auto"/>
              <w:bottom w:val="single" w:sz="4" w:space="0" w:color="000000"/>
              <w:right w:val="single" w:sz="4" w:space="0" w:color="000000"/>
            </w:tcBorders>
            <w:tcMar>
              <w:top w:w="0" w:type="dxa"/>
              <w:left w:w="0" w:type="dxa"/>
              <w:bottom w:w="0" w:type="dxa"/>
              <w:right w:w="0" w:type="dxa"/>
            </w:tcMar>
            <w:vAlign w:val="center"/>
          </w:tcPr>
          <w:p w14:paraId="1ADCF696" w14:textId="77777777" w:rsidR="005B091C" w:rsidRPr="00EE7CF7" w:rsidRDefault="005B091C" w:rsidP="00ED190A">
            <w:pPr>
              <w:jc w:val="center"/>
              <w:rPr>
                <w:rFonts w:ascii="Arial" w:hAnsi="Arial" w:cs="Arial"/>
                <w:sz w:val="20"/>
              </w:rPr>
            </w:pPr>
          </w:p>
          <w:p w14:paraId="29ECABE4" w14:textId="77777777" w:rsidR="005B091C" w:rsidRPr="00EE7CF7" w:rsidRDefault="005B091C" w:rsidP="00ED190A">
            <w:pPr>
              <w:jc w:val="center"/>
              <w:rPr>
                <w:rFonts w:ascii="Arial" w:hAnsi="Arial" w:cs="Arial"/>
                <w:sz w:val="20"/>
              </w:rPr>
            </w:pPr>
          </w:p>
          <w:p w14:paraId="778B03AB" w14:textId="77777777" w:rsidR="005B091C" w:rsidRPr="00EE7CF7" w:rsidRDefault="005B091C" w:rsidP="00ED190A">
            <w:pPr>
              <w:jc w:val="center"/>
              <w:rPr>
                <w:rFonts w:ascii="Arial" w:hAnsi="Arial" w:cs="Arial"/>
                <w:sz w:val="20"/>
              </w:rPr>
            </w:pPr>
          </w:p>
          <w:p w14:paraId="2B18C004" w14:textId="77777777" w:rsidR="005B091C" w:rsidRPr="00EE7CF7" w:rsidRDefault="005B091C" w:rsidP="00ED190A">
            <w:pPr>
              <w:jc w:val="center"/>
              <w:rPr>
                <w:rFonts w:ascii="Arial" w:hAnsi="Arial" w:cs="Arial"/>
                <w:sz w:val="20"/>
              </w:rPr>
            </w:pPr>
            <w:r w:rsidRPr="00EE7CF7">
              <w:rPr>
                <w:rFonts w:ascii="Arial" w:hAnsi="Arial" w:cs="Arial"/>
                <w:sz w:val="20"/>
              </w:rPr>
              <w:t xml:space="preserve">7 </w:t>
            </w:r>
            <w:proofErr w:type="spellStart"/>
            <w:r w:rsidRPr="00EE7CF7">
              <w:rPr>
                <w:rFonts w:ascii="Arial" w:hAnsi="Arial" w:cs="Arial"/>
                <w:sz w:val="20"/>
              </w:rPr>
              <w:t>Precaução</w:t>
            </w:r>
            <w:proofErr w:type="spellEnd"/>
            <w:r w:rsidRPr="00EE7CF7">
              <w:rPr>
                <w:rFonts w:ascii="Arial" w:hAnsi="Arial" w:cs="Arial"/>
                <w:sz w:val="20"/>
              </w:rPr>
              <w:t xml:space="preserve"> e </w:t>
            </w:r>
            <w:proofErr w:type="spellStart"/>
            <w:r w:rsidRPr="00EE7CF7">
              <w:rPr>
                <w:rFonts w:ascii="Arial" w:hAnsi="Arial" w:cs="Arial"/>
                <w:sz w:val="20"/>
              </w:rPr>
              <w:t>adaptabilidade</w:t>
            </w:r>
            <w:proofErr w:type="spellEnd"/>
          </w:p>
        </w:tc>
        <w:tc>
          <w:tcPr>
            <w:tcW w:w="1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F8B2DE5" w14:textId="77777777" w:rsidR="005B091C" w:rsidRPr="00EE7CF7" w:rsidRDefault="005B091C" w:rsidP="00ED190A">
            <w:pPr>
              <w:jc w:val="center"/>
              <w:rPr>
                <w:rFonts w:ascii="Arial" w:hAnsi="Arial" w:cs="Arial"/>
                <w:sz w:val="20"/>
              </w:rPr>
            </w:pPr>
            <w:r w:rsidRPr="00EE7CF7">
              <w:rPr>
                <w:rFonts w:ascii="Arial" w:hAnsi="Arial" w:cs="Arial"/>
                <w:sz w:val="20"/>
              </w:rPr>
              <w:t>7.1</w:t>
            </w:r>
          </w:p>
        </w:tc>
        <w:tc>
          <w:tcPr>
            <w:tcW w:w="12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96C9F3B" w14:textId="77777777" w:rsidR="005B091C" w:rsidRPr="00EE7CF7" w:rsidRDefault="005B091C" w:rsidP="00ED190A">
            <w:pPr>
              <w:jc w:val="center"/>
              <w:rPr>
                <w:rFonts w:ascii="Arial" w:hAnsi="Arial" w:cs="Arial"/>
                <w:sz w:val="20"/>
              </w:rPr>
            </w:pPr>
            <w:r w:rsidRPr="00EE7CF7">
              <w:rPr>
                <w:rFonts w:ascii="Arial" w:hAnsi="Arial" w:cs="Arial"/>
                <w:sz w:val="20"/>
              </w:rPr>
              <w:t>10</w:t>
            </w:r>
          </w:p>
        </w:tc>
        <w:tc>
          <w:tcPr>
            <w:tcW w:w="3186" w:type="dxa"/>
            <w:vMerge w:val="restart"/>
            <w:tcBorders>
              <w:top w:val="single" w:sz="4" w:space="0" w:color="000000"/>
              <w:left w:val="single" w:sz="4" w:space="0" w:color="000000"/>
              <w:right w:val="single" w:sz="12" w:space="0" w:color="auto"/>
            </w:tcBorders>
            <w:vAlign w:val="center"/>
          </w:tcPr>
          <w:p w14:paraId="48CC9D24" w14:textId="77777777" w:rsidR="005B091C" w:rsidRPr="00EE7CF7" w:rsidRDefault="005B091C" w:rsidP="00CA47C5">
            <w:pPr>
              <w:rPr>
                <w:rFonts w:ascii="Arial" w:hAnsi="Arial" w:cs="Arial"/>
                <w:sz w:val="20"/>
              </w:rPr>
            </w:pPr>
          </w:p>
          <w:p w14:paraId="6CB55494" w14:textId="77777777" w:rsidR="005B091C" w:rsidRPr="00EE7CF7" w:rsidRDefault="005B091C" w:rsidP="00ED190A">
            <w:pPr>
              <w:jc w:val="center"/>
              <w:rPr>
                <w:rFonts w:ascii="Arial" w:hAnsi="Arial" w:cs="Arial"/>
                <w:sz w:val="20"/>
              </w:rPr>
            </w:pPr>
            <w:r w:rsidRPr="00EE7CF7">
              <w:rPr>
                <w:rFonts w:ascii="Arial" w:hAnsi="Arial" w:cs="Arial"/>
                <w:sz w:val="20"/>
              </w:rPr>
              <w:t>RUIM</w:t>
            </w:r>
          </w:p>
        </w:tc>
      </w:tr>
      <w:tr w:rsidR="005B091C" w:rsidRPr="00ED190A" w14:paraId="7C60AFAA" w14:textId="77777777" w:rsidTr="00B438F0">
        <w:trPr>
          <w:jc w:val="center"/>
        </w:trPr>
        <w:tc>
          <w:tcPr>
            <w:tcW w:w="1560" w:type="dxa"/>
            <w:vMerge/>
            <w:tcBorders>
              <w:top w:val="single" w:sz="4" w:space="0" w:color="000000"/>
              <w:left w:val="single" w:sz="12" w:space="0" w:color="auto"/>
              <w:bottom w:val="single" w:sz="4" w:space="0" w:color="000000"/>
              <w:right w:val="single" w:sz="4" w:space="0" w:color="000000"/>
            </w:tcBorders>
            <w:tcMar>
              <w:top w:w="0" w:type="dxa"/>
              <w:left w:w="0" w:type="dxa"/>
              <w:bottom w:w="0" w:type="dxa"/>
              <w:right w:w="0" w:type="dxa"/>
            </w:tcMar>
            <w:vAlign w:val="center"/>
          </w:tcPr>
          <w:p w14:paraId="12136AFC" w14:textId="77777777" w:rsidR="005B091C" w:rsidRPr="00ED190A" w:rsidRDefault="005B091C" w:rsidP="00ED190A">
            <w:pPr>
              <w:widowControl w:val="0"/>
              <w:pBdr>
                <w:top w:val="nil"/>
                <w:left w:val="nil"/>
                <w:bottom w:val="nil"/>
                <w:right w:val="nil"/>
                <w:between w:val="nil"/>
              </w:pBdr>
              <w:jc w:val="center"/>
              <w:rPr>
                <w:rFonts w:ascii="Arial" w:hAnsi="Arial" w:cs="Arial"/>
                <w:sz w:val="20"/>
              </w:rPr>
            </w:pPr>
          </w:p>
        </w:tc>
        <w:tc>
          <w:tcPr>
            <w:tcW w:w="1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DFC0D55" w14:textId="77777777" w:rsidR="005B091C" w:rsidRPr="00ED190A" w:rsidRDefault="005B091C" w:rsidP="00ED190A">
            <w:pPr>
              <w:jc w:val="center"/>
              <w:rPr>
                <w:rFonts w:ascii="Arial" w:hAnsi="Arial" w:cs="Arial"/>
                <w:sz w:val="20"/>
              </w:rPr>
            </w:pPr>
            <w:r w:rsidRPr="00ED190A">
              <w:rPr>
                <w:rFonts w:ascii="Arial" w:hAnsi="Arial" w:cs="Arial"/>
                <w:sz w:val="20"/>
              </w:rPr>
              <w:t>7.2</w:t>
            </w:r>
          </w:p>
        </w:tc>
        <w:tc>
          <w:tcPr>
            <w:tcW w:w="12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99829CF" w14:textId="77777777" w:rsidR="005B091C" w:rsidRPr="00ED190A" w:rsidRDefault="005B091C" w:rsidP="00ED190A">
            <w:pPr>
              <w:jc w:val="center"/>
              <w:rPr>
                <w:rFonts w:ascii="Arial" w:hAnsi="Arial" w:cs="Arial"/>
                <w:sz w:val="20"/>
              </w:rPr>
            </w:pPr>
            <w:r w:rsidRPr="00ED190A">
              <w:rPr>
                <w:rFonts w:ascii="Arial" w:hAnsi="Arial" w:cs="Arial"/>
                <w:sz w:val="20"/>
              </w:rPr>
              <w:t>10</w:t>
            </w:r>
          </w:p>
        </w:tc>
        <w:tc>
          <w:tcPr>
            <w:tcW w:w="3186" w:type="dxa"/>
            <w:vMerge/>
            <w:tcBorders>
              <w:left w:val="single" w:sz="4" w:space="0" w:color="000000"/>
              <w:right w:val="single" w:sz="12" w:space="0" w:color="auto"/>
            </w:tcBorders>
            <w:vAlign w:val="center"/>
          </w:tcPr>
          <w:p w14:paraId="7D8898F3" w14:textId="77777777" w:rsidR="005B091C" w:rsidRPr="00ED190A" w:rsidRDefault="005B091C" w:rsidP="00ED190A">
            <w:pPr>
              <w:jc w:val="center"/>
              <w:rPr>
                <w:rFonts w:ascii="Arial" w:hAnsi="Arial" w:cs="Arial"/>
                <w:sz w:val="20"/>
              </w:rPr>
            </w:pPr>
          </w:p>
        </w:tc>
      </w:tr>
      <w:tr w:rsidR="005B091C" w:rsidRPr="00ED190A" w14:paraId="74F9DBFA" w14:textId="77777777" w:rsidTr="00B438F0">
        <w:trPr>
          <w:jc w:val="center"/>
        </w:trPr>
        <w:tc>
          <w:tcPr>
            <w:tcW w:w="1560" w:type="dxa"/>
            <w:vMerge/>
            <w:tcBorders>
              <w:top w:val="single" w:sz="4" w:space="0" w:color="000000"/>
              <w:left w:val="single" w:sz="12" w:space="0" w:color="auto"/>
              <w:bottom w:val="single" w:sz="4" w:space="0" w:color="000000"/>
              <w:right w:val="single" w:sz="4" w:space="0" w:color="000000"/>
            </w:tcBorders>
            <w:tcMar>
              <w:top w:w="0" w:type="dxa"/>
              <w:left w:w="0" w:type="dxa"/>
              <w:bottom w:w="0" w:type="dxa"/>
              <w:right w:w="0" w:type="dxa"/>
            </w:tcMar>
            <w:vAlign w:val="center"/>
          </w:tcPr>
          <w:p w14:paraId="244003AC" w14:textId="77777777" w:rsidR="005B091C" w:rsidRPr="00ED190A" w:rsidRDefault="005B091C" w:rsidP="00ED190A">
            <w:pPr>
              <w:widowControl w:val="0"/>
              <w:pBdr>
                <w:top w:val="nil"/>
                <w:left w:val="nil"/>
                <w:bottom w:val="nil"/>
                <w:right w:val="nil"/>
                <w:between w:val="nil"/>
              </w:pBdr>
              <w:jc w:val="center"/>
              <w:rPr>
                <w:rFonts w:ascii="Arial" w:hAnsi="Arial" w:cs="Arial"/>
                <w:sz w:val="20"/>
              </w:rPr>
            </w:pPr>
          </w:p>
        </w:tc>
        <w:tc>
          <w:tcPr>
            <w:tcW w:w="1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6D99B26" w14:textId="77777777" w:rsidR="005B091C" w:rsidRPr="00ED190A" w:rsidRDefault="005B091C" w:rsidP="00ED190A">
            <w:pPr>
              <w:jc w:val="center"/>
              <w:rPr>
                <w:rFonts w:ascii="Arial" w:hAnsi="Arial" w:cs="Arial"/>
                <w:sz w:val="20"/>
              </w:rPr>
            </w:pPr>
            <w:r w:rsidRPr="00ED190A">
              <w:rPr>
                <w:rFonts w:ascii="Arial" w:hAnsi="Arial" w:cs="Arial"/>
                <w:sz w:val="20"/>
              </w:rPr>
              <w:t>7.3</w:t>
            </w:r>
          </w:p>
        </w:tc>
        <w:tc>
          <w:tcPr>
            <w:tcW w:w="12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521ED74" w14:textId="77777777" w:rsidR="005B091C" w:rsidRPr="00ED190A" w:rsidRDefault="005B091C" w:rsidP="00ED190A">
            <w:pPr>
              <w:jc w:val="center"/>
              <w:rPr>
                <w:rFonts w:ascii="Arial" w:hAnsi="Arial" w:cs="Arial"/>
                <w:sz w:val="20"/>
              </w:rPr>
            </w:pPr>
            <w:r w:rsidRPr="00ED190A">
              <w:rPr>
                <w:rFonts w:ascii="Arial" w:hAnsi="Arial" w:cs="Arial"/>
                <w:sz w:val="20"/>
              </w:rPr>
              <w:t>10</w:t>
            </w:r>
          </w:p>
        </w:tc>
        <w:tc>
          <w:tcPr>
            <w:tcW w:w="3186" w:type="dxa"/>
            <w:vMerge/>
            <w:tcBorders>
              <w:left w:val="single" w:sz="4" w:space="0" w:color="000000"/>
              <w:right w:val="single" w:sz="12" w:space="0" w:color="auto"/>
            </w:tcBorders>
            <w:vAlign w:val="center"/>
          </w:tcPr>
          <w:p w14:paraId="219F3D28" w14:textId="77777777" w:rsidR="005B091C" w:rsidRPr="00ED190A" w:rsidRDefault="005B091C" w:rsidP="00ED190A">
            <w:pPr>
              <w:jc w:val="center"/>
              <w:rPr>
                <w:rFonts w:ascii="Arial" w:hAnsi="Arial" w:cs="Arial"/>
                <w:sz w:val="20"/>
              </w:rPr>
            </w:pPr>
          </w:p>
        </w:tc>
      </w:tr>
      <w:tr w:rsidR="005B091C" w:rsidRPr="00ED190A" w14:paraId="335AE3D8" w14:textId="77777777" w:rsidTr="00B438F0">
        <w:trPr>
          <w:jc w:val="center"/>
        </w:trPr>
        <w:tc>
          <w:tcPr>
            <w:tcW w:w="1560" w:type="dxa"/>
            <w:vMerge/>
            <w:tcBorders>
              <w:top w:val="single" w:sz="4" w:space="0" w:color="000000"/>
              <w:left w:val="single" w:sz="12" w:space="0" w:color="auto"/>
              <w:bottom w:val="single" w:sz="4" w:space="0" w:color="000000"/>
              <w:right w:val="single" w:sz="4" w:space="0" w:color="000000"/>
            </w:tcBorders>
            <w:tcMar>
              <w:top w:w="0" w:type="dxa"/>
              <w:left w:w="0" w:type="dxa"/>
              <w:bottom w:w="0" w:type="dxa"/>
              <w:right w:w="0" w:type="dxa"/>
            </w:tcMar>
            <w:vAlign w:val="center"/>
          </w:tcPr>
          <w:p w14:paraId="30790BB8" w14:textId="77777777" w:rsidR="005B091C" w:rsidRPr="00ED190A" w:rsidRDefault="005B091C" w:rsidP="00ED190A">
            <w:pPr>
              <w:widowControl w:val="0"/>
              <w:pBdr>
                <w:top w:val="nil"/>
                <w:left w:val="nil"/>
                <w:bottom w:val="nil"/>
                <w:right w:val="nil"/>
                <w:between w:val="nil"/>
              </w:pBdr>
              <w:jc w:val="center"/>
              <w:rPr>
                <w:rFonts w:ascii="Arial" w:hAnsi="Arial" w:cs="Arial"/>
                <w:sz w:val="20"/>
              </w:rPr>
            </w:pPr>
          </w:p>
        </w:tc>
        <w:tc>
          <w:tcPr>
            <w:tcW w:w="1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EC35C19" w14:textId="77777777" w:rsidR="005B091C" w:rsidRPr="00ED190A" w:rsidRDefault="005B091C" w:rsidP="00ED190A">
            <w:pPr>
              <w:jc w:val="center"/>
              <w:rPr>
                <w:rFonts w:ascii="Arial" w:hAnsi="Arial" w:cs="Arial"/>
                <w:sz w:val="20"/>
              </w:rPr>
            </w:pPr>
            <w:r w:rsidRPr="00ED190A">
              <w:rPr>
                <w:rFonts w:ascii="Arial" w:hAnsi="Arial" w:cs="Arial"/>
                <w:sz w:val="20"/>
              </w:rPr>
              <w:t>7.4</w:t>
            </w:r>
          </w:p>
        </w:tc>
        <w:tc>
          <w:tcPr>
            <w:tcW w:w="12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7B10526" w14:textId="77777777" w:rsidR="005B091C" w:rsidRPr="00ED190A" w:rsidRDefault="005B091C" w:rsidP="00ED190A">
            <w:pPr>
              <w:jc w:val="center"/>
              <w:rPr>
                <w:rFonts w:ascii="Arial" w:hAnsi="Arial" w:cs="Arial"/>
                <w:sz w:val="20"/>
              </w:rPr>
            </w:pPr>
            <w:r w:rsidRPr="00ED190A">
              <w:rPr>
                <w:rFonts w:ascii="Arial" w:hAnsi="Arial" w:cs="Arial"/>
                <w:sz w:val="20"/>
              </w:rPr>
              <w:t>10</w:t>
            </w:r>
          </w:p>
        </w:tc>
        <w:tc>
          <w:tcPr>
            <w:tcW w:w="3186" w:type="dxa"/>
            <w:vMerge/>
            <w:tcBorders>
              <w:left w:val="single" w:sz="4" w:space="0" w:color="000000"/>
              <w:right w:val="single" w:sz="12" w:space="0" w:color="auto"/>
            </w:tcBorders>
            <w:vAlign w:val="center"/>
          </w:tcPr>
          <w:p w14:paraId="7D1F4304" w14:textId="77777777" w:rsidR="005B091C" w:rsidRPr="00ED190A" w:rsidRDefault="005B091C" w:rsidP="00ED190A">
            <w:pPr>
              <w:jc w:val="center"/>
              <w:rPr>
                <w:rFonts w:ascii="Arial" w:hAnsi="Arial" w:cs="Arial"/>
                <w:sz w:val="20"/>
              </w:rPr>
            </w:pPr>
          </w:p>
        </w:tc>
      </w:tr>
      <w:tr w:rsidR="005B091C" w:rsidRPr="00ED190A" w14:paraId="0F2C4F69" w14:textId="77777777" w:rsidTr="00B438F0">
        <w:trPr>
          <w:jc w:val="center"/>
        </w:trPr>
        <w:tc>
          <w:tcPr>
            <w:tcW w:w="1560" w:type="dxa"/>
            <w:vMerge/>
            <w:tcBorders>
              <w:top w:val="single" w:sz="4" w:space="0" w:color="000000"/>
              <w:left w:val="single" w:sz="12" w:space="0" w:color="auto"/>
              <w:bottom w:val="single" w:sz="4" w:space="0" w:color="000000"/>
              <w:right w:val="single" w:sz="4" w:space="0" w:color="000000"/>
            </w:tcBorders>
            <w:tcMar>
              <w:top w:w="0" w:type="dxa"/>
              <w:left w:w="0" w:type="dxa"/>
              <w:bottom w:w="0" w:type="dxa"/>
              <w:right w:w="0" w:type="dxa"/>
            </w:tcMar>
            <w:vAlign w:val="center"/>
          </w:tcPr>
          <w:p w14:paraId="40E3A4D1" w14:textId="77777777" w:rsidR="005B091C" w:rsidRPr="00ED190A" w:rsidRDefault="005B091C" w:rsidP="00ED190A">
            <w:pPr>
              <w:widowControl w:val="0"/>
              <w:pBdr>
                <w:top w:val="nil"/>
                <w:left w:val="nil"/>
                <w:bottom w:val="nil"/>
                <w:right w:val="nil"/>
                <w:between w:val="nil"/>
              </w:pBdr>
              <w:jc w:val="center"/>
              <w:rPr>
                <w:rFonts w:ascii="Arial" w:hAnsi="Arial" w:cs="Arial"/>
                <w:sz w:val="20"/>
              </w:rPr>
            </w:pPr>
          </w:p>
        </w:tc>
        <w:tc>
          <w:tcPr>
            <w:tcW w:w="1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836CD79" w14:textId="77777777" w:rsidR="005B091C" w:rsidRPr="00ED190A" w:rsidRDefault="005B091C" w:rsidP="00ED190A">
            <w:pPr>
              <w:jc w:val="center"/>
              <w:rPr>
                <w:rFonts w:ascii="Arial" w:hAnsi="Arial" w:cs="Arial"/>
                <w:sz w:val="20"/>
              </w:rPr>
            </w:pPr>
            <w:r w:rsidRPr="00ED190A">
              <w:rPr>
                <w:rFonts w:ascii="Arial" w:hAnsi="Arial" w:cs="Arial"/>
                <w:sz w:val="20"/>
              </w:rPr>
              <w:t>TESTE (i)</w:t>
            </w:r>
          </w:p>
        </w:tc>
        <w:tc>
          <w:tcPr>
            <w:tcW w:w="12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9759C35" w14:textId="77777777" w:rsidR="005B091C" w:rsidRPr="00ED190A" w:rsidRDefault="005B091C" w:rsidP="00ED190A">
            <w:pPr>
              <w:jc w:val="center"/>
              <w:rPr>
                <w:rFonts w:ascii="Arial" w:hAnsi="Arial" w:cs="Arial"/>
                <w:sz w:val="20"/>
              </w:rPr>
            </w:pPr>
            <w:r w:rsidRPr="00ED190A">
              <w:rPr>
                <w:rFonts w:ascii="Arial" w:hAnsi="Arial" w:cs="Arial"/>
                <w:sz w:val="20"/>
              </w:rPr>
              <w:t>NÃO OK</w:t>
            </w:r>
          </w:p>
        </w:tc>
        <w:tc>
          <w:tcPr>
            <w:tcW w:w="3186" w:type="dxa"/>
            <w:vMerge/>
            <w:tcBorders>
              <w:left w:val="single" w:sz="4" w:space="0" w:color="000000"/>
              <w:right w:val="single" w:sz="12" w:space="0" w:color="auto"/>
            </w:tcBorders>
            <w:vAlign w:val="center"/>
          </w:tcPr>
          <w:p w14:paraId="5FF683D4" w14:textId="77777777" w:rsidR="005B091C" w:rsidRPr="00ED190A" w:rsidRDefault="005B091C" w:rsidP="00ED190A">
            <w:pPr>
              <w:jc w:val="center"/>
              <w:rPr>
                <w:rFonts w:ascii="Arial" w:hAnsi="Arial" w:cs="Arial"/>
                <w:sz w:val="20"/>
              </w:rPr>
            </w:pPr>
          </w:p>
        </w:tc>
      </w:tr>
      <w:tr w:rsidR="005B091C" w:rsidRPr="00ED190A" w14:paraId="06E7C3DA" w14:textId="77777777" w:rsidTr="00B438F0">
        <w:trPr>
          <w:jc w:val="center"/>
        </w:trPr>
        <w:tc>
          <w:tcPr>
            <w:tcW w:w="1560" w:type="dxa"/>
            <w:vMerge/>
            <w:tcBorders>
              <w:top w:val="single" w:sz="4" w:space="0" w:color="000000"/>
              <w:left w:val="single" w:sz="12" w:space="0" w:color="auto"/>
              <w:bottom w:val="single" w:sz="4" w:space="0" w:color="000000"/>
              <w:right w:val="single" w:sz="4" w:space="0" w:color="000000"/>
            </w:tcBorders>
            <w:tcMar>
              <w:top w:w="0" w:type="dxa"/>
              <w:left w:w="0" w:type="dxa"/>
              <w:bottom w:w="0" w:type="dxa"/>
              <w:right w:w="0" w:type="dxa"/>
            </w:tcMar>
            <w:vAlign w:val="center"/>
          </w:tcPr>
          <w:p w14:paraId="31EF1822" w14:textId="77777777" w:rsidR="005B091C" w:rsidRPr="00ED190A" w:rsidRDefault="005B091C" w:rsidP="00ED190A">
            <w:pPr>
              <w:widowControl w:val="0"/>
              <w:pBdr>
                <w:top w:val="nil"/>
                <w:left w:val="nil"/>
                <w:bottom w:val="nil"/>
                <w:right w:val="nil"/>
                <w:between w:val="nil"/>
              </w:pBdr>
              <w:jc w:val="center"/>
              <w:rPr>
                <w:rFonts w:ascii="Arial" w:hAnsi="Arial" w:cs="Arial"/>
                <w:sz w:val="20"/>
              </w:rPr>
            </w:pPr>
          </w:p>
        </w:tc>
        <w:tc>
          <w:tcPr>
            <w:tcW w:w="1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C7D918A" w14:textId="77777777" w:rsidR="005B091C" w:rsidRPr="00ED190A" w:rsidRDefault="005B091C" w:rsidP="00ED190A">
            <w:pPr>
              <w:jc w:val="center"/>
              <w:rPr>
                <w:rFonts w:ascii="Arial" w:hAnsi="Arial" w:cs="Arial"/>
                <w:sz w:val="20"/>
              </w:rPr>
            </w:pPr>
            <w:r w:rsidRPr="00ED190A">
              <w:rPr>
                <w:rFonts w:ascii="Arial" w:hAnsi="Arial" w:cs="Arial"/>
                <w:sz w:val="20"/>
              </w:rPr>
              <w:t>TESTE (ii)</w:t>
            </w:r>
          </w:p>
        </w:tc>
        <w:tc>
          <w:tcPr>
            <w:tcW w:w="12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8453606" w14:textId="77777777" w:rsidR="005B091C" w:rsidRPr="00ED190A" w:rsidRDefault="005B091C" w:rsidP="00ED190A">
            <w:pPr>
              <w:jc w:val="center"/>
              <w:rPr>
                <w:rFonts w:ascii="Arial" w:hAnsi="Arial" w:cs="Arial"/>
                <w:sz w:val="20"/>
              </w:rPr>
            </w:pPr>
            <w:r w:rsidRPr="00ED190A">
              <w:rPr>
                <w:rFonts w:ascii="Arial" w:hAnsi="Arial" w:cs="Arial"/>
                <w:sz w:val="20"/>
              </w:rPr>
              <w:t>OK</w:t>
            </w:r>
          </w:p>
        </w:tc>
        <w:tc>
          <w:tcPr>
            <w:tcW w:w="3186" w:type="dxa"/>
            <w:vMerge/>
            <w:tcBorders>
              <w:left w:val="single" w:sz="4" w:space="0" w:color="000000"/>
              <w:right w:val="single" w:sz="12" w:space="0" w:color="auto"/>
            </w:tcBorders>
            <w:vAlign w:val="center"/>
          </w:tcPr>
          <w:p w14:paraId="52364451" w14:textId="77777777" w:rsidR="005B091C" w:rsidRPr="00ED190A" w:rsidRDefault="005B091C" w:rsidP="00ED190A">
            <w:pPr>
              <w:jc w:val="center"/>
              <w:rPr>
                <w:rFonts w:ascii="Arial" w:hAnsi="Arial" w:cs="Arial"/>
                <w:sz w:val="20"/>
              </w:rPr>
            </w:pPr>
          </w:p>
        </w:tc>
      </w:tr>
      <w:tr w:rsidR="005B091C" w:rsidRPr="00ED190A" w14:paraId="4B51D1D4" w14:textId="77777777" w:rsidTr="00B438F0">
        <w:trPr>
          <w:jc w:val="center"/>
        </w:trPr>
        <w:tc>
          <w:tcPr>
            <w:tcW w:w="1560" w:type="dxa"/>
            <w:vMerge/>
            <w:tcBorders>
              <w:top w:val="single" w:sz="4" w:space="0" w:color="000000"/>
              <w:left w:val="single" w:sz="12" w:space="0" w:color="auto"/>
              <w:bottom w:val="single" w:sz="4" w:space="0" w:color="000000"/>
              <w:right w:val="single" w:sz="4" w:space="0" w:color="000000"/>
            </w:tcBorders>
            <w:tcMar>
              <w:top w:w="0" w:type="dxa"/>
              <w:left w:w="0" w:type="dxa"/>
              <w:bottom w:w="0" w:type="dxa"/>
              <w:right w:w="0" w:type="dxa"/>
            </w:tcMar>
            <w:vAlign w:val="center"/>
          </w:tcPr>
          <w:p w14:paraId="04512F4E" w14:textId="77777777" w:rsidR="005B091C" w:rsidRPr="00ED190A" w:rsidRDefault="005B091C" w:rsidP="00ED190A">
            <w:pPr>
              <w:widowControl w:val="0"/>
              <w:pBdr>
                <w:top w:val="nil"/>
                <w:left w:val="nil"/>
                <w:bottom w:val="nil"/>
                <w:right w:val="nil"/>
                <w:between w:val="nil"/>
              </w:pBdr>
              <w:jc w:val="center"/>
              <w:rPr>
                <w:rFonts w:ascii="Arial" w:hAnsi="Arial" w:cs="Arial"/>
                <w:sz w:val="20"/>
              </w:rPr>
            </w:pPr>
          </w:p>
        </w:tc>
        <w:tc>
          <w:tcPr>
            <w:tcW w:w="1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9908426" w14:textId="77777777" w:rsidR="005B091C" w:rsidRPr="00ED190A" w:rsidRDefault="005B091C" w:rsidP="00ED190A">
            <w:pPr>
              <w:jc w:val="center"/>
              <w:rPr>
                <w:rFonts w:ascii="Arial" w:hAnsi="Arial" w:cs="Arial"/>
                <w:sz w:val="20"/>
              </w:rPr>
            </w:pPr>
            <w:r w:rsidRPr="00ED190A">
              <w:rPr>
                <w:rFonts w:ascii="Arial" w:hAnsi="Arial" w:cs="Arial"/>
                <w:sz w:val="20"/>
              </w:rPr>
              <w:t>TESTE (iii)</w:t>
            </w:r>
          </w:p>
        </w:tc>
        <w:tc>
          <w:tcPr>
            <w:tcW w:w="12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82A8436" w14:textId="77777777" w:rsidR="005B091C" w:rsidRPr="00ED190A" w:rsidRDefault="005B091C" w:rsidP="00ED190A">
            <w:pPr>
              <w:jc w:val="center"/>
              <w:rPr>
                <w:rFonts w:ascii="Arial" w:hAnsi="Arial" w:cs="Arial"/>
                <w:sz w:val="20"/>
              </w:rPr>
            </w:pPr>
            <w:r w:rsidRPr="00ED190A">
              <w:rPr>
                <w:rFonts w:ascii="Arial" w:hAnsi="Arial" w:cs="Arial"/>
                <w:sz w:val="20"/>
              </w:rPr>
              <w:t>NÃO OK</w:t>
            </w:r>
          </w:p>
        </w:tc>
        <w:tc>
          <w:tcPr>
            <w:tcW w:w="3186" w:type="dxa"/>
            <w:vMerge/>
            <w:tcBorders>
              <w:left w:val="single" w:sz="4" w:space="0" w:color="000000"/>
              <w:right w:val="single" w:sz="12" w:space="0" w:color="auto"/>
            </w:tcBorders>
            <w:vAlign w:val="center"/>
          </w:tcPr>
          <w:p w14:paraId="121F06BA" w14:textId="77777777" w:rsidR="005B091C" w:rsidRPr="00ED190A" w:rsidRDefault="005B091C" w:rsidP="00ED190A">
            <w:pPr>
              <w:jc w:val="center"/>
              <w:rPr>
                <w:rFonts w:ascii="Arial" w:hAnsi="Arial" w:cs="Arial"/>
                <w:sz w:val="20"/>
              </w:rPr>
            </w:pPr>
          </w:p>
        </w:tc>
      </w:tr>
      <w:tr w:rsidR="005B091C" w:rsidRPr="00ED190A" w14:paraId="16FB3027" w14:textId="77777777" w:rsidTr="00B438F0">
        <w:trPr>
          <w:jc w:val="center"/>
        </w:trPr>
        <w:tc>
          <w:tcPr>
            <w:tcW w:w="1560" w:type="dxa"/>
            <w:vMerge/>
            <w:tcBorders>
              <w:top w:val="single" w:sz="4" w:space="0" w:color="000000"/>
              <w:left w:val="single" w:sz="12" w:space="0" w:color="auto"/>
              <w:bottom w:val="single" w:sz="12" w:space="0" w:color="auto"/>
              <w:right w:val="single" w:sz="4" w:space="0" w:color="000000"/>
            </w:tcBorders>
            <w:tcMar>
              <w:top w:w="0" w:type="dxa"/>
              <w:left w:w="0" w:type="dxa"/>
              <w:bottom w:w="0" w:type="dxa"/>
              <w:right w:w="0" w:type="dxa"/>
            </w:tcMar>
            <w:vAlign w:val="center"/>
          </w:tcPr>
          <w:p w14:paraId="1CEB9E11" w14:textId="77777777" w:rsidR="005B091C" w:rsidRPr="00ED190A" w:rsidRDefault="005B091C" w:rsidP="00ED190A">
            <w:pPr>
              <w:widowControl w:val="0"/>
              <w:pBdr>
                <w:top w:val="nil"/>
                <w:left w:val="nil"/>
                <w:bottom w:val="nil"/>
                <w:right w:val="nil"/>
                <w:between w:val="nil"/>
              </w:pBdr>
              <w:jc w:val="center"/>
              <w:rPr>
                <w:rFonts w:ascii="Arial" w:hAnsi="Arial" w:cs="Arial"/>
                <w:sz w:val="20"/>
              </w:rPr>
            </w:pPr>
          </w:p>
        </w:tc>
        <w:tc>
          <w:tcPr>
            <w:tcW w:w="2909" w:type="dxa"/>
            <w:gridSpan w:val="2"/>
            <w:tcBorders>
              <w:top w:val="single" w:sz="4" w:space="0" w:color="000000"/>
              <w:left w:val="single" w:sz="4" w:space="0" w:color="000000"/>
              <w:bottom w:val="single" w:sz="12" w:space="0" w:color="auto"/>
              <w:right w:val="single" w:sz="4" w:space="0" w:color="000000"/>
            </w:tcBorders>
            <w:tcMar>
              <w:top w:w="0" w:type="dxa"/>
              <w:left w:w="0" w:type="dxa"/>
              <w:bottom w:w="0" w:type="dxa"/>
              <w:right w:w="0" w:type="dxa"/>
            </w:tcMar>
            <w:vAlign w:val="center"/>
          </w:tcPr>
          <w:p w14:paraId="161BA2CF" w14:textId="77777777" w:rsidR="005B091C" w:rsidRPr="00EE7CF7" w:rsidRDefault="005B091C" w:rsidP="00ED190A">
            <w:pPr>
              <w:jc w:val="center"/>
              <w:rPr>
                <w:rFonts w:ascii="Arial" w:hAnsi="Arial" w:cs="Arial"/>
                <w:bCs/>
                <w:sz w:val="20"/>
              </w:rPr>
            </w:pPr>
            <w:r w:rsidRPr="00EE7CF7">
              <w:rPr>
                <w:rFonts w:ascii="Arial" w:hAnsi="Arial" w:cs="Arial"/>
                <w:bCs/>
                <w:sz w:val="20"/>
              </w:rPr>
              <w:t>TOTAL = 40</w:t>
            </w:r>
          </w:p>
        </w:tc>
        <w:tc>
          <w:tcPr>
            <w:tcW w:w="3186" w:type="dxa"/>
            <w:vMerge/>
            <w:tcBorders>
              <w:left w:val="single" w:sz="4" w:space="0" w:color="000000"/>
              <w:bottom w:val="single" w:sz="12" w:space="0" w:color="auto"/>
              <w:right w:val="single" w:sz="12" w:space="0" w:color="auto"/>
            </w:tcBorders>
            <w:vAlign w:val="center"/>
          </w:tcPr>
          <w:p w14:paraId="3D418E41" w14:textId="77777777" w:rsidR="005B091C" w:rsidRPr="00ED190A" w:rsidRDefault="005B091C" w:rsidP="00ED190A">
            <w:pPr>
              <w:jc w:val="center"/>
              <w:rPr>
                <w:rFonts w:ascii="Arial" w:hAnsi="Arial" w:cs="Arial"/>
                <w:b/>
                <w:sz w:val="20"/>
              </w:rPr>
            </w:pPr>
          </w:p>
        </w:tc>
      </w:tr>
    </w:tbl>
    <w:p w14:paraId="3D730828" w14:textId="37F3A251" w:rsidR="005B091C" w:rsidRPr="00D964AF" w:rsidRDefault="005B091C" w:rsidP="00D964AF">
      <w:pPr>
        <w:spacing w:after="240"/>
        <w:jc w:val="left"/>
        <w:rPr>
          <w:rFonts w:ascii="Arial" w:hAnsi="Arial" w:cs="Arial"/>
          <w:sz w:val="20"/>
          <w:lang w:val="pt-BR"/>
        </w:rPr>
      </w:pPr>
      <w:r w:rsidRPr="00D964AF">
        <w:rPr>
          <w:rFonts w:ascii="Arial" w:hAnsi="Arial" w:cs="Arial"/>
          <w:sz w:val="20"/>
          <w:lang w:val="pt-BR"/>
        </w:rPr>
        <w:t xml:space="preserve">Fonte: </w:t>
      </w:r>
      <w:r w:rsidR="00ED190A" w:rsidRPr="00D964AF">
        <w:rPr>
          <w:rFonts w:ascii="Arial" w:hAnsi="Arial" w:cs="Arial"/>
          <w:sz w:val="20"/>
          <w:lang w:val="pt-BR"/>
        </w:rPr>
        <w:t xml:space="preserve">Autores (2019) - </w:t>
      </w:r>
      <w:r w:rsidRPr="00D964AF">
        <w:rPr>
          <w:rFonts w:ascii="Arial" w:hAnsi="Arial" w:cs="Arial"/>
          <w:sz w:val="20"/>
          <w:lang w:val="pt-BR"/>
        </w:rPr>
        <w:t>Elaborado de acordo com os resultados obtidos pela presente pesquisa, tendo como referências FERREIRA et al. (2017), Machado et al. (2019) e MAFORT et al. (2019)</w:t>
      </w:r>
      <w:r w:rsidR="004E42A4">
        <w:rPr>
          <w:rFonts w:ascii="Arial" w:hAnsi="Arial" w:cs="Arial"/>
          <w:sz w:val="20"/>
          <w:lang w:val="pt-BR"/>
        </w:rPr>
        <w:t>.</w:t>
      </w:r>
    </w:p>
    <w:p w14:paraId="207FAD7E" w14:textId="567AE54D" w:rsidR="005B091C" w:rsidRPr="005B091C" w:rsidRDefault="00FC3912" w:rsidP="00ED190A">
      <w:pPr>
        <w:tabs>
          <w:tab w:val="left" w:pos="142"/>
        </w:tabs>
        <w:ind w:firstLine="284"/>
        <w:rPr>
          <w:szCs w:val="24"/>
          <w:lang w:val="pt-BR"/>
        </w:rPr>
      </w:pPr>
      <w:r>
        <w:rPr>
          <w:szCs w:val="24"/>
          <w:lang w:val="pt-BR"/>
        </w:rPr>
        <w:t>N</w:t>
      </w:r>
      <w:r w:rsidR="005B091C" w:rsidRPr="005B091C">
        <w:rPr>
          <w:szCs w:val="24"/>
          <w:lang w:val="pt-BR"/>
        </w:rPr>
        <w:t>o princípio “integridade do SSA</w:t>
      </w:r>
      <w:r>
        <w:rPr>
          <w:szCs w:val="24"/>
          <w:lang w:val="pt-BR"/>
        </w:rPr>
        <w:t xml:space="preserve">”, </w:t>
      </w:r>
      <w:r w:rsidR="005B091C" w:rsidRPr="005B091C">
        <w:rPr>
          <w:szCs w:val="24"/>
          <w:lang w:val="pt-BR"/>
        </w:rPr>
        <w:t>as notas atribuídas consideraram os aspectos ambientais e impactos negativos a eles relacionados encontrados na pesquisa documental e evidenciados pelos resultados do questionário aplicado durante a pesquisa (Figura 4): a poluição doméstica, a erosão e assoreamento, o desmatamento, a ocup</w:t>
      </w:r>
      <w:r w:rsidR="00ED190A">
        <w:rPr>
          <w:szCs w:val="24"/>
          <w:lang w:val="pt-BR"/>
        </w:rPr>
        <w:t>ação irregular e o uso do solo.</w:t>
      </w:r>
    </w:p>
    <w:p w14:paraId="035E4D6C" w14:textId="62AD3043" w:rsidR="00612773" w:rsidRPr="005B091C" w:rsidRDefault="00945C71" w:rsidP="005B091C">
      <w:pPr>
        <w:pBdr>
          <w:top w:val="nil"/>
          <w:left w:val="nil"/>
          <w:bottom w:val="nil"/>
          <w:right w:val="nil"/>
          <w:between w:val="nil"/>
        </w:pBdr>
        <w:spacing w:before="280" w:after="280"/>
        <w:jc w:val="center"/>
        <w:rPr>
          <w:sz w:val="20"/>
          <w:lang w:val="pt-BR"/>
        </w:rPr>
      </w:pPr>
      <w:r>
        <w:rPr>
          <w:noProof/>
          <w:szCs w:val="24"/>
          <w:lang w:val="pt-BR"/>
        </w:rPr>
        <w:lastRenderedPageBreak/>
        <w:drawing>
          <wp:inline distT="0" distB="0" distL="0" distR="0" wp14:anchorId="35FDC7E1" wp14:editId="63E9C25A">
            <wp:extent cx="3505200" cy="2457450"/>
            <wp:effectExtent l="0" t="0" r="0" b="0"/>
            <wp:docPr id="2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3505200" cy="2457450"/>
                    </a:xfrm>
                    <a:prstGeom prst="rect">
                      <a:avLst/>
                    </a:prstGeom>
                    <a:ln/>
                  </pic:spPr>
                </pic:pic>
              </a:graphicData>
            </a:graphic>
          </wp:inline>
        </w:drawing>
      </w:r>
    </w:p>
    <w:p w14:paraId="75D046D1" w14:textId="18A6E1FB" w:rsidR="005B091C" w:rsidRPr="00ED190A" w:rsidRDefault="00612773" w:rsidP="005B091C">
      <w:pPr>
        <w:pBdr>
          <w:top w:val="nil"/>
          <w:left w:val="nil"/>
          <w:bottom w:val="nil"/>
          <w:right w:val="nil"/>
          <w:between w:val="nil"/>
        </w:pBdr>
        <w:spacing w:before="280" w:after="280"/>
        <w:jc w:val="center"/>
        <w:rPr>
          <w:b/>
          <w:sz w:val="20"/>
          <w:lang w:val="pt-BR"/>
        </w:rPr>
      </w:pPr>
      <w:r w:rsidRPr="00ED190A">
        <w:rPr>
          <w:b/>
          <w:sz w:val="20"/>
          <w:lang w:val="pt-BR"/>
        </w:rPr>
        <w:t xml:space="preserve">Figura 4: Os principais impactos ambientais negativos na RH-IX. </w:t>
      </w:r>
      <w:r w:rsidR="005B091C" w:rsidRPr="00ED190A">
        <w:rPr>
          <w:b/>
          <w:sz w:val="20"/>
          <w:lang w:val="pt-BR"/>
        </w:rPr>
        <w:t xml:space="preserve">Fonte: </w:t>
      </w:r>
      <w:r w:rsidRPr="00ED190A">
        <w:rPr>
          <w:b/>
          <w:sz w:val="20"/>
          <w:lang w:val="pt-BR"/>
        </w:rPr>
        <w:t>Autores (</w:t>
      </w:r>
      <w:r w:rsidR="00FC3912" w:rsidRPr="00ED190A">
        <w:rPr>
          <w:b/>
          <w:sz w:val="20"/>
          <w:lang w:val="pt-BR"/>
        </w:rPr>
        <w:t>2019</w:t>
      </w:r>
      <w:r w:rsidRPr="00ED190A">
        <w:rPr>
          <w:b/>
          <w:sz w:val="20"/>
          <w:lang w:val="pt-BR"/>
        </w:rPr>
        <w:t>)</w:t>
      </w:r>
      <w:r w:rsidR="004E42A4">
        <w:rPr>
          <w:b/>
          <w:sz w:val="20"/>
          <w:lang w:val="pt-BR"/>
        </w:rPr>
        <w:t>.</w:t>
      </w:r>
    </w:p>
    <w:p w14:paraId="7BDB645E" w14:textId="31D4F940" w:rsidR="005B091C" w:rsidRPr="005B091C" w:rsidRDefault="00C2154F" w:rsidP="005E7553">
      <w:pPr>
        <w:spacing w:after="120"/>
        <w:ind w:firstLine="284"/>
        <w:rPr>
          <w:szCs w:val="24"/>
          <w:lang w:val="pt-BR"/>
        </w:rPr>
      </w:pPr>
      <w:r>
        <w:rPr>
          <w:szCs w:val="24"/>
          <w:lang w:val="pt-BR"/>
        </w:rPr>
        <w:t>N</w:t>
      </w:r>
      <w:r w:rsidR="005B091C" w:rsidRPr="005B091C">
        <w:rPr>
          <w:szCs w:val="24"/>
          <w:lang w:val="pt-BR"/>
        </w:rPr>
        <w:t xml:space="preserve">o princípio “eficiência e manutenção dos recursos” </w:t>
      </w:r>
      <w:r>
        <w:rPr>
          <w:szCs w:val="24"/>
          <w:lang w:val="pt-BR"/>
        </w:rPr>
        <w:t xml:space="preserve">se obteve </w:t>
      </w:r>
      <w:r w:rsidR="005B091C" w:rsidRPr="005B091C">
        <w:rPr>
          <w:szCs w:val="24"/>
          <w:lang w:val="pt-BR"/>
        </w:rPr>
        <w:t xml:space="preserve">20 pontos </w:t>
      </w:r>
      <w:r>
        <w:rPr>
          <w:szCs w:val="24"/>
          <w:lang w:val="pt-BR"/>
        </w:rPr>
        <w:t>por existir</w:t>
      </w:r>
      <w:r w:rsidR="005B091C" w:rsidRPr="005B091C">
        <w:rPr>
          <w:szCs w:val="24"/>
          <w:lang w:val="pt-BR"/>
        </w:rPr>
        <w:t xml:space="preserve"> monitoramento da água a longo prazo em múltiplos pontos na </w:t>
      </w:r>
      <w:r>
        <w:rPr>
          <w:szCs w:val="24"/>
          <w:lang w:val="pt-BR"/>
        </w:rPr>
        <w:t xml:space="preserve">bacia hidrográfica, </w:t>
      </w:r>
      <w:r w:rsidR="005B091C" w:rsidRPr="005B091C">
        <w:rPr>
          <w:szCs w:val="24"/>
          <w:lang w:val="pt-BR"/>
        </w:rPr>
        <w:t>e</w:t>
      </w:r>
      <w:r>
        <w:rPr>
          <w:szCs w:val="24"/>
          <w:lang w:val="pt-BR"/>
        </w:rPr>
        <w:t xml:space="preserve">m função do sistema SIGA-CEIVAP. </w:t>
      </w:r>
      <w:r w:rsidR="005B091C" w:rsidRPr="005B091C">
        <w:rPr>
          <w:szCs w:val="24"/>
          <w:lang w:val="pt-BR"/>
        </w:rPr>
        <w:t>No caso da RH-IX, nem todos os usuários estão cadastrados e outorgados, sendo, portanto, atribuídos 10 pontos</w:t>
      </w:r>
      <w:r w:rsidR="00AE4238">
        <w:rPr>
          <w:szCs w:val="24"/>
          <w:lang w:val="pt-BR"/>
        </w:rPr>
        <w:t xml:space="preserve"> referente ao quesito de cadastro atualizado de usuários</w:t>
      </w:r>
      <w:r w:rsidR="005B091C" w:rsidRPr="005B091C">
        <w:rPr>
          <w:szCs w:val="24"/>
          <w:lang w:val="pt-BR"/>
        </w:rPr>
        <w:t>. Neste princípio também se encontra o subcomponente associado aos sistemas de tratamento de esgoto e i</w:t>
      </w:r>
      <w:r w:rsidR="00945C71">
        <w:rPr>
          <w:szCs w:val="24"/>
          <w:lang w:val="pt-BR"/>
        </w:rPr>
        <w:t>nstalações de saneamento básico</w:t>
      </w:r>
      <w:r w:rsidR="005B091C" w:rsidRPr="005B091C">
        <w:rPr>
          <w:szCs w:val="24"/>
          <w:lang w:val="pt-BR"/>
        </w:rPr>
        <w:t xml:space="preserve">. A RH-IX obteve pontuação intermediária neste quesito, assim como no subcomponente associado à existência de estratégias de enfrentamento das condições de escassez hídrica sazonal. </w:t>
      </w:r>
      <w:r w:rsidR="00AE4238">
        <w:rPr>
          <w:szCs w:val="24"/>
          <w:lang w:val="pt-BR"/>
        </w:rPr>
        <w:t xml:space="preserve">A RH-IX não satisfez simultaneamente às condições dos testes de interesse </w:t>
      </w:r>
      <w:r w:rsidR="00D030A1">
        <w:rPr>
          <w:szCs w:val="24"/>
          <w:lang w:val="pt-BR"/>
        </w:rPr>
        <w:t xml:space="preserve">e por isso não pontuou. </w:t>
      </w:r>
    </w:p>
    <w:p w14:paraId="03E37861" w14:textId="5544FC55" w:rsidR="005B091C" w:rsidRDefault="005B091C" w:rsidP="005E7553">
      <w:pPr>
        <w:spacing w:after="120"/>
        <w:ind w:firstLine="284"/>
        <w:rPr>
          <w:szCs w:val="24"/>
          <w:lang w:val="pt-BR"/>
        </w:rPr>
      </w:pPr>
      <w:r w:rsidRPr="005B091C">
        <w:rPr>
          <w:szCs w:val="24"/>
          <w:lang w:val="pt-BR"/>
        </w:rPr>
        <w:t>Para os subcomponentes associados a existência de meios de subsistência</w:t>
      </w:r>
      <w:r w:rsidR="00D030A1">
        <w:rPr>
          <w:szCs w:val="24"/>
          <w:lang w:val="pt-BR"/>
        </w:rPr>
        <w:t xml:space="preserve"> e oportunidades suficientes, </w:t>
      </w:r>
      <w:r w:rsidRPr="005B091C">
        <w:rPr>
          <w:szCs w:val="24"/>
          <w:lang w:val="pt-BR"/>
        </w:rPr>
        <w:t xml:space="preserve">a RH-IX </w:t>
      </w:r>
      <w:r w:rsidR="00D030A1">
        <w:rPr>
          <w:szCs w:val="24"/>
          <w:lang w:val="pt-BR"/>
        </w:rPr>
        <w:t>pontuou apenas no</w:t>
      </w:r>
      <w:r w:rsidRPr="005B091C">
        <w:rPr>
          <w:szCs w:val="24"/>
          <w:lang w:val="pt-BR"/>
        </w:rPr>
        <w:t xml:space="preserve"> quesito da linha de pobreza, uma vez que a maior parte dos municípios que compõem a RH-IX apresentam um IDH entre 0.556 – 0.699, (IBGE/PNDU, 201</w:t>
      </w:r>
      <w:r w:rsidR="00D030A1">
        <w:rPr>
          <w:szCs w:val="24"/>
          <w:lang w:val="pt-BR"/>
        </w:rPr>
        <w:t xml:space="preserve">0). Já em referência </w:t>
      </w:r>
      <w:r w:rsidRPr="005B091C">
        <w:rPr>
          <w:szCs w:val="24"/>
          <w:lang w:val="pt-BR"/>
        </w:rPr>
        <w:t>aos</w:t>
      </w:r>
      <w:r w:rsidR="00D030A1">
        <w:rPr>
          <w:szCs w:val="24"/>
          <w:lang w:val="pt-BR"/>
        </w:rPr>
        <w:t xml:space="preserve"> três testes de interesse comum, </w:t>
      </w:r>
      <w:r w:rsidRPr="005B091C">
        <w:rPr>
          <w:szCs w:val="24"/>
          <w:lang w:val="pt-BR"/>
        </w:rPr>
        <w:t>a RH-IX não pontuou.</w:t>
      </w:r>
    </w:p>
    <w:p w14:paraId="0D2B8504" w14:textId="65BD496E" w:rsidR="005B091C" w:rsidRPr="005B091C" w:rsidRDefault="005B091C" w:rsidP="005E7553">
      <w:pPr>
        <w:spacing w:after="120"/>
        <w:ind w:firstLine="284"/>
        <w:rPr>
          <w:szCs w:val="24"/>
          <w:lang w:val="pt-BR"/>
        </w:rPr>
      </w:pPr>
      <w:r w:rsidRPr="005B091C">
        <w:rPr>
          <w:szCs w:val="24"/>
          <w:lang w:val="pt-BR"/>
        </w:rPr>
        <w:t>O princípio engajamento da sociedade civil e governança democrática na RH-IX foi considerada regular. Foram obtidos 20 pontos nos subcomponentes relacionados à existência de arranjos de governança colaborativa. Contudo, pontuação intermediária foi atribuída tanto quanto ao envolvimento de todos os setores da sociedade, como às deficiências na comunicação eficiente dos comitês de bacia e de outros organismos de gestão ambiental com público em geral. A questão da comunicação também influenciou a não obtenção de pontuação nos testes associados a este princípio</w:t>
      </w:r>
      <w:r w:rsidR="00D030A1">
        <w:rPr>
          <w:szCs w:val="24"/>
          <w:lang w:val="pt-BR"/>
        </w:rPr>
        <w:t>.</w:t>
      </w:r>
    </w:p>
    <w:p w14:paraId="19EBF92E" w14:textId="625039CA" w:rsidR="005B091C" w:rsidRPr="005B091C" w:rsidRDefault="00D030A1" w:rsidP="005E7553">
      <w:pPr>
        <w:spacing w:after="120"/>
        <w:ind w:firstLine="284"/>
        <w:rPr>
          <w:szCs w:val="24"/>
          <w:lang w:val="pt-BR"/>
        </w:rPr>
      </w:pPr>
      <w:r>
        <w:rPr>
          <w:szCs w:val="24"/>
          <w:lang w:val="pt-BR"/>
        </w:rPr>
        <w:t xml:space="preserve">No </w:t>
      </w:r>
      <w:r w:rsidR="009807F2" w:rsidRPr="005B091C">
        <w:rPr>
          <w:szCs w:val="24"/>
          <w:lang w:val="pt-BR"/>
        </w:rPr>
        <w:t>princípio</w:t>
      </w:r>
      <w:r w:rsidR="005B091C" w:rsidRPr="005B091C">
        <w:rPr>
          <w:szCs w:val="24"/>
          <w:lang w:val="pt-BR"/>
        </w:rPr>
        <w:t xml:space="preserve"> “eq</w:t>
      </w:r>
      <w:r>
        <w:rPr>
          <w:szCs w:val="24"/>
          <w:lang w:val="pt-BR"/>
        </w:rPr>
        <w:t xml:space="preserve">uidade </w:t>
      </w:r>
      <w:proofErr w:type="spellStart"/>
      <w:r>
        <w:rPr>
          <w:szCs w:val="24"/>
          <w:lang w:val="pt-BR"/>
        </w:rPr>
        <w:t>inter</w:t>
      </w:r>
      <w:proofErr w:type="spellEnd"/>
      <w:r>
        <w:rPr>
          <w:szCs w:val="24"/>
          <w:lang w:val="pt-BR"/>
        </w:rPr>
        <w:t xml:space="preserve"> e </w:t>
      </w:r>
      <w:proofErr w:type="spellStart"/>
      <w:r>
        <w:rPr>
          <w:szCs w:val="24"/>
          <w:lang w:val="pt-BR"/>
        </w:rPr>
        <w:t>intrageracional</w:t>
      </w:r>
      <w:proofErr w:type="spellEnd"/>
      <w:r>
        <w:rPr>
          <w:szCs w:val="24"/>
          <w:lang w:val="pt-BR"/>
        </w:rPr>
        <w:t>”, f</w:t>
      </w:r>
      <w:r w:rsidR="005B091C" w:rsidRPr="005B091C">
        <w:rPr>
          <w:szCs w:val="24"/>
          <w:lang w:val="pt-BR"/>
        </w:rPr>
        <w:t>oram obtidos 20 pontos no subcomponente associado a legislação atual</w:t>
      </w:r>
      <w:r>
        <w:rPr>
          <w:szCs w:val="24"/>
          <w:lang w:val="pt-BR"/>
        </w:rPr>
        <w:t xml:space="preserve"> e n</w:t>
      </w:r>
      <w:r w:rsidR="005B091C" w:rsidRPr="005B091C">
        <w:rPr>
          <w:szCs w:val="24"/>
          <w:lang w:val="pt-BR"/>
        </w:rPr>
        <w:t>os subcomponentes associados ao caso de populações tradicionais</w:t>
      </w:r>
      <w:r w:rsidR="002D5515">
        <w:rPr>
          <w:szCs w:val="24"/>
          <w:lang w:val="pt-BR"/>
        </w:rPr>
        <w:t>, foram obtidos 10 pontos</w:t>
      </w:r>
      <w:r w:rsidR="005B091C" w:rsidRPr="005B091C">
        <w:rPr>
          <w:szCs w:val="24"/>
          <w:lang w:val="pt-BR"/>
        </w:rPr>
        <w:t xml:space="preserve"> pois</w:t>
      </w:r>
      <w:r w:rsidR="002D5515">
        <w:rPr>
          <w:szCs w:val="24"/>
          <w:lang w:val="pt-BR"/>
        </w:rPr>
        <w:t>,</w:t>
      </w:r>
      <w:r w:rsidR="005B091C" w:rsidRPr="005B091C">
        <w:rPr>
          <w:szCs w:val="24"/>
          <w:lang w:val="pt-BR"/>
        </w:rPr>
        <w:t xml:space="preserve"> apesar da pesca artesanal praticada a partir do Porto de Atafona ser uma importante</w:t>
      </w:r>
      <w:r w:rsidR="002D5515">
        <w:rPr>
          <w:szCs w:val="24"/>
          <w:lang w:val="pt-BR"/>
        </w:rPr>
        <w:t xml:space="preserve"> atividade econômica na região, </w:t>
      </w:r>
      <w:r w:rsidR="005B091C" w:rsidRPr="005B091C">
        <w:rPr>
          <w:szCs w:val="24"/>
          <w:lang w:val="pt-BR"/>
        </w:rPr>
        <w:t xml:space="preserve">o cenário pesqueiro regional </w:t>
      </w:r>
      <w:r w:rsidR="00945C71">
        <w:rPr>
          <w:szCs w:val="24"/>
          <w:lang w:val="pt-BR"/>
        </w:rPr>
        <w:t xml:space="preserve">é afetado </w:t>
      </w:r>
      <w:r w:rsidR="005B091C" w:rsidRPr="005B091C">
        <w:rPr>
          <w:szCs w:val="24"/>
          <w:lang w:val="pt-BR"/>
        </w:rPr>
        <w:t xml:space="preserve">pela exploração de petróleo realizada na Bacia de Campos desde a década de 1970 e pela erosão e consequente avanço do mar no litoral de </w:t>
      </w:r>
      <w:r w:rsidR="00945C71">
        <w:rPr>
          <w:szCs w:val="24"/>
          <w:lang w:val="pt-BR"/>
        </w:rPr>
        <w:t xml:space="preserve">Atafona desde a década de 1960 </w:t>
      </w:r>
      <w:r w:rsidR="005B091C" w:rsidRPr="005B091C">
        <w:rPr>
          <w:szCs w:val="24"/>
          <w:lang w:val="pt-BR"/>
        </w:rPr>
        <w:t xml:space="preserve">(FERNANDEZ et al., 2006; FALCÃO, 2013). </w:t>
      </w:r>
    </w:p>
    <w:p w14:paraId="3589B1D2" w14:textId="47CD7EE7" w:rsidR="005B091C" w:rsidRPr="005B091C" w:rsidRDefault="00DA522E" w:rsidP="00F03C56">
      <w:pPr>
        <w:spacing w:after="120"/>
        <w:ind w:firstLine="284"/>
        <w:rPr>
          <w:szCs w:val="24"/>
          <w:lang w:val="pt-BR"/>
        </w:rPr>
      </w:pPr>
      <w:r>
        <w:rPr>
          <w:szCs w:val="24"/>
          <w:lang w:val="pt-BR"/>
        </w:rPr>
        <w:lastRenderedPageBreak/>
        <w:t>N</w:t>
      </w:r>
      <w:r w:rsidR="005B091C" w:rsidRPr="005B091C">
        <w:rPr>
          <w:szCs w:val="24"/>
          <w:lang w:val="pt-BR"/>
        </w:rPr>
        <w:t xml:space="preserve">o </w:t>
      </w:r>
      <w:r w:rsidR="009807F2" w:rsidRPr="005B091C">
        <w:rPr>
          <w:szCs w:val="24"/>
          <w:lang w:val="pt-BR"/>
        </w:rPr>
        <w:t>princípio</w:t>
      </w:r>
      <w:r w:rsidR="005B091C" w:rsidRPr="005B091C">
        <w:rPr>
          <w:szCs w:val="24"/>
          <w:lang w:val="pt-BR"/>
        </w:rPr>
        <w:t xml:space="preserve"> “interconectividade entre as escalas local/ nacional/global” </w:t>
      </w:r>
      <w:r w:rsidR="00F03C56">
        <w:rPr>
          <w:szCs w:val="24"/>
          <w:lang w:val="pt-BR"/>
        </w:rPr>
        <w:t>f</w:t>
      </w:r>
      <w:r w:rsidR="00F03C56" w:rsidRPr="005B091C">
        <w:rPr>
          <w:szCs w:val="24"/>
          <w:lang w:val="pt-BR"/>
        </w:rPr>
        <w:t>oram obtidos 20 pontos no subcomponente associado a existência de programas específicos para Educação, estímulo à ciência cidadã nas ações de monitoramento ambiental construídos coletivamente em oficinas, de forma a envolver parcerias nacionais e/ou internacionais e 20 pontos no subcomponente associado rede hidrométrica e estações fluviométricas conectadas a sistemas interligados de informações regionais/nacionais de recursos hídricos</w:t>
      </w:r>
      <w:r w:rsidR="00F03C56">
        <w:rPr>
          <w:szCs w:val="24"/>
          <w:lang w:val="pt-BR"/>
        </w:rPr>
        <w:t xml:space="preserve">. Em relação à aderência dos três testes de interesse comum, a RH-IX obteve </w:t>
      </w:r>
      <w:r w:rsidR="005B091C" w:rsidRPr="005B091C">
        <w:rPr>
          <w:szCs w:val="24"/>
          <w:lang w:val="pt-BR"/>
        </w:rPr>
        <w:t>aderência nos quesitos (i) e (</w:t>
      </w:r>
      <w:proofErr w:type="spellStart"/>
      <w:r w:rsidR="005B091C" w:rsidRPr="005B091C">
        <w:rPr>
          <w:szCs w:val="24"/>
          <w:lang w:val="pt-BR"/>
        </w:rPr>
        <w:t>iii</w:t>
      </w:r>
      <w:proofErr w:type="spellEnd"/>
      <w:r w:rsidR="005B091C" w:rsidRPr="005B091C">
        <w:rPr>
          <w:szCs w:val="24"/>
          <w:lang w:val="pt-BR"/>
        </w:rPr>
        <w:t xml:space="preserve">). </w:t>
      </w:r>
    </w:p>
    <w:p w14:paraId="0CE0C0B9" w14:textId="0BFA4003" w:rsidR="005B091C" w:rsidRPr="005B091C" w:rsidRDefault="00F03C56" w:rsidP="00B55675">
      <w:pPr>
        <w:spacing w:after="120"/>
        <w:ind w:firstLine="284"/>
        <w:rPr>
          <w:szCs w:val="24"/>
          <w:lang w:val="pt-BR"/>
        </w:rPr>
      </w:pPr>
      <w:r>
        <w:rPr>
          <w:szCs w:val="24"/>
          <w:lang w:val="pt-BR"/>
        </w:rPr>
        <w:t>Por fim, n</w:t>
      </w:r>
      <w:r w:rsidR="005B091C" w:rsidRPr="005B091C">
        <w:rPr>
          <w:szCs w:val="24"/>
          <w:lang w:val="pt-BR"/>
        </w:rPr>
        <w:t xml:space="preserve">o </w:t>
      </w:r>
      <w:r w:rsidR="009807F2" w:rsidRPr="005B091C">
        <w:rPr>
          <w:szCs w:val="24"/>
          <w:lang w:val="pt-BR"/>
        </w:rPr>
        <w:t>princípio</w:t>
      </w:r>
      <w:r w:rsidR="005B091C" w:rsidRPr="005B091C">
        <w:rPr>
          <w:szCs w:val="24"/>
          <w:lang w:val="pt-BR"/>
        </w:rPr>
        <w:t xml:space="preserve"> “precaução e adaptabilidade”, </w:t>
      </w:r>
      <w:r>
        <w:rPr>
          <w:szCs w:val="24"/>
          <w:lang w:val="pt-BR"/>
        </w:rPr>
        <w:t xml:space="preserve">relacionado às políticas ambientais, a existência de </w:t>
      </w:r>
      <w:r w:rsidR="005B091C" w:rsidRPr="005B091C">
        <w:rPr>
          <w:szCs w:val="24"/>
          <w:lang w:val="pt-BR"/>
        </w:rPr>
        <w:t>um plano de bacia hidrográfica detalhado</w:t>
      </w:r>
      <w:r w:rsidR="008B6ACF">
        <w:rPr>
          <w:szCs w:val="24"/>
          <w:lang w:val="pt-BR"/>
        </w:rPr>
        <w:t>,</w:t>
      </w:r>
      <w:r w:rsidR="005B091C" w:rsidRPr="005B091C">
        <w:rPr>
          <w:szCs w:val="24"/>
          <w:lang w:val="pt-BR"/>
        </w:rPr>
        <w:t xml:space="preserve"> foc</w:t>
      </w:r>
      <w:r w:rsidR="00BC4807">
        <w:rPr>
          <w:szCs w:val="24"/>
          <w:lang w:val="pt-BR"/>
        </w:rPr>
        <w:t xml:space="preserve">o </w:t>
      </w:r>
      <w:r w:rsidR="005B091C" w:rsidRPr="005B091C">
        <w:rPr>
          <w:szCs w:val="24"/>
          <w:lang w:val="pt-BR"/>
        </w:rPr>
        <w:t xml:space="preserve">em indicadores ambientais para garantir o fornecimento de </w:t>
      </w:r>
      <w:r w:rsidR="00BC4807">
        <w:rPr>
          <w:szCs w:val="24"/>
          <w:lang w:val="pt-BR"/>
        </w:rPr>
        <w:t>be</w:t>
      </w:r>
      <w:r w:rsidR="008B6ACF">
        <w:rPr>
          <w:szCs w:val="24"/>
          <w:lang w:val="pt-BR"/>
        </w:rPr>
        <w:t xml:space="preserve">ns e serviços do ecossistema e </w:t>
      </w:r>
      <w:r w:rsidR="005B091C" w:rsidRPr="00945C71">
        <w:rPr>
          <w:szCs w:val="24"/>
          <w:lang w:val="pt-BR"/>
        </w:rPr>
        <w:t>U</w:t>
      </w:r>
      <w:r w:rsidR="00945C71">
        <w:rPr>
          <w:szCs w:val="24"/>
          <w:lang w:val="pt-BR"/>
        </w:rPr>
        <w:t>nidades de Conservação</w:t>
      </w:r>
      <w:r w:rsidR="005B091C" w:rsidRPr="005B091C">
        <w:rPr>
          <w:szCs w:val="24"/>
          <w:lang w:val="pt-BR"/>
        </w:rPr>
        <w:t xml:space="preserve"> da bacia hidrográfica criadas por legislação espec</w:t>
      </w:r>
      <w:r w:rsidR="008B6ACF">
        <w:rPr>
          <w:szCs w:val="24"/>
          <w:lang w:val="pt-BR"/>
        </w:rPr>
        <w:t>ífica, foram contabilizados 10 pontos em cada item analisado e dos três testes de interesse comum,</w:t>
      </w:r>
      <w:r w:rsidR="005B091C" w:rsidRPr="005B091C">
        <w:rPr>
          <w:szCs w:val="24"/>
          <w:lang w:val="pt-BR"/>
        </w:rPr>
        <w:t xml:space="preserve"> houve ad</w:t>
      </w:r>
      <w:r w:rsidR="00ED190A">
        <w:rPr>
          <w:szCs w:val="24"/>
          <w:lang w:val="pt-BR"/>
        </w:rPr>
        <w:t>erência apenas ao quesito (</w:t>
      </w:r>
      <w:proofErr w:type="spellStart"/>
      <w:r w:rsidR="00ED190A">
        <w:rPr>
          <w:szCs w:val="24"/>
          <w:lang w:val="pt-BR"/>
        </w:rPr>
        <w:t>ii</w:t>
      </w:r>
      <w:proofErr w:type="spellEnd"/>
      <w:r w:rsidR="00ED190A">
        <w:rPr>
          <w:szCs w:val="24"/>
          <w:lang w:val="pt-BR"/>
        </w:rPr>
        <w:t>).</w:t>
      </w:r>
      <w:r w:rsidR="005B091C" w:rsidRPr="005B091C">
        <w:rPr>
          <w:szCs w:val="24"/>
          <w:lang w:val="pt-BR"/>
        </w:rPr>
        <w:t xml:space="preserve"> </w:t>
      </w:r>
    </w:p>
    <w:p w14:paraId="254E2E55" w14:textId="2E16CE56" w:rsidR="005B091C" w:rsidRPr="00B438F0" w:rsidRDefault="00B438F0" w:rsidP="00B438F0">
      <w:pPr>
        <w:pStyle w:val="PargrafodaLista"/>
        <w:numPr>
          <w:ilvl w:val="0"/>
          <w:numId w:val="5"/>
        </w:numPr>
        <w:spacing w:before="280" w:after="280"/>
        <w:rPr>
          <w:b/>
          <w:szCs w:val="24"/>
          <w:lang w:val="pt-BR"/>
        </w:rPr>
      </w:pPr>
      <w:r w:rsidRPr="00B438F0">
        <w:rPr>
          <w:b/>
          <w:szCs w:val="24"/>
          <w:lang w:val="pt-BR"/>
        </w:rPr>
        <w:t>Conclusões</w:t>
      </w:r>
    </w:p>
    <w:p w14:paraId="43544467" w14:textId="51F0E1CD" w:rsidR="005B091C" w:rsidRPr="005B091C" w:rsidRDefault="004E42A4" w:rsidP="00ED190A">
      <w:pPr>
        <w:spacing w:after="120"/>
        <w:ind w:firstLine="284"/>
        <w:rPr>
          <w:szCs w:val="24"/>
          <w:lang w:val="pt-BR"/>
        </w:rPr>
      </w:pPr>
      <w:r>
        <w:rPr>
          <w:szCs w:val="24"/>
          <w:lang w:val="pt-BR"/>
        </w:rPr>
        <w:t>No</w:t>
      </w:r>
      <w:r w:rsidR="005B091C" w:rsidRPr="005B091C">
        <w:rPr>
          <w:szCs w:val="24"/>
          <w:lang w:val="pt-BR"/>
        </w:rPr>
        <w:t xml:space="preserve"> presente artigo apresenta</w:t>
      </w:r>
      <w:r>
        <w:rPr>
          <w:szCs w:val="24"/>
          <w:lang w:val="pt-BR"/>
        </w:rPr>
        <w:t>-se</w:t>
      </w:r>
      <w:r w:rsidR="005B091C" w:rsidRPr="005B091C">
        <w:rPr>
          <w:szCs w:val="24"/>
          <w:lang w:val="pt-BR"/>
        </w:rPr>
        <w:t xml:space="preserve"> a avaliação da </w:t>
      </w:r>
      <w:proofErr w:type="spellStart"/>
      <w:r w:rsidR="005B091C" w:rsidRPr="005B091C">
        <w:rPr>
          <w:szCs w:val="24"/>
          <w:lang w:val="pt-BR"/>
        </w:rPr>
        <w:t>prosperabilidade</w:t>
      </w:r>
      <w:proofErr w:type="spellEnd"/>
      <w:r w:rsidR="005B091C" w:rsidRPr="005B091C">
        <w:rPr>
          <w:szCs w:val="24"/>
          <w:lang w:val="pt-BR"/>
        </w:rPr>
        <w:t xml:space="preserve"> como uma metodologia altern</w:t>
      </w:r>
      <w:r w:rsidR="00C2154F">
        <w:rPr>
          <w:szCs w:val="24"/>
          <w:lang w:val="pt-BR"/>
        </w:rPr>
        <w:t>ativa e holística. O emprego da</w:t>
      </w:r>
      <w:r w:rsidR="005B091C" w:rsidRPr="005B091C">
        <w:rPr>
          <w:szCs w:val="24"/>
          <w:lang w:val="pt-BR"/>
        </w:rPr>
        <w:t xml:space="preserve"> avaliação de </w:t>
      </w:r>
      <w:proofErr w:type="spellStart"/>
      <w:r w:rsidR="005B091C" w:rsidRPr="005B091C">
        <w:rPr>
          <w:szCs w:val="24"/>
          <w:lang w:val="pt-BR"/>
        </w:rPr>
        <w:t>prosperabilidade</w:t>
      </w:r>
      <w:proofErr w:type="spellEnd"/>
      <w:r w:rsidR="005B091C" w:rsidRPr="005B091C">
        <w:rPr>
          <w:szCs w:val="24"/>
          <w:lang w:val="pt-BR"/>
        </w:rPr>
        <w:t xml:space="preserve"> à RH-IX comprovou a hipótese de que ela pode </w:t>
      </w:r>
      <w:r w:rsidR="00C2154F">
        <w:rPr>
          <w:szCs w:val="24"/>
          <w:lang w:val="pt-BR"/>
        </w:rPr>
        <w:t xml:space="preserve">ser </w:t>
      </w:r>
      <w:r w:rsidR="005B091C" w:rsidRPr="005B091C">
        <w:rPr>
          <w:szCs w:val="24"/>
          <w:lang w:val="pt-BR"/>
        </w:rPr>
        <w:t>considerada como um</w:t>
      </w:r>
      <w:r>
        <w:rPr>
          <w:szCs w:val="24"/>
          <w:lang w:val="pt-BR"/>
        </w:rPr>
        <w:t xml:space="preserve"> sistema de indicadores de sustentabilidade que possibilita um</w:t>
      </w:r>
      <w:r w:rsidR="005B091C" w:rsidRPr="005B091C">
        <w:rPr>
          <w:szCs w:val="24"/>
          <w:lang w:val="pt-BR"/>
        </w:rPr>
        <w:t>a integrada</w:t>
      </w:r>
      <w:r>
        <w:rPr>
          <w:szCs w:val="24"/>
          <w:lang w:val="pt-BR"/>
        </w:rPr>
        <w:t xml:space="preserve"> dos sistemas socioambientais</w:t>
      </w:r>
      <w:r w:rsidR="00B54DE0">
        <w:rPr>
          <w:szCs w:val="24"/>
          <w:lang w:val="pt-BR"/>
        </w:rPr>
        <w:t>,</w:t>
      </w:r>
      <w:r w:rsidR="005B091C" w:rsidRPr="005B091C">
        <w:rPr>
          <w:szCs w:val="24"/>
          <w:lang w:val="pt-BR"/>
        </w:rPr>
        <w:t xml:space="preserve"> sendo capaz de auxiliar gestores ambientais nos processos de decisão à luz da Agenda 2030 da ONU</w:t>
      </w:r>
      <w:r w:rsidR="00B54DE0">
        <w:rPr>
          <w:szCs w:val="24"/>
          <w:lang w:val="pt-BR"/>
        </w:rPr>
        <w:t xml:space="preserve"> e</w:t>
      </w:r>
      <w:r w:rsidR="00B54DE0" w:rsidRPr="005B091C">
        <w:rPr>
          <w:szCs w:val="24"/>
          <w:lang w:val="pt-BR"/>
        </w:rPr>
        <w:t xml:space="preserve"> tendo como foco a gestão participativa dos recursos hídricos</w:t>
      </w:r>
      <w:r w:rsidR="00B54DE0">
        <w:rPr>
          <w:szCs w:val="24"/>
          <w:lang w:val="pt-BR"/>
        </w:rPr>
        <w:t xml:space="preserve"> e</w:t>
      </w:r>
      <w:r w:rsidR="005B091C" w:rsidRPr="005B091C">
        <w:rPr>
          <w:szCs w:val="24"/>
          <w:lang w:val="pt-BR"/>
        </w:rPr>
        <w:t>.</w:t>
      </w:r>
    </w:p>
    <w:p w14:paraId="12D0EEE0" w14:textId="77777777" w:rsidR="005B091C" w:rsidRPr="005B091C" w:rsidRDefault="005B091C" w:rsidP="00ED190A">
      <w:pPr>
        <w:spacing w:after="120"/>
        <w:ind w:firstLine="284"/>
        <w:rPr>
          <w:szCs w:val="24"/>
          <w:lang w:val="pt-BR"/>
        </w:rPr>
      </w:pPr>
      <w:r w:rsidRPr="005B091C">
        <w:rPr>
          <w:szCs w:val="24"/>
          <w:lang w:val="pt-BR"/>
        </w:rPr>
        <w:t xml:space="preserve">Em relação à pontuação atribuída a cada princípio e aos seus subcomponentes, pode-se concluir que os principais desafios da RH-XI são relacionados à integridade do SSA, à eficiência e manutenção dos recursos, à existência de meios de subsistência e oportunidades suficientes e à precaução e adaptabilidade. Com base nesses resultados, percebe-se a necessidade de propor e apoiar projetos de recuperação de mata ciliar, promover campanhas contra o desmatamento e incentivo ao reflorestamento, ampliar a rede de tratamento de efluentes domésticos e propor estratégicas de valorização dos pescadores artesanais, criadores e pequenos produtores rurais, ofertando aos mesmos, apoio técnico científico em parceria com Universidades e acesso a programas de educação ambiental e recuperação de áreas degradadas. Em relação ao setor industrial, é importante a intensificação da fiscalização sobre atividades degradadoras e o cumprimento das medidas compensatórias estabelecidas nos processos de licenciamento ambiental. No tocante à precaução e à adaptabilidade, planejar e propor estratégias para enfrentar a escassez hídrica e as mudanças climáticas e ambientais é fundamental. </w:t>
      </w:r>
    </w:p>
    <w:p w14:paraId="65A76816" w14:textId="77777777" w:rsidR="00B438F0" w:rsidRDefault="00B438F0" w:rsidP="00B438F0">
      <w:pPr>
        <w:spacing w:after="120"/>
        <w:rPr>
          <w:b/>
          <w:szCs w:val="24"/>
          <w:lang w:val="pt-BR"/>
        </w:rPr>
      </w:pPr>
    </w:p>
    <w:p w14:paraId="73305ACD" w14:textId="77CA49C0" w:rsidR="00B438F0" w:rsidRDefault="00B438F0" w:rsidP="00B438F0">
      <w:pPr>
        <w:spacing w:after="120"/>
        <w:rPr>
          <w:b/>
          <w:szCs w:val="24"/>
          <w:lang w:val="pt-BR"/>
        </w:rPr>
      </w:pPr>
      <w:r w:rsidRPr="0049479C">
        <w:rPr>
          <w:b/>
          <w:szCs w:val="24"/>
          <w:lang w:val="pt-BR"/>
        </w:rPr>
        <w:t>Referências</w:t>
      </w:r>
    </w:p>
    <w:p w14:paraId="267C372C" w14:textId="77777777" w:rsidR="00B55675" w:rsidRDefault="00B55675" w:rsidP="00B438F0">
      <w:pPr>
        <w:spacing w:after="120"/>
        <w:rPr>
          <w:b/>
          <w:szCs w:val="24"/>
          <w:lang w:val="pt-BR"/>
        </w:rPr>
      </w:pPr>
    </w:p>
    <w:p w14:paraId="1379F8AF" w14:textId="6250F2C6" w:rsidR="005B091C" w:rsidRPr="005B091C" w:rsidRDefault="005B091C" w:rsidP="00B438F0">
      <w:pPr>
        <w:pBdr>
          <w:top w:val="nil"/>
          <w:left w:val="nil"/>
          <w:bottom w:val="nil"/>
          <w:right w:val="nil"/>
          <w:between w:val="nil"/>
        </w:pBdr>
        <w:tabs>
          <w:tab w:val="left" w:pos="426"/>
        </w:tabs>
        <w:spacing w:after="120"/>
        <w:ind w:left="284"/>
        <w:rPr>
          <w:szCs w:val="24"/>
          <w:lang w:val="pt-BR"/>
        </w:rPr>
      </w:pPr>
      <w:r w:rsidRPr="005B091C">
        <w:rPr>
          <w:szCs w:val="24"/>
          <w:lang w:val="pt-BR"/>
        </w:rPr>
        <w:tab/>
      </w:r>
      <w:r w:rsidR="00B438F0">
        <w:rPr>
          <w:szCs w:val="24"/>
          <w:lang w:val="pt-BR"/>
        </w:rPr>
        <w:t xml:space="preserve">ANA - </w:t>
      </w:r>
      <w:r w:rsidRPr="005B091C">
        <w:rPr>
          <w:szCs w:val="24"/>
          <w:lang w:val="pt-BR"/>
        </w:rPr>
        <w:t>Agência Nacional de Águas (Brasil). Alternativas organizacionais para gestão de recursos hídricos /Agência Nacional de Águas. - Brasília: ANA, 2013.</w:t>
      </w:r>
    </w:p>
    <w:p w14:paraId="4945FED5" w14:textId="488D6887" w:rsidR="005B091C" w:rsidRPr="005B091C" w:rsidRDefault="005B091C" w:rsidP="00B438F0">
      <w:pPr>
        <w:pBdr>
          <w:top w:val="nil"/>
          <w:left w:val="nil"/>
          <w:bottom w:val="nil"/>
          <w:right w:val="nil"/>
          <w:between w:val="nil"/>
        </w:pBdr>
        <w:spacing w:after="120"/>
        <w:ind w:left="284" w:firstLine="284"/>
        <w:rPr>
          <w:szCs w:val="24"/>
          <w:lang w:val="pt-BR"/>
        </w:rPr>
      </w:pPr>
      <w:r w:rsidRPr="005B091C">
        <w:rPr>
          <w:szCs w:val="24"/>
          <w:lang w:val="pt-BR"/>
        </w:rPr>
        <w:t xml:space="preserve">AGEVAP. </w:t>
      </w:r>
      <w:r w:rsidRPr="00B438F0">
        <w:rPr>
          <w:szCs w:val="24"/>
          <w:lang w:val="pt-BR"/>
        </w:rPr>
        <w:t>Plano de Recursos Hídricos da Bacia do Rio Paraíba do Sul – Resumo 2007.</w:t>
      </w:r>
      <w:r w:rsidRPr="005B091C">
        <w:rPr>
          <w:szCs w:val="24"/>
          <w:lang w:val="pt-BR"/>
        </w:rPr>
        <w:t xml:space="preserve"> Disponível em: </w:t>
      </w:r>
      <w:r w:rsidR="004F3A74">
        <w:rPr>
          <w:szCs w:val="24"/>
          <w:lang w:val="pt-BR"/>
        </w:rPr>
        <w:t>&lt;</w:t>
      </w:r>
      <w:r w:rsidR="004F3A74" w:rsidRPr="004F3A74">
        <w:rPr>
          <w:szCs w:val="24"/>
          <w:lang w:val="pt-BR"/>
        </w:rPr>
        <w:t>http://www.ceivap.org.br/downloads/cadernos/PSR-020-R0.pdf</w:t>
      </w:r>
      <w:r w:rsidR="004F3A74">
        <w:rPr>
          <w:szCs w:val="24"/>
          <w:lang w:val="pt-BR"/>
        </w:rPr>
        <w:t>&gt;</w:t>
      </w:r>
      <w:r w:rsidRPr="005B091C">
        <w:rPr>
          <w:szCs w:val="24"/>
          <w:lang w:val="pt-BR"/>
        </w:rPr>
        <w:t>. Acesso em: 11 jun. 2020.</w:t>
      </w:r>
    </w:p>
    <w:p w14:paraId="1D4E0022" w14:textId="456F85D4" w:rsidR="005B091C" w:rsidRPr="005B091C" w:rsidRDefault="005B091C" w:rsidP="00B438F0">
      <w:pPr>
        <w:pBdr>
          <w:top w:val="nil"/>
          <w:left w:val="nil"/>
          <w:bottom w:val="nil"/>
          <w:right w:val="nil"/>
          <w:between w:val="nil"/>
        </w:pBdr>
        <w:spacing w:after="120"/>
        <w:ind w:left="284" w:firstLine="284"/>
        <w:rPr>
          <w:szCs w:val="24"/>
          <w:lang w:val="pt-BR"/>
        </w:rPr>
      </w:pPr>
      <w:r w:rsidRPr="005B091C">
        <w:rPr>
          <w:szCs w:val="24"/>
          <w:lang w:val="pt-BR"/>
        </w:rPr>
        <w:lastRenderedPageBreak/>
        <w:t xml:space="preserve">AGEVAP. </w:t>
      </w:r>
      <w:r w:rsidRPr="00B438F0">
        <w:rPr>
          <w:szCs w:val="24"/>
          <w:lang w:val="pt-BR"/>
        </w:rPr>
        <w:t>Relatório anual 2014.</w:t>
      </w:r>
      <w:r w:rsidRPr="005B091C">
        <w:rPr>
          <w:szCs w:val="24"/>
          <w:lang w:val="pt-BR"/>
        </w:rPr>
        <w:t xml:space="preserve"> Disponível em: </w:t>
      </w:r>
      <w:r w:rsidR="004F3A74">
        <w:rPr>
          <w:szCs w:val="24"/>
          <w:lang w:val="pt-BR"/>
        </w:rPr>
        <w:t>&lt;</w:t>
      </w:r>
      <w:r w:rsidR="004F3A74" w:rsidRPr="004F3A74">
        <w:rPr>
          <w:szCs w:val="24"/>
          <w:lang w:val="pt-BR"/>
        </w:rPr>
        <w:t>http://agevap.org.br/conteudo/relatorio-de-atividades-agevap-2014.pdf</w:t>
      </w:r>
      <w:r w:rsidR="004F3A74">
        <w:rPr>
          <w:szCs w:val="24"/>
          <w:lang w:val="pt-BR"/>
        </w:rPr>
        <w:t>&gt;</w:t>
      </w:r>
      <w:r w:rsidRPr="005B091C">
        <w:rPr>
          <w:szCs w:val="24"/>
          <w:lang w:val="pt-BR"/>
        </w:rPr>
        <w:t>. Acesso em: 07 jun. 2020.</w:t>
      </w:r>
    </w:p>
    <w:p w14:paraId="5467C828" w14:textId="0B790DCD" w:rsidR="005B091C" w:rsidRPr="00B438F0" w:rsidRDefault="005B091C" w:rsidP="00B438F0">
      <w:pPr>
        <w:pBdr>
          <w:top w:val="nil"/>
          <w:left w:val="nil"/>
          <w:bottom w:val="nil"/>
          <w:right w:val="nil"/>
          <w:between w:val="nil"/>
        </w:pBdr>
        <w:spacing w:after="120"/>
        <w:ind w:left="284" w:firstLine="284"/>
        <w:rPr>
          <w:szCs w:val="24"/>
          <w:lang w:val="pt-BR"/>
        </w:rPr>
      </w:pPr>
      <w:r w:rsidRPr="005B091C">
        <w:rPr>
          <w:szCs w:val="24"/>
          <w:lang w:val="pt-BR"/>
        </w:rPr>
        <w:t>AGEVAP</w:t>
      </w:r>
      <w:r w:rsidRPr="00B438F0">
        <w:rPr>
          <w:szCs w:val="24"/>
          <w:lang w:val="pt-BR"/>
        </w:rPr>
        <w:t xml:space="preserve">. Relatório de Gestão 2017: Comitê Baixo Paraíba do sul e Itabapoana. Disponível em: </w:t>
      </w:r>
      <w:r w:rsidR="004F3A74">
        <w:rPr>
          <w:szCs w:val="24"/>
          <w:lang w:val="pt-BR"/>
        </w:rPr>
        <w:t>&lt;</w:t>
      </w:r>
      <w:r w:rsidR="004F3A74" w:rsidRPr="004F3A74">
        <w:rPr>
          <w:szCs w:val="24"/>
          <w:lang w:val="pt-BR"/>
        </w:rPr>
        <w:t>http://cbhbaixoparaiba.org.br/downloads/relatorio-de-gestao-2017.pdf</w:t>
      </w:r>
      <w:r w:rsidR="004F3A74">
        <w:rPr>
          <w:szCs w:val="24"/>
          <w:lang w:val="pt-BR"/>
        </w:rPr>
        <w:t>&gt;</w:t>
      </w:r>
      <w:r w:rsidRPr="00B438F0">
        <w:rPr>
          <w:szCs w:val="24"/>
          <w:lang w:val="pt-BR"/>
        </w:rPr>
        <w:t>. Acesso em: 07 jun. 2020.</w:t>
      </w:r>
    </w:p>
    <w:p w14:paraId="2C767C07" w14:textId="0AD5EB4B" w:rsidR="005B091C" w:rsidRPr="005B091C" w:rsidRDefault="005B091C" w:rsidP="00B438F0">
      <w:pPr>
        <w:pBdr>
          <w:top w:val="nil"/>
          <w:left w:val="nil"/>
          <w:bottom w:val="nil"/>
          <w:right w:val="nil"/>
          <w:between w:val="nil"/>
        </w:pBdr>
        <w:spacing w:after="120"/>
        <w:ind w:left="284" w:firstLine="284"/>
        <w:rPr>
          <w:szCs w:val="24"/>
          <w:lang w:val="pt-BR"/>
        </w:rPr>
      </w:pPr>
      <w:r w:rsidRPr="00B438F0">
        <w:rPr>
          <w:szCs w:val="24"/>
          <w:lang w:val="pt-BR"/>
        </w:rPr>
        <w:t xml:space="preserve">AGEVAP. Relatório de situação da Bacia do Rio Paraíba do Sul. 2018. Resende, RJ: CEIPAP. Disponível em: </w:t>
      </w:r>
      <w:r w:rsidR="004F3A74">
        <w:rPr>
          <w:szCs w:val="24"/>
          <w:lang w:val="pt-BR"/>
        </w:rPr>
        <w:t>&lt;</w:t>
      </w:r>
      <w:r w:rsidR="004F3A74" w:rsidRPr="004F3A74">
        <w:rPr>
          <w:szCs w:val="24"/>
          <w:lang w:val="pt-BR"/>
        </w:rPr>
        <w:t>http://www.ceivap.org.br/</w:t>
      </w:r>
      <w:proofErr w:type="spellStart"/>
      <w:r w:rsidR="004F3A74" w:rsidRPr="004F3A74">
        <w:rPr>
          <w:szCs w:val="24"/>
          <w:lang w:val="pt-BR"/>
        </w:rPr>
        <w:t>conteudo</w:t>
      </w:r>
      <w:proofErr w:type="spellEnd"/>
      <w:r w:rsidR="004F3A74" w:rsidRPr="004F3A74">
        <w:rPr>
          <w:szCs w:val="24"/>
          <w:lang w:val="pt-BR"/>
        </w:rPr>
        <w:t>/relsituacao2018.pdf</w:t>
      </w:r>
      <w:r w:rsidR="004F3A74">
        <w:rPr>
          <w:szCs w:val="24"/>
          <w:lang w:val="pt-BR"/>
        </w:rPr>
        <w:t>&gt;</w:t>
      </w:r>
      <w:r w:rsidRPr="00B438F0">
        <w:rPr>
          <w:szCs w:val="24"/>
          <w:lang w:val="pt-BR"/>
        </w:rPr>
        <w:t>. Acesso</w:t>
      </w:r>
      <w:r w:rsidRPr="005B091C">
        <w:rPr>
          <w:szCs w:val="24"/>
          <w:lang w:val="pt-BR"/>
        </w:rPr>
        <w:t xml:space="preserve"> em: 11 jun. 2020.</w:t>
      </w:r>
    </w:p>
    <w:p w14:paraId="5880D5AF" w14:textId="76AB85DC" w:rsidR="005B091C" w:rsidRPr="00F00979" w:rsidRDefault="005B091C" w:rsidP="00B438F0">
      <w:pPr>
        <w:pBdr>
          <w:top w:val="nil"/>
          <w:left w:val="nil"/>
          <w:bottom w:val="nil"/>
          <w:right w:val="nil"/>
          <w:between w:val="nil"/>
        </w:pBdr>
        <w:spacing w:after="120"/>
        <w:ind w:left="284" w:firstLine="284"/>
        <w:rPr>
          <w:color w:val="000000" w:themeColor="text1"/>
          <w:szCs w:val="24"/>
        </w:rPr>
      </w:pPr>
      <w:r w:rsidRPr="00B438F0">
        <w:rPr>
          <w:color w:val="000000" w:themeColor="text1"/>
          <w:szCs w:val="24"/>
          <w:lang w:val="pt-BR"/>
        </w:rPr>
        <w:t xml:space="preserve">AGEVAP. Revisão 03 do Produto Final 02 – Diagnóstico e Prognóstico da Região Hidrográfica do Baixo Paraíba do Sul e Itabapoana. 2020. Disponível em: </w:t>
      </w:r>
      <w:r w:rsidR="004F3A74">
        <w:rPr>
          <w:color w:val="000000" w:themeColor="text1"/>
          <w:szCs w:val="24"/>
          <w:lang w:val="pt-BR"/>
        </w:rPr>
        <w:t>&lt;</w:t>
      </w:r>
      <w:r w:rsidRPr="001C3B34">
        <w:rPr>
          <w:color w:val="000000" w:themeColor="text1"/>
          <w:szCs w:val="24"/>
          <w:lang w:val="pt-BR"/>
        </w:rPr>
        <w:t>http://www.sigaceivap.org.br:8080/publicacoesArquivos/ceivap/arq_pubMidia_Processo_591-2019_PF02_BPSI.pdf</w:t>
      </w:r>
      <w:r w:rsidR="004F3A74">
        <w:rPr>
          <w:color w:val="000000" w:themeColor="text1"/>
          <w:szCs w:val="24"/>
          <w:lang w:val="pt-BR"/>
        </w:rPr>
        <w:t>&gt;</w:t>
      </w:r>
      <w:r w:rsidRPr="00B438F0">
        <w:rPr>
          <w:color w:val="000000" w:themeColor="text1"/>
          <w:szCs w:val="24"/>
          <w:lang w:val="pt-BR"/>
        </w:rPr>
        <w:t xml:space="preserve">. </w:t>
      </w:r>
      <w:proofErr w:type="spellStart"/>
      <w:r w:rsidRPr="00F00979">
        <w:rPr>
          <w:color w:val="000000" w:themeColor="text1"/>
          <w:szCs w:val="24"/>
        </w:rPr>
        <w:t>Acesso</w:t>
      </w:r>
      <w:proofErr w:type="spellEnd"/>
      <w:r w:rsidRPr="00F00979">
        <w:rPr>
          <w:color w:val="000000" w:themeColor="text1"/>
          <w:szCs w:val="24"/>
        </w:rPr>
        <w:t xml:space="preserve"> </w:t>
      </w:r>
      <w:proofErr w:type="spellStart"/>
      <w:r w:rsidRPr="00F00979">
        <w:rPr>
          <w:color w:val="000000" w:themeColor="text1"/>
          <w:szCs w:val="24"/>
        </w:rPr>
        <w:t>em</w:t>
      </w:r>
      <w:proofErr w:type="spellEnd"/>
      <w:r w:rsidRPr="00F00979">
        <w:rPr>
          <w:color w:val="000000" w:themeColor="text1"/>
          <w:szCs w:val="24"/>
        </w:rPr>
        <w:t>: 15 jun. 2021.</w:t>
      </w:r>
    </w:p>
    <w:p w14:paraId="61927CCE" w14:textId="77777777" w:rsidR="005B091C" w:rsidRPr="00B438F0" w:rsidRDefault="005B091C" w:rsidP="00B438F0">
      <w:pPr>
        <w:pBdr>
          <w:top w:val="nil"/>
          <w:left w:val="nil"/>
          <w:bottom w:val="nil"/>
          <w:right w:val="nil"/>
          <w:between w:val="nil"/>
        </w:pBdr>
        <w:spacing w:after="120"/>
        <w:ind w:left="284" w:firstLine="284"/>
        <w:rPr>
          <w:szCs w:val="24"/>
          <w:lang w:val="pt-BR"/>
        </w:rPr>
      </w:pPr>
      <w:r w:rsidRPr="00B438F0">
        <w:rPr>
          <w:szCs w:val="24"/>
        </w:rPr>
        <w:t xml:space="preserve">ANDERIES, J.; JANSSEN, M.; OSTROM, E. A Framework to Analyze the Robustness of Social ecological Systems from an Institutional Perspective. </w:t>
      </w:r>
      <w:proofErr w:type="spellStart"/>
      <w:r w:rsidRPr="00B438F0">
        <w:rPr>
          <w:szCs w:val="24"/>
          <w:lang w:val="pt-BR"/>
        </w:rPr>
        <w:t>Ecology</w:t>
      </w:r>
      <w:proofErr w:type="spellEnd"/>
      <w:r w:rsidRPr="00B438F0">
        <w:rPr>
          <w:szCs w:val="24"/>
          <w:lang w:val="pt-BR"/>
        </w:rPr>
        <w:t xml:space="preserve"> </w:t>
      </w:r>
      <w:proofErr w:type="spellStart"/>
      <w:r w:rsidRPr="00B438F0">
        <w:rPr>
          <w:szCs w:val="24"/>
          <w:lang w:val="pt-BR"/>
        </w:rPr>
        <w:t>and</w:t>
      </w:r>
      <w:proofErr w:type="spellEnd"/>
      <w:r w:rsidRPr="00B438F0">
        <w:rPr>
          <w:szCs w:val="24"/>
          <w:lang w:val="pt-BR"/>
        </w:rPr>
        <w:t xml:space="preserve"> Society, v. 9, n. 1, 9 jun. 2004.</w:t>
      </w:r>
    </w:p>
    <w:p w14:paraId="7DDC97E5" w14:textId="77777777" w:rsidR="005B091C" w:rsidRPr="00B438F0" w:rsidRDefault="005B091C" w:rsidP="00B438F0">
      <w:pPr>
        <w:pBdr>
          <w:top w:val="nil"/>
          <w:left w:val="nil"/>
          <w:bottom w:val="nil"/>
          <w:right w:val="nil"/>
          <w:between w:val="nil"/>
        </w:pBdr>
        <w:spacing w:after="120"/>
        <w:ind w:left="284" w:firstLine="284"/>
        <w:rPr>
          <w:szCs w:val="24"/>
          <w:lang w:val="pt-BR"/>
        </w:rPr>
      </w:pPr>
      <w:bookmarkStart w:id="3" w:name="_heading=h.1fob9te" w:colFirst="0" w:colLast="0"/>
      <w:bookmarkEnd w:id="3"/>
      <w:r w:rsidRPr="00B438F0">
        <w:rPr>
          <w:szCs w:val="24"/>
          <w:lang w:val="pt-BR"/>
        </w:rPr>
        <w:t>CBH BPSI, Comitê da Bacia Hidrografia do Baixo do Paraíba do Sul e Itabapoana, Campos dos Goytacazes, RJ, 2019: CBHBAIXOPARAIBA. Disponível em: www.cbhbaixoparaiba.org.br/. Acesso em: 08 jul. 2020.</w:t>
      </w:r>
    </w:p>
    <w:p w14:paraId="12BC1791" w14:textId="7F16E99E" w:rsidR="005B091C" w:rsidRPr="00B438F0" w:rsidRDefault="005B091C" w:rsidP="00B438F0">
      <w:pPr>
        <w:pBdr>
          <w:top w:val="nil"/>
          <w:left w:val="nil"/>
          <w:bottom w:val="nil"/>
          <w:right w:val="nil"/>
          <w:between w:val="nil"/>
        </w:pBdr>
        <w:spacing w:after="120"/>
        <w:ind w:left="284" w:firstLine="284"/>
        <w:rPr>
          <w:szCs w:val="24"/>
          <w:lang w:val="pt-BR"/>
        </w:rPr>
      </w:pPr>
      <w:r w:rsidRPr="00B438F0">
        <w:rPr>
          <w:szCs w:val="24"/>
          <w:lang w:val="pt-BR"/>
        </w:rPr>
        <w:t>CEIVAP. Relatório anual de acompanhamento das ações executadas com os recursos da cobrança pelo uso da água. Resende, RJ: CEI</w:t>
      </w:r>
      <w:r w:rsidR="00F00979">
        <w:rPr>
          <w:szCs w:val="24"/>
          <w:lang w:val="pt-BR"/>
        </w:rPr>
        <w:t>V</w:t>
      </w:r>
      <w:r w:rsidRPr="00B438F0">
        <w:rPr>
          <w:szCs w:val="24"/>
          <w:lang w:val="pt-BR"/>
        </w:rPr>
        <w:t>A</w:t>
      </w:r>
      <w:r w:rsidR="00F00979">
        <w:rPr>
          <w:szCs w:val="24"/>
          <w:lang w:val="pt-BR"/>
        </w:rPr>
        <w:t>P</w:t>
      </w:r>
      <w:r w:rsidRPr="00B438F0">
        <w:rPr>
          <w:szCs w:val="24"/>
          <w:lang w:val="pt-BR"/>
        </w:rPr>
        <w:t xml:space="preserve">, 2015. Disponível em: </w:t>
      </w:r>
      <w:r w:rsidR="004F3A74">
        <w:rPr>
          <w:szCs w:val="24"/>
          <w:lang w:val="pt-BR"/>
        </w:rPr>
        <w:t>&lt;</w:t>
      </w:r>
      <w:r w:rsidR="004F3A74" w:rsidRPr="004F3A74">
        <w:rPr>
          <w:szCs w:val="24"/>
          <w:lang w:val="pt-BR"/>
        </w:rPr>
        <w:t>http://ceivap.org.br/downloads/relatorio-anual-de-acompanhamento-pap-2015.pdf</w:t>
      </w:r>
      <w:r w:rsidR="004F3A74">
        <w:rPr>
          <w:szCs w:val="24"/>
          <w:lang w:val="pt-BR"/>
        </w:rPr>
        <w:t>&gt;</w:t>
      </w:r>
      <w:r w:rsidRPr="00B438F0">
        <w:rPr>
          <w:szCs w:val="24"/>
          <w:lang w:val="pt-BR"/>
        </w:rPr>
        <w:t>. Acesso em: 11 jun. 2020.</w:t>
      </w:r>
    </w:p>
    <w:p w14:paraId="54E0D464" w14:textId="2203275C" w:rsidR="005B091C" w:rsidRPr="00B438F0" w:rsidRDefault="005B091C" w:rsidP="00B438F0">
      <w:pPr>
        <w:pBdr>
          <w:top w:val="nil"/>
          <w:left w:val="nil"/>
          <w:bottom w:val="nil"/>
          <w:right w:val="nil"/>
          <w:between w:val="nil"/>
        </w:pBdr>
        <w:spacing w:after="120"/>
        <w:ind w:left="284" w:firstLine="284"/>
        <w:rPr>
          <w:szCs w:val="24"/>
          <w:lang w:val="pt-BR"/>
        </w:rPr>
      </w:pPr>
      <w:r w:rsidRPr="00B438F0">
        <w:rPr>
          <w:szCs w:val="24"/>
          <w:lang w:val="pt-BR"/>
        </w:rPr>
        <w:t xml:space="preserve">CEIVAP. Relatório anual de mapeamento de fontes de recursos disponíveis. Resende, RJ: CEIPAV, 2015. Disponível em: </w:t>
      </w:r>
      <w:r w:rsidR="004F3A74">
        <w:rPr>
          <w:szCs w:val="24"/>
          <w:lang w:val="pt-BR"/>
        </w:rPr>
        <w:t>&lt;</w:t>
      </w:r>
      <w:r w:rsidR="004F3A74" w:rsidRPr="004F3A74">
        <w:rPr>
          <w:szCs w:val="24"/>
          <w:lang w:val="pt-BR"/>
        </w:rPr>
        <w:t>http://ceivap.org.br/downloads/relatorio-anual-de-mapeamento-de-fontes-de-recursos-disponiveis-2015.pdf</w:t>
      </w:r>
      <w:r w:rsidR="004F3A74">
        <w:rPr>
          <w:szCs w:val="24"/>
          <w:lang w:val="pt-BR"/>
        </w:rPr>
        <w:t>&gt;</w:t>
      </w:r>
      <w:r w:rsidRPr="00B438F0">
        <w:rPr>
          <w:szCs w:val="24"/>
          <w:lang w:val="pt-BR"/>
        </w:rPr>
        <w:t>. Acesso em: 11 jun. 2020.</w:t>
      </w:r>
    </w:p>
    <w:p w14:paraId="5040DB71" w14:textId="77777777" w:rsidR="005B091C" w:rsidRPr="00075E9D" w:rsidRDefault="005B091C" w:rsidP="00B438F0">
      <w:pPr>
        <w:pBdr>
          <w:top w:val="nil"/>
          <w:left w:val="nil"/>
          <w:bottom w:val="nil"/>
          <w:right w:val="nil"/>
          <w:between w:val="nil"/>
        </w:pBdr>
        <w:spacing w:after="120"/>
        <w:ind w:left="284" w:firstLine="284"/>
        <w:rPr>
          <w:szCs w:val="24"/>
        </w:rPr>
      </w:pPr>
      <w:r w:rsidRPr="00B438F0">
        <w:rPr>
          <w:szCs w:val="24"/>
          <w:lang w:val="pt-BR"/>
        </w:rPr>
        <w:t xml:space="preserve">CEIVAP. Relatório de Diagnóstico 2018. Resende, RJ: CEIPAV, 2015. Disponível em: </w:t>
      </w:r>
      <w:hyperlink r:id="rId12">
        <w:r w:rsidRPr="00B438F0">
          <w:rPr>
            <w:szCs w:val="24"/>
            <w:lang w:val="pt-BR"/>
          </w:rPr>
          <w:t>http://www.ceivap.org.br/conteudo/relsituacao2018.pdf</w:t>
        </w:r>
      </w:hyperlink>
      <w:r w:rsidRPr="005B091C">
        <w:rPr>
          <w:szCs w:val="24"/>
          <w:lang w:val="pt-BR"/>
        </w:rPr>
        <w:t xml:space="preserve">. </w:t>
      </w:r>
      <w:proofErr w:type="spellStart"/>
      <w:r w:rsidRPr="00075E9D">
        <w:rPr>
          <w:szCs w:val="24"/>
        </w:rPr>
        <w:t>Acesso</w:t>
      </w:r>
      <w:proofErr w:type="spellEnd"/>
      <w:r w:rsidRPr="00075E9D">
        <w:rPr>
          <w:szCs w:val="24"/>
        </w:rPr>
        <w:t xml:space="preserve"> </w:t>
      </w:r>
      <w:proofErr w:type="spellStart"/>
      <w:r w:rsidRPr="00075E9D">
        <w:rPr>
          <w:szCs w:val="24"/>
        </w:rPr>
        <w:t>em</w:t>
      </w:r>
      <w:proofErr w:type="spellEnd"/>
      <w:r w:rsidRPr="00075E9D">
        <w:rPr>
          <w:szCs w:val="24"/>
        </w:rPr>
        <w:t>: 16 mar. 2020.</w:t>
      </w:r>
    </w:p>
    <w:p w14:paraId="632F5318" w14:textId="77777777" w:rsidR="005B091C" w:rsidRPr="00B438F0" w:rsidRDefault="005B091C" w:rsidP="00B438F0">
      <w:pPr>
        <w:pBdr>
          <w:top w:val="nil"/>
          <w:left w:val="nil"/>
          <w:bottom w:val="nil"/>
          <w:right w:val="nil"/>
          <w:between w:val="nil"/>
        </w:pBdr>
        <w:spacing w:after="120"/>
        <w:ind w:left="284" w:firstLine="284"/>
        <w:rPr>
          <w:szCs w:val="24"/>
          <w:lang w:val="pt-BR"/>
        </w:rPr>
      </w:pPr>
      <w:r w:rsidRPr="00B438F0">
        <w:rPr>
          <w:szCs w:val="24"/>
        </w:rPr>
        <w:t xml:space="preserve">CLARK, S. G.; VERNON, M. E. Governance Challenges in Joint Inter-Jurisdictional Management: The Grand Teton National Park, Wyoming, Elk Case. </w:t>
      </w:r>
      <w:r w:rsidRPr="00B438F0">
        <w:rPr>
          <w:szCs w:val="24"/>
          <w:lang w:val="pt-BR"/>
        </w:rPr>
        <w:t>Environmental Management, v. 56, n. 2, p. 286–299, ago. 2015.</w:t>
      </w:r>
    </w:p>
    <w:p w14:paraId="29939FC7" w14:textId="77777777" w:rsidR="005B091C" w:rsidRPr="00B438F0" w:rsidRDefault="005B091C" w:rsidP="00B438F0">
      <w:pPr>
        <w:pBdr>
          <w:top w:val="nil"/>
          <w:left w:val="nil"/>
          <w:bottom w:val="nil"/>
          <w:right w:val="nil"/>
          <w:between w:val="nil"/>
        </w:pBdr>
        <w:spacing w:after="120"/>
        <w:ind w:left="284" w:firstLine="284"/>
        <w:rPr>
          <w:szCs w:val="24"/>
          <w:lang w:val="pt-BR"/>
        </w:rPr>
      </w:pPr>
      <w:r w:rsidRPr="00B438F0">
        <w:rPr>
          <w:szCs w:val="24"/>
          <w:lang w:val="pt-BR"/>
        </w:rPr>
        <w:t>FALCÃO, H. G. Conflito, Territorialidade e Mudança: Um Estudo sobre a Dinâmica na Pesca de Atafona - São João da Barra - RJ. 2003. Dissertação - Universidade Federal Fluminense.</w:t>
      </w:r>
    </w:p>
    <w:p w14:paraId="109C0614" w14:textId="77777777" w:rsidR="005B091C" w:rsidRPr="00B438F0" w:rsidRDefault="005B091C" w:rsidP="00B438F0">
      <w:pPr>
        <w:pBdr>
          <w:top w:val="nil"/>
          <w:left w:val="nil"/>
          <w:bottom w:val="nil"/>
          <w:right w:val="nil"/>
          <w:between w:val="nil"/>
        </w:pBdr>
        <w:spacing w:after="120"/>
        <w:ind w:left="284" w:firstLine="284"/>
        <w:rPr>
          <w:szCs w:val="24"/>
          <w:lang w:val="pt-BR"/>
        </w:rPr>
      </w:pPr>
      <w:r w:rsidRPr="00B438F0">
        <w:rPr>
          <w:szCs w:val="24"/>
          <w:lang w:val="pt-BR"/>
        </w:rPr>
        <w:t>FERNANDEZ, G. B.; ROCHA, T. B.; PEREIRA, T. G.; FIGUEREDO JR, A. G. 2006. Morfologia e Dinâmica da Praia entre Atafona e Grussaí, Litoral Norte do Estado do Rio de Janeiro. VI Simpósio Nacional de Geomorfologia, GO, 2006.</w:t>
      </w:r>
    </w:p>
    <w:p w14:paraId="4CA1F439" w14:textId="77777777" w:rsidR="005B091C" w:rsidRPr="00F00979" w:rsidRDefault="005B091C" w:rsidP="00B438F0">
      <w:pPr>
        <w:pBdr>
          <w:top w:val="nil"/>
          <w:left w:val="nil"/>
          <w:bottom w:val="nil"/>
          <w:right w:val="nil"/>
          <w:between w:val="nil"/>
        </w:pBdr>
        <w:spacing w:after="120"/>
        <w:ind w:left="284" w:firstLine="284"/>
        <w:rPr>
          <w:szCs w:val="24"/>
        </w:rPr>
      </w:pPr>
      <w:r w:rsidRPr="00B438F0">
        <w:rPr>
          <w:szCs w:val="24"/>
          <w:lang w:val="pt-BR"/>
        </w:rPr>
        <w:t xml:space="preserve">FERREIRA, G. R. Qualidade ambiental e sua contribuição no planejamento urbano: estudo de caso de São João da Barra/RJ. 2017. Dissertação (Mestrado) – Instituto Federal de Educação, Ciência e Tecnologia Fluminense. </w:t>
      </w:r>
      <w:r w:rsidRPr="00F00979">
        <w:rPr>
          <w:szCs w:val="24"/>
        </w:rPr>
        <w:t xml:space="preserve">Campos dos </w:t>
      </w:r>
      <w:proofErr w:type="spellStart"/>
      <w:r w:rsidRPr="00F00979">
        <w:rPr>
          <w:szCs w:val="24"/>
        </w:rPr>
        <w:t>Goytacazes</w:t>
      </w:r>
      <w:proofErr w:type="spellEnd"/>
      <w:r w:rsidRPr="00F00979">
        <w:rPr>
          <w:szCs w:val="24"/>
        </w:rPr>
        <w:t>.</w:t>
      </w:r>
    </w:p>
    <w:p w14:paraId="7C230911" w14:textId="77777777" w:rsidR="005B091C" w:rsidRPr="00B438F0" w:rsidRDefault="005B091C" w:rsidP="00B438F0">
      <w:pPr>
        <w:pBdr>
          <w:top w:val="nil"/>
          <w:left w:val="nil"/>
          <w:bottom w:val="nil"/>
          <w:right w:val="nil"/>
          <w:between w:val="nil"/>
        </w:pBdr>
        <w:spacing w:after="120"/>
        <w:ind w:left="284" w:firstLine="284"/>
        <w:rPr>
          <w:szCs w:val="24"/>
        </w:rPr>
      </w:pPr>
      <w:r w:rsidRPr="00F00979">
        <w:rPr>
          <w:szCs w:val="24"/>
        </w:rPr>
        <w:lastRenderedPageBreak/>
        <w:t xml:space="preserve">FERREIRA, M. I. P. et al. </w:t>
      </w:r>
      <w:proofErr w:type="spellStart"/>
      <w:r w:rsidRPr="00B438F0">
        <w:rPr>
          <w:szCs w:val="24"/>
        </w:rPr>
        <w:t>Thrivability</w:t>
      </w:r>
      <w:proofErr w:type="spellEnd"/>
      <w:r w:rsidRPr="00B438F0">
        <w:rPr>
          <w:szCs w:val="24"/>
        </w:rPr>
        <w:t xml:space="preserve"> Appraisals: A Tool for Supporting Decision-making Processes in Integrated Environmental Management. The International Journal of Sustainability Policy and Practice, v. 13, n. 3, p. 19–36, 2017.</w:t>
      </w:r>
    </w:p>
    <w:p w14:paraId="5D51D329" w14:textId="02CB7168" w:rsidR="005B091C" w:rsidRPr="00B438F0" w:rsidRDefault="005B091C" w:rsidP="00B438F0">
      <w:pPr>
        <w:pBdr>
          <w:top w:val="nil"/>
          <w:left w:val="nil"/>
          <w:bottom w:val="nil"/>
          <w:right w:val="nil"/>
          <w:between w:val="nil"/>
        </w:pBdr>
        <w:spacing w:after="120"/>
        <w:ind w:left="284" w:firstLine="284"/>
        <w:rPr>
          <w:szCs w:val="24"/>
          <w:lang w:val="pt-BR"/>
        </w:rPr>
      </w:pPr>
      <w:r w:rsidRPr="00B438F0">
        <w:rPr>
          <w:szCs w:val="24"/>
          <w:lang w:val="pt-BR"/>
        </w:rPr>
        <w:t xml:space="preserve">INEA. Conexão Mata Atlântica - Rio de Janeiro, RJ: INEA, 2019. Disponível em: </w:t>
      </w:r>
      <w:r w:rsidR="004F3A74">
        <w:rPr>
          <w:szCs w:val="24"/>
          <w:lang w:val="pt-BR"/>
        </w:rPr>
        <w:t>&lt;</w:t>
      </w:r>
      <w:r w:rsidR="004F3A74" w:rsidRPr="004F3A74">
        <w:rPr>
          <w:szCs w:val="24"/>
          <w:lang w:val="pt-BR"/>
        </w:rPr>
        <w:t>https://inea.maps.arcgis.com/apps/MapSeries/index.html?appid=2a8b5c83f8f94676b1aaa13f601218fd</w:t>
      </w:r>
      <w:r w:rsidR="004F3A74">
        <w:rPr>
          <w:szCs w:val="24"/>
          <w:lang w:val="pt-BR"/>
        </w:rPr>
        <w:t>&gt;</w:t>
      </w:r>
      <w:r w:rsidRPr="00B438F0">
        <w:rPr>
          <w:szCs w:val="24"/>
          <w:lang w:val="pt-BR"/>
        </w:rPr>
        <w:t>. Acesso em: 11 jun. 2020.</w:t>
      </w:r>
    </w:p>
    <w:p w14:paraId="271EB65F" w14:textId="19F30790" w:rsidR="005B091C" w:rsidRPr="00B438F0" w:rsidRDefault="005B091C" w:rsidP="00B438F0">
      <w:pPr>
        <w:pBdr>
          <w:top w:val="nil"/>
          <w:left w:val="nil"/>
          <w:bottom w:val="nil"/>
          <w:right w:val="nil"/>
          <w:between w:val="nil"/>
        </w:pBdr>
        <w:spacing w:after="120"/>
        <w:ind w:left="284" w:firstLine="284"/>
        <w:rPr>
          <w:szCs w:val="24"/>
          <w:lang w:val="pt-BR"/>
        </w:rPr>
      </w:pPr>
      <w:r w:rsidRPr="00B438F0">
        <w:rPr>
          <w:szCs w:val="24"/>
          <w:lang w:val="pt-BR"/>
        </w:rPr>
        <w:t xml:space="preserve">INEA. </w:t>
      </w:r>
      <w:hyperlink r:id="rId13">
        <w:r w:rsidRPr="00B438F0">
          <w:rPr>
            <w:szCs w:val="24"/>
            <w:lang w:val="pt-BR"/>
          </w:rPr>
          <w:t xml:space="preserve">Resolução do Conselho Estadual de Recursos Hídricos </w:t>
        </w:r>
      </w:hyperlink>
      <w:hyperlink r:id="rId14">
        <w:r w:rsidRPr="00B438F0">
          <w:rPr>
            <w:szCs w:val="24"/>
            <w:lang w:val="pt-BR"/>
          </w:rPr>
          <w:t>n. 107 de 22 de maio</w:t>
        </w:r>
      </w:hyperlink>
      <w:hyperlink r:id="rId15">
        <w:r w:rsidRPr="00B438F0">
          <w:rPr>
            <w:szCs w:val="24"/>
            <w:lang w:val="pt-BR"/>
          </w:rPr>
          <w:t xml:space="preserve"> </w:t>
        </w:r>
      </w:hyperlink>
      <w:hyperlink r:id="rId16">
        <w:r w:rsidRPr="00B438F0">
          <w:rPr>
            <w:szCs w:val="24"/>
            <w:lang w:val="pt-BR"/>
          </w:rPr>
          <w:t>de</w:t>
        </w:r>
        <w:r w:rsidR="00B438F0">
          <w:rPr>
            <w:szCs w:val="24"/>
            <w:lang w:val="pt-BR"/>
          </w:rPr>
          <w:t xml:space="preserve"> </w:t>
        </w:r>
        <w:r w:rsidRPr="00B438F0">
          <w:rPr>
            <w:szCs w:val="24"/>
            <w:lang w:val="pt-BR"/>
          </w:rPr>
          <w:t>2013</w:t>
        </w:r>
      </w:hyperlink>
      <w:r w:rsidRPr="00B438F0">
        <w:rPr>
          <w:szCs w:val="24"/>
          <w:lang w:val="pt-BR"/>
        </w:rPr>
        <w:t xml:space="preserve">. Disponível em: </w:t>
      </w:r>
      <w:r w:rsidR="004F3A74">
        <w:rPr>
          <w:szCs w:val="24"/>
          <w:lang w:val="pt-BR"/>
        </w:rPr>
        <w:t>&lt;</w:t>
      </w:r>
      <w:r w:rsidRPr="00B438F0">
        <w:rPr>
          <w:szCs w:val="24"/>
          <w:lang w:val="pt-BR"/>
        </w:rPr>
        <w:t>http://arquivos.proderj.rj.gov.br/inea_imagens/downloads/cerhi/ResCERHI 107_RHs_AprovCERHI_Aprov12jun13.pdf</w:t>
      </w:r>
      <w:r w:rsidR="004F3A74">
        <w:rPr>
          <w:szCs w:val="24"/>
          <w:lang w:val="pt-BR"/>
        </w:rPr>
        <w:t>&gt;</w:t>
      </w:r>
      <w:r w:rsidRPr="00B438F0">
        <w:rPr>
          <w:szCs w:val="24"/>
          <w:lang w:val="pt-BR"/>
        </w:rPr>
        <w:t>. Acesso em: 16 out. 2018.</w:t>
      </w:r>
    </w:p>
    <w:p w14:paraId="60471242" w14:textId="2C2CAB55" w:rsidR="005B091C" w:rsidRPr="00F00979" w:rsidRDefault="005B091C" w:rsidP="00B438F0">
      <w:pPr>
        <w:pBdr>
          <w:top w:val="nil"/>
          <w:left w:val="nil"/>
          <w:bottom w:val="nil"/>
          <w:right w:val="nil"/>
          <w:between w:val="nil"/>
        </w:pBdr>
        <w:spacing w:after="120"/>
        <w:ind w:left="284" w:firstLine="284"/>
        <w:rPr>
          <w:szCs w:val="24"/>
        </w:rPr>
      </w:pPr>
      <w:r w:rsidRPr="00B438F0">
        <w:rPr>
          <w:szCs w:val="24"/>
          <w:lang w:val="pt-BR"/>
        </w:rPr>
        <w:t xml:space="preserve">IPEA, ODS - Metas Nacionais dos Objetivos de Desenvolvimento Sustentável: Proposta de Adequação. </w:t>
      </w:r>
      <w:proofErr w:type="spellStart"/>
      <w:r w:rsidRPr="00B438F0">
        <w:rPr>
          <w:szCs w:val="24"/>
          <w:lang w:val="pt-BR"/>
        </w:rPr>
        <w:t>Brasilia</w:t>
      </w:r>
      <w:proofErr w:type="spellEnd"/>
      <w:r w:rsidRPr="00B438F0">
        <w:rPr>
          <w:szCs w:val="24"/>
          <w:lang w:val="pt-BR"/>
        </w:rPr>
        <w:t>, DF: IPEA, 2018. Disponível em:</w:t>
      </w:r>
      <w:r w:rsidRPr="005B091C">
        <w:rPr>
          <w:szCs w:val="24"/>
          <w:lang w:val="pt-BR"/>
        </w:rPr>
        <w:t xml:space="preserve"> </w:t>
      </w:r>
      <w:r w:rsidR="004F3A74">
        <w:rPr>
          <w:szCs w:val="24"/>
          <w:lang w:val="pt-BR"/>
        </w:rPr>
        <w:t>&lt;</w:t>
      </w:r>
      <w:r w:rsidRPr="005B091C">
        <w:rPr>
          <w:szCs w:val="24"/>
          <w:lang w:val="pt-BR"/>
        </w:rPr>
        <w:t>http://www.ipea.gov.br/portal/images/stories/PDFs/livros/livros/180801_ods_metas_nac_dos_obj_de_desenv_susten_propos_de_adequa.pdf</w:t>
      </w:r>
      <w:r w:rsidR="004F3A74">
        <w:rPr>
          <w:szCs w:val="24"/>
          <w:lang w:val="pt-BR"/>
        </w:rPr>
        <w:t>&gt;</w:t>
      </w:r>
      <w:r w:rsidRPr="005B091C">
        <w:rPr>
          <w:szCs w:val="24"/>
          <w:lang w:val="pt-BR"/>
        </w:rPr>
        <w:t xml:space="preserve">. </w:t>
      </w:r>
      <w:proofErr w:type="spellStart"/>
      <w:r w:rsidRPr="00F00979">
        <w:rPr>
          <w:szCs w:val="24"/>
        </w:rPr>
        <w:t>Acesso</w:t>
      </w:r>
      <w:proofErr w:type="spellEnd"/>
      <w:r w:rsidRPr="00F00979">
        <w:rPr>
          <w:szCs w:val="24"/>
        </w:rPr>
        <w:t xml:space="preserve"> </w:t>
      </w:r>
      <w:proofErr w:type="spellStart"/>
      <w:r w:rsidRPr="00F00979">
        <w:rPr>
          <w:szCs w:val="24"/>
        </w:rPr>
        <w:t>em</w:t>
      </w:r>
      <w:proofErr w:type="spellEnd"/>
      <w:r w:rsidRPr="00F00979">
        <w:rPr>
          <w:szCs w:val="24"/>
        </w:rPr>
        <w:t xml:space="preserve">: 06 </w:t>
      </w:r>
      <w:proofErr w:type="spellStart"/>
      <w:r w:rsidRPr="00F00979">
        <w:rPr>
          <w:szCs w:val="24"/>
        </w:rPr>
        <w:t>nov.</w:t>
      </w:r>
      <w:proofErr w:type="spellEnd"/>
      <w:r w:rsidRPr="00F00979">
        <w:rPr>
          <w:szCs w:val="24"/>
        </w:rPr>
        <w:t xml:space="preserve"> 2018.</w:t>
      </w:r>
    </w:p>
    <w:p w14:paraId="21944D36" w14:textId="77777777" w:rsidR="005B091C" w:rsidRPr="005B091C" w:rsidRDefault="005B091C" w:rsidP="00B438F0">
      <w:pPr>
        <w:pBdr>
          <w:top w:val="nil"/>
          <w:left w:val="nil"/>
          <w:bottom w:val="nil"/>
          <w:right w:val="nil"/>
          <w:between w:val="nil"/>
        </w:pBdr>
        <w:spacing w:after="120"/>
        <w:ind w:left="284" w:firstLine="284"/>
        <w:rPr>
          <w:szCs w:val="24"/>
          <w:lang w:val="pt-BR"/>
        </w:rPr>
      </w:pPr>
      <w:r w:rsidRPr="00075E9D">
        <w:rPr>
          <w:szCs w:val="24"/>
        </w:rPr>
        <w:t xml:space="preserve">LARSON K. L., WIEK A., KEELER L. W. A comprehensive sustainability appraisal of water governance in Phoenix, AZ. </w:t>
      </w:r>
      <w:proofErr w:type="spellStart"/>
      <w:r w:rsidRPr="00B438F0">
        <w:rPr>
          <w:szCs w:val="24"/>
          <w:lang w:val="pt-BR"/>
        </w:rPr>
        <w:t>Journal</w:t>
      </w:r>
      <w:proofErr w:type="spellEnd"/>
      <w:r w:rsidRPr="00B438F0">
        <w:rPr>
          <w:szCs w:val="24"/>
          <w:lang w:val="pt-BR"/>
        </w:rPr>
        <w:t xml:space="preserve"> </w:t>
      </w:r>
      <w:proofErr w:type="spellStart"/>
      <w:r w:rsidRPr="00B438F0">
        <w:rPr>
          <w:szCs w:val="24"/>
          <w:lang w:val="pt-BR"/>
        </w:rPr>
        <w:t>of</w:t>
      </w:r>
      <w:proofErr w:type="spellEnd"/>
      <w:r w:rsidRPr="00B438F0">
        <w:rPr>
          <w:szCs w:val="24"/>
          <w:lang w:val="pt-BR"/>
        </w:rPr>
        <w:t xml:space="preserve"> Environmental Management</w:t>
      </w:r>
      <w:r w:rsidRPr="005B091C">
        <w:rPr>
          <w:szCs w:val="24"/>
          <w:lang w:val="pt-BR"/>
        </w:rPr>
        <w:t xml:space="preserve"> 116 (2015) 58e71.</w:t>
      </w:r>
    </w:p>
    <w:p w14:paraId="5162E549" w14:textId="0EE3F99F" w:rsidR="005B091C" w:rsidRPr="005B091C" w:rsidRDefault="005B091C" w:rsidP="00B438F0">
      <w:pPr>
        <w:pBdr>
          <w:top w:val="nil"/>
          <w:left w:val="nil"/>
          <w:bottom w:val="nil"/>
          <w:right w:val="nil"/>
          <w:between w:val="nil"/>
        </w:pBdr>
        <w:spacing w:after="120"/>
        <w:ind w:left="284" w:firstLine="284"/>
        <w:rPr>
          <w:szCs w:val="24"/>
          <w:lang w:val="pt-BR"/>
        </w:rPr>
      </w:pPr>
      <w:r w:rsidRPr="005B091C">
        <w:rPr>
          <w:szCs w:val="24"/>
          <w:lang w:val="pt-BR"/>
        </w:rPr>
        <w:t xml:space="preserve">Brasil. Lei Nº 3.239 de 02 de agosto de 1999. Institui a política Estadual de Recursos Hídricos; Cria o Sistema Estadual de Gerenciamento de Recursos Hídricos; Regulamenta a constituição Estadual, em seu artigo 261, parágrafo 1º, inciso VII; e dá outras providências. Disponível em: </w:t>
      </w:r>
      <w:r w:rsidR="004F3A74">
        <w:rPr>
          <w:szCs w:val="24"/>
          <w:lang w:val="pt-BR"/>
        </w:rPr>
        <w:t>&lt;</w:t>
      </w:r>
      <w:r w:rsidR="004F3A74" w:rsidRPr="004F3A74">
        <w:rPr>
          <w:szCs w:val="24"/>
          <w:lang w:val="pt-BR"/>
        </w:rPr>
        <w:t>http://www.cbhbaixoparaiba.org.br/downloads/LEI%203239.pdf</w:t>
      </w:r>
      <w:r w:rsidR="004F3A74">
        <w:rPr>
          <w:szCs w:val="24"/>
          <w:lang w:val="pt-BR"/>
        </w:rPr>
        <w:t>&gt;</w:t>
      </w:r>
      <w:r w:rsidRPr="005B091C">
        <w:rPr>
          <w:szCs w:val="24"/>
          <w:lang w:val="pt-BR"/>
        </w:rPr>
        <w:t>. Acesso em: 07 jun. 2020.</w:t>
      </w:r>
    </w:p>
    <w:p w14:paraId="5A030519" w14:textId="77777777" w:rsidR="005B091C" w:rsidRPr="00B438F0" w:rsidRDefault="005B091C" w:rsidP="00B438F0">
      <w:pPr>
        <w:pBdr>
          <w:top w:val="nil"/>
          <w:left w:val="nil"/>
          <w:bottom w:val="nil"/>
          <w:right w:val="nil"/>
          <w:between w:val="nil"/>
        </w:pBdr>
        <w:spacing w:after="120"/>
        <w:ind w:left="284" w:firstLine="284"/>
        <w:rPr>
          <w:szCs w:val="24"/>
          <w:lang w:val="pt-BR"/>
        </w:rPr>
      </w:pPr>
      <w:r w:rsidRPr="005B091C">
        <w:rPr>
          <w:szCs w:val="24"/>
          <w:lang w:val="pt-BR"/>
        </w:rPr>
        <w:t xml:space="preserve">Brasil. Lei nº 9.433, de 8 de janeiro de 1997. Institui a política Nacional de Recursos Hídricos, cria o Sistema Nacional de Gerenciamento de Recursos Hídricos, regulamenta o inciso XIX do art. 21 da Constituição Federal, e altera o art. 1º da Lei nº 8.001, de 13 de março de 1990, que modificou a Lei nº 7990, de 28 de dezembro de 1989. </w:t>
      </w:r>
      <w:r w:rsidRPr="00B438F0">
        <w:rPr>
          <w:szCs w:val="24"/>
          <w:lang w:val="pt-BR"/>
        </w:rPr>
        <w:t>Diário Oficial da União: seção 1, Brasília, DF, ano 135, n. 6, p. 471-474, 9 jan. 1997</w:t>
      </w:r>
    </w:p>
    <w:p w14:paraId="40E77948" w14:textId="2D0D43FE" w:rsidR="005B091C" w:rsidRPr="00B438F0" w:rsidRDefault="005B091C" w:rsidP="00B438F0">
      <w:pPr>
        <w:pBdr>
          <w:top w:val="nil"/>
          <w:left w:val="nil"/>
          <w:bottom w:val="nil"/>
          <w:right w:val="nil"/>
          <w:between w:val="nil"/>
        </w:pBdr>
        <w:spacing w:after="120"/>
        <w:ind w:left="284" w:firstLine="284"/>
        <w:rPr>
          <w:szCs w:val="24"/>
          <w:lang w:val="pt-BR"/>
        </w:rPr>
      </w:pPr>
      <w:r w:rsidRPr="00B438F0">
        <w:rPr>
          <w:szCs w:val="24"/>
          <w:lang w:val="pt-BR"/>
        </w:rPr>
        <w:t xml:space="preserve">MACHADO et al. Agenda 2030 e gestão sustentável das águas: aplicação da metodologia “avaliação de </w:t>
      </w:r>
      <w:proofErr w:type="spellStart"/>
      <w:r w:rsidRPr="00B438F0">
        <w:rPr>
          <w:szCs w:val="24"/>
          <w:lang w:val="pt-BR"/>
        </w:rPr>
        <w:t>prosperabilidade</w:t>
      </w:r>
      <w:proofErr w:type="spellEnd"/>
      <w:r w:rsidRPr="00B438F0">
        <w:rPr>
          <w:szCs w:val="24"/>
          <w:lang w:val="pt-BR"/>
        </w:rPr>
        <w:t>” à bacia hidrográfica do Rio</w:t>
      </w:r>
      <w:r w:rsidR="00F00979">
        <w:rPr>
          <w:szCs w:val="24"/>
          <w:lang w:val="pt-BR"/>
        </w:rPr>
        <w:t xml:space="preserve"> </w:t>
      </w:r>
      <w:r w:rsidRPr="00B438F0">
        <w:rPr>
          <w:szCs w:val="24"/>
          <w:lang w:val="pt-BR"/>
        </w:rPr>
        <w:t>UNA-RJ. IX- REA, 2019.</w:t>
      </w:r>
    </w:p>
    <w:p w14:paraId="0B2499E6" w14:textId="77777777" w:rsidR="005B091C" w:rsidRPr="00B438F0" w:rsidRDefault="005B091C" w:rsidP="00B438F0">
      <w:pPr>
        <w:pBdr>
          <w:top w:val="nil"/>
          <w:left w:val="nil"/>
          <w:bottom w:val="nil"/>
          <w:right w:val="nil"/>
          <w:between w:val="nil"/>
        </w:pBdr>
        <w:spacing w:after="120"/>
        <w:ind w:left="284" w:firstLine="284"/>
        <w:rPr>
          <w:szCs w:val="24"/>
          <w:lang w:val="pt-BR"/>
        </w:rPr>
      </w:pPr>
      <w:r w:rsidRPr="00B438F0">
        <w:rPr>
          <w:szCs w:val="24"/>
          <w:lang w:val="pt-BR"/>
        </w:rPr>
        <w:t>MACHADO et al. Avaliação integrada da sustentabilidade de sistemas socioambientais: Estudo comparativo de indicadores e índices. In: VIII Reunião de Estudos Ambientais, 2018, Porto Alegre. ANAIS da 8 Reunião de Estudos Ambientais. Porto Alegre: Editora Interciencia,2018. v. 1 p. 41-50.</w:t>
      </w:r>
    </w:p>
    <w:p w14:paraId="1630BEC2" w14:textId="77777777" w:rsidR="005B091C" w:rsidRPr="00B438F0" w:rsidRDefault="005B091C" w:rsidP="00B438F0">
      <w:pPr>
        <w:pBdr>
          <w:top w:val="nil"/>
          <w:left w:val="nil"/>
          <w:bottom w:val="nil"/>
          <w:right w:val="nil"/>
          <w:between w:val="nil"/>
        </w:pBdr>
        <w:spacing w:after="120"/>
        <w:ind w:left="284" w:firstLine="284"/>
        <w:rPr>
          <w:szCs w:val="24"/>
          <w:lang w:val="pt-BR"/>
        </w:rPr>
      </w:pPr>
      <w:r w:rsidRPr="00B438F0">
        <w:rPr>
          <w:szCs w:val="24"/>
          <w:lang w:val="pt-BR"/>
        </w:rPr>
        <w:t xml:space="preserve">MACHADO, R. P. </w:t>
      </w:r>
      <w:proofErr w:type="spellStart"/>
      <w:r w:rsidRPr="00B438F0">
        <w:rPr>
          <w:szCs w:val="24"/>
          <w:lang w:val="pt-BR"/>
        </w:rPr>
        <w:t>Prosperabilidade</w:t>
      </w:r>
      <w:proofErr w:type="spellEnd"/>
      <w:r w:rsidRPr="00B438F0">
        <w:rPr>
          <w:szCs w:val="24"/>
          <w:lang w:val="pt-BR"/>
        </w:rPr>
        <w:t>: uma proposta metodológica holística para avaliação da sustentabilidade de sistemas socioambientais. 2018. Dissertação (Mestrado) – Instituto Federal de Educação, Ciência e Tecnologia Fluminense. Campos dos Goytacazes, RJ.</w:t>
      </w:r>
    </w:p>
    <w:p w14:paraId="6712E6C6" w14:textId="77777777" w:rsidR="005B091C" w:rsidRPr="005B091C" w:rsidRDefault="005B091C" w:rsidP="00B438F0">
      <w:pPr>
        <w:pBdr>
          <w:top w:val="nil"/>
          <w:left w:val="nil"/>
          <w:bottom w:val="nil"/>
          <w:right w:val="nil"/>
          <w:between w:val="nil"/>
        </w:pBdr>
        <w:spacing w:after="120"/>
        <w:ind w:left="284" w:firstLine="284"/>
        <w:rPr>
          <w:szCs w:val="24"/>
          <w:lang w:val="pt-BR"/>
        </w:rPr>
      </w:pPr>
      <w:r w:rsidRPr="005B091C">
        <w:rPr>
          <w:szCs w:val="24"/>
          <w:lang w:val="pt-BR"/>
        </w:rPr>
        <w:t xml:space="preserve">MARFORT, A.V.L.; </w:t>
      </w:r>
      <w:r w:rsidRPr="00B438F0">
        <w:rPr>
          <w:szCs w:val="24"/>
          <w:lang w:val="pt-BR"/>
        </w:rPr>
        <w:t xml:space="preserve">Indicadores de sustentabilidade aplicados a regiões estuarinas: utilização da metodologia da </w:t>
      </w:r>
      <w:proofErr w:type="spellStart"/>
      <w:r w:rsidRPr="00B438F0">
        <w:rPr>
          <w:szCs w:val="24"/>
          <w:lang w:val="pt-BR"/>
        </w:rPr>
        <w:t>prosperabilidade</w:t>
      </w:r>
      <w:proofErr w:type="spellEnd"/>
      <w:r w:rsidRPr="00B438F0">
        <w:rPr>
          <w:szCs w:val="24"/>
          <w:lang w:val="pt-BR"/>
        </w:rPr>
        <w:t xml:space="preserve"> na zona costeira da Região Hidrográfica do Rio de Janeiro</w:t>
      </w:r>
      <w:r w:rsidRPr="005B091C">
        <w:rPr>
          <w:szCs w:val="24"/>
          <w:lang w:val="pt-BR"/>
        </w:rPr>
        <w:t>. 2019.</w:t>
      </w:r>
      <w:r w:rsidRPr="005B091C">
        <w:rPr>
          <w:b/>
          <w:szCs w:val="24"/>
          <w:lang w:val="pt-BR"/>
        </w:rPr>
        <w:t xml:space="preserve"> </w:t>
      </w:r>
      <w:r w:rsidRPr="005B091C">
        <w:rPr>
          <w:szCs w:val="24"/>
          <w:lang w:val="pt-BR"/>
        </w:rPr>
        <w:t>Dissertação (Mestrado Profissional em Engenharia Ambiental). Instituto Federal Fluminense, Campos dos Goytacazes, RJ.</w:t>
      </w:r>
    </w:p>
    <w:p w14:paraId="5B2C3303" w14:textId="5701B8DB" w:rsidR="005B091C" w:rsidRPr="005B091C" w:rsidRDefault="005B091C" w:rsidP="001C3B34">
      <w:pPr>
        <w:pBdr>
          <w:top w:val="nil"/>
          <w:left w:val="nil"/>
          <w:bottom w:val="nil"/>
          <w:right w:val="nil"/>
          <w:between w:val="nil"/>
        </w:pBdr>
        <w:spacing w:after="120"/>
        <w:ind w:left="284" w:firstLine="284"/>
        <w:rPr>
          <w:szCs w:val="24"/>
          <w:lang w:val="pt-BR"/>
        </w:rPr>
      </w:pPr>
      <w:r w:rsidRPr="005B091C">
        <w:rPr>
          <w:szCs w:val="24"/>
          <w:highlight w:val="white"/>
          <w:lang w:val="pt-BR"/>
        </w:rPr>
        <w:lastRenderedPageBreak/>
        <w:t>MMA</w:t>
      </w:r>
      <w:r w:rsidR="001C3B34">
        <w:rPr>
          <w:szCs w:val="24"/>
          <w:highlight w:val="white"/>
          <w:lang w:val="pt-BR"/>
        </w:rPr>
        <w:t xml:space="preserve"> – Ministério do Meio Ambiente</w:t>
      </w:r>
      <w:r w:rsidRPr="005B091C">
        <w:rPr>
          <w:szCs w:val="24"/>
          <w:highlight w:val="white"/>
          <w:lang w:val="pt-BR"/>
        </w:rPr>
        <w:t xml:space="preserve">. </w:t>
      </w:r>
      <w:proofErr w:type="spellStart"/>
      <w:r w:rsidRPr="00B438F0">
        <w:rPr>
          <w:szCs w:val="24"/>
          <w:highlight w:val="white"/>
          <w:lang w:val="pt-BR"/>
        </w:rPr>
        <w:t>ODSs</w:t>
      </w:r>
      <w:proofErr w:type="spellEnd"/>
      <w:r w:rsidR="00B438F0">
        <w:rPr>
          <w:szCs w:val="24"/>
          <w:highlight w:val="white"/>
          <w:lang w:val="pt-BR"/>
        </w:rPr>
        <w:t xml:space="preserve"> </w:t>
      </w:r>
      <w:r w:rsidRPr="00B438F0">
        <w:rPr>
          <w:szCs w:val="24"/>
          <w:highlight w:val="white"/>
          <w:lang w:val="pt-BR"/>
        </w:rPr>
        <w:t>/</w:t>
      </w:r>
      <w:r w:rsidR="00B438F0">
        <w:rPr>
          <w:szCs w:val="24"/>
          <w:highlight w:val="white"/>
          <w:lang w:val="pt-BR"/>
        </w:rPr>
        <w:t xml:space="preserve"> </w:t>
      </w:r>
      <w:r w:rsidRPr="00B438F0">
        <w:rPr>
          <w:szCs w:val="24"/>
          <w:highlight w:val="white"/>
          <w:lang w:val="pt-BR"/>
        </w:rPr>
        <w:t>Indicadores.</w:t>
      </w:r>
      <w:r w:rsidRPr="005B091C">
        <w:rPr>
          <w:szCs w:val="24"/>
          <w:highlight w:val="white"/>
          <w:lang w:val="pt-BR"/>
        </w:rPr>
        <w:t xml:space="preserve"> MMA, 2018. Disponível em: </w:t>
      </w:r>
      <w:r w:rsidR="004F3A74">
        <w:rPr>
          <w:szCs w:val="24"/>
          <w:lang w:val="pt-BR"/>
        </w:rPr>
        <w:t>&lt;</w:t>
      </w:r>
      <w:r w:rsidR="004F3A74" w:rsidRPr="004F3A74">
        <w:rPr>
          <w:szCs w:val="24"/>
          <w:highlight w:val="white"/>
          <w:lang w:val="pt-BR"/>
        </w:rPr>
        <w:t xml:space="preserve">www.mma.gov.br/phocadownloadpap/ods_ex/ods6-ods-indicadores-e.xlsx&gt;. </w:t>
      </w:r>
      <w:hyperlink r:id="rId17">
        <w:r w:rsidRPr="005B091C">
          <w:rPr>
            <w:szCs w:val="24"/>
            <w:lang w:val="pt-BR"/>
          </w:rPr>
          <w:t>Acesso em: 02 dez. 2018</w:t>
        </w:r>
      </w:hyperlink>
      <w:r w:rsidRPr="005B091C">
        <w:rPr>
          <w:szCs w:val="24"/>
          <w:lang w:val="pt-BR"/>
        </w:rPr>
        <w:t>.</w:t>
      </w:r>
    </w:p>
    <w:p w14:paraId="49ADE84F" w14:textId="16BDB6E7" w:rsidR="005B091C" w:rsidRPr="00F00979" w:rsidRDefault="005B091C" w:rsidP="001C3B34">
      <w:pPr>
        <w:pBdr>
          <w:top w:val="nil"/>
          <w:left w:val="nil"/>
          <w:bottom w:val="nil"/>
          <w:right w:val="nil"/>
          <w:between w:val="nil"/>
        </w:pBdr>
        <w:spacing w:after="120"/>
        <w:ind w:left="284" w:firstLine="284"/>
        <w:rPr>
          <w:szCs w:val="24"/>
        </w:rPr>
      </w:pPr>
      <w:r w:rsidRPr="005B091C">
        <w:rPr>
          <w:szCs w:val="24"/>
          <w:lang w:val="pt-BR"/>
        </w:rPr>
        <w:t>MMA</w:t>
      </w:r>
      <w:r w:rsidR="001C3B34">
        <w:rPr>
          <w:szCs w:val="24"/>
          <w:lang w:val="pt-BR"/>
        </w:rPr>
        <w:t xml:space="preserve"> – Ministério do Meio Ambiente</w:t>
      </w:r>
      <w:r w:rsidRPr="005B091C">
        <w:rPr>
          <w:szCs w:val="24"/>
          <w:lang w:val="pt-BR"/>
        </w:rPr>
        <w:t xml:space="preserve">. </w:t>
      </w:r>
      <w:r w:rsidRPr="001C3B34">
        <w:rPr>
          <w:szCs w:val="24"/>
          <w:lang w:val="pt-BR"/>
        </w:rPr>
        <w:t>Revitalização de Bacias hidrográficas.</w:t>
      </w:r>
      <w:r w:rsidRPr="005B091C">
        <w:rPr>
          <w:szCs w:val="24"/>
          <w:lang w:val="pt-BR"/>
        </w:rPr>
        <w:t xml:space="preserve"> MMA, 2018 Disponível em: </w:t>
      </w:r>
      <w:r w:rsidR="004F3A74">
        <w:rPr>
          <w:szCs w:val="24"/>
          <w:lang w:val="pt-BR"/>
        </w:rPr>
        <w:t>&lt;</w:t>
      </w:r>
      <w:r w:rsidRPr="005B091C">
        <w:rPr>
          <w:szCs w:val="24"/>
          <w:lang w:val="pt-BR"/>
        </w:rPr>
        <w:t>http://www.mma.gov.br/agua/bacias-hidrograficas/revitaliza%C3%A7%C3%A3o-de-bacias-hidrogr%C3%A1ficas.html</w:t>
      </w:r>
      <w:r w:rsidR="004F3A74">
        <w:rPr>
          <w:szCs w:val="24"/>
          <w:lang w:val="pt-BR"/>
        </w:rPr>
        <w:t>&gt;</w:t>
      </w:r>
      <w:r w:rsidRPr="005B091C">
        <w:rPr>
          <w:szCs w:val="24"/>
          <w:lang w:val="pt-BR"/>
        </w:rPr>
        <w:t xml:space="preserve">. </w:t>
      </w:r>
      <w:proofErr w:type="spellStart"/>
      <w:r w:rsidRPr="00F00979">
        <w:rPr>
          <w:szCs w:val="24"/>
        </w:rPr>
        <w:t>Acesso</w:t>
      </w:r>
      <w:proofErr w:type="spellEnd"/>
      <w:r w:rsidRPr="00F00979">
        <w:rPr>
          <w:szCs w:val="24"/>
        </w:rPr>
        <w:t xml:space="preserve"> </w:t>
      </w:r>
      <w:proofErr w:type="spellStart"/>
      <w:r w:rsidRPr="00F00979">
        <w:rPr>
          <w:szCs w:val="24"/>
        </w:rPr>
        <w:t>em</w:t>
      </w:r>
      <w:proofErr w:type="spellEnd"/>
      <w:r w:rsidRPr="00F00979">
        <w:rPr>
          <w:szCs w:val="24"/>
        </w:rPr>
        <w:t xml:space="preserve">: 19 </w:t>
      </w:r>
      <w:proofErr w:type="gramStart"/>
      <w:r w:rsidRPr="00F00979">
        <w:rPr>
          <w:szCs w:val="24"/>
        </w:rPr>
        <w:t>mar</w:t>
      </w:r>
      <w:proofErr w:type="gramEnd"/>
      <w:r w:rsidRPr="00F00979">
        <w:rPr>
          <w:szCs w:val="24"/>
        </w:rPr>
        <w:t>. 2019.</w:t>
      </w:r>
    </w:p>
    <w:p w14:paraId="2FB5FFF5" w14:textId="77777777" w:rsidR="005B091C" w:rsidRPr="001C3B34" w:rsidRDefault="005B091C" w:rsidP="001C3B34">
      <w:pPr>
        <w:pBdr>
          <w:top w:val="nil"/>
          <w:left w:val="nil"/>
          <w:bottom w:val="nil"/>
          <w:right w:val="nil"/>
          <w:between w:val="nil"/>
        </w:pBdr>
        <w:spacing w:after="120"/>
        <w:ind w:left="284" w:firstLine="284"/>
        <w:rPr>
          <w:color w:val="000000" w:themeColor="text1"/>
          <w:szCs w:val="24"/>
          <w:lang w:val="pt-BR"/>
        </w:rPr>
      </w:pPr>
      <w:r w:rsidRPr="001C3B34">
        <w:rPr>
          <w:color w:val="000000" w:themeColor="text1"/>
          <w:szCs w:val="24"/>
        </w:rPr>
        <w:t xml:space="preserve">MUNKHSULD et. al. 2020. Application of the City Blueprint Approach in Landlocked Asian Countries: A Case Study of Ulaanbaatar, Mongolia. </w:t>
      </w:r>
      <w:proofErr w:type="spellStart"/>
      <w:r w:rsidRPr="001C3B34">
        <w:rPr>
          <w:color w:val="000000" w:themeColor="text1"/>
          <w:szCs w:val="24"/>
          <w:lang w:val="pt-BR"/>
        </w:rPr>
        <w:t>Water</w:t>
      </w:r>
      <w:proofErr w:type="spellEnd"/>
      <w:r w:rsidRPr="001C3B34">
        <w:rPr>
          <w:color w:val="000000" w:themeColor="text1"/>
          <w:szCs w:val="24"/>
          <w:lang w:val="pt-BR"/>
        </w:rPr>
        <w:t xml:space="preserve"> 2020, 12, 199; doi:10.3390/w12010199</w:t>
      </w:r>
    </w:p>
    <w:p w14:paraId="6A638666" w14:textId="44540089" w:rsidR="005B091C" w:rsidRPr="00F00979" w:rsidRDefault="005B091C" w:rsidP="00B438F0">
      <w:pPr>
        <w:pBdr>
          <w:top w:val="nil"/>
          <w:left w:val="nil"/>
          <w:bottom w:val="nil"/>
          <w:right w:val="nil"/>
          <w:between w:val="nil"/>
        </w:pBdr>
        <w:spacing w:after="120"/>
        <w:ind w:left="284" w:firstLine="284"/>
        <w:rPr>
          <w:szCs w:val="24"/>
        </w:rPr>
      </w:pPr>
      <w:r w:rsidRPr="001C3B34">
        <w:rPr>
          <w:szCs w:val="24"/>
          <w:lang w:val="pt-BR"/>
        </w:rPr>
        <w:t>ONU</w:t>
      </w:r>
      <w:r w:rsidR="001C3B34">
        <w:rPr>
          <w:szCs w:val="24"/>
          <w:lang w:val="pt-BR"/>
        </w:rPr>
        <w:t xml:space="preserve"> – Organizações da Nações Unidas</w:t>
      </w:r>
      <w:r w:rsidRPr="001C3B34">
        <w:rPr>
          <w:szCs w:val="24"/>
          <w:lang w:val="pt-BR"/>
        </w:rPr>
        <w:t xml:space="preserve">. Agenda 2030. UN, 2015. Disponível em: </w:t>
      </w:r>
      <w:r w:rsidR="004F3A74">
        <w:rPr>
          <w:szCs w:val="24"/>
          <w:lang w:val="pt-BR"/>
        </w:rPr>
        <w:t>&lt;</w:t>
      </w:r>
      <w:r w:rsidRPr="001C3B34">
        <w:rPr>
          <w:szCs w:val="24"/>
          <w:lang w:val="pt-BR"/>
        </w:rPr>
        <w:t>http://www.un.org/ga/search/view_doc.asp?symbol=A/RES/70/1&amp;Lang=E</w:t>
      </w:r>
      <w:r w:rsidR="004F3A74">
        <w:rPr>
          <w:szCs w:val="24"/>
          <w:lang w:val="pt-BR"/>
        </w:rPr>
        <w:t>&gt;</w:t>
      </w:r>
      <w:r w:rsidRPr="001C3B34">
        <w:rPr>
          <w:szCs w:val="24"/>
          <w:lang w:val="pt-BR"/>
        </w:rPr>
        <w:t xml:space="preserve">. </w:t>
      </w:r>
      <w:proofErr w:type="spellStart"/>
      <w:r w:rsidRPr="00F00979">
        <w:rPr>
          <w:szCs w:val="24"/>
        </w:rPr>
        <w:t>Acesso</w:t>
      </w:r>
      <w:proofErr w:type="spellEnd"/>
      <w:r w:rsidRPr="00F00979">
        <w:rPr>
          <w:szCs w:val="24"/>
        </w:rPr>
        <w:t xml:space="preserve"> </w:t>
      </w:r>
      <w:proofErr w:type="spellStart"/>
      <w:r w:rsidRPr="00F00979">
        <w:rPr>
          <w:szCs w:val="24"/>
        </w:rPr>
        <w:t>em</w:t>
      </w:r>
      <w:proofErr w:type="spellEnd"/>
      <w:r w:rsidRPr="00F00979">
        <w:rPr>
          <w:szCs w:val="24"/>
        </w:rPr>
        <w:t>: 17 out. 2018.</w:t>
      </w:r>
    </w:p>
    <w:p w14:paraId="0727EA60" w14:textId="77777777" w:rsidR="005B091C" w:rsidRPr="005B091C" w:rsidRDefault="005B091C" w:rsidP="00B438F0">
      <w:pPr>
        <w:pBdr>
          <w:top w:val="nil"/>
          <w:left w:val="nil"/>
          <w:bottom w:val="nil"/>
          <w:right w:val="nil"/>
          <w:between w:val="nil"/>
        </w:pBdr>
        <w:spacing w:after="120"/>
        <w:ind w:left="284" w:firstLine="284"/>
        <w:rPr>
          <w:szCs w:val="24"/>
          <w:lang w:val="pt-BR"/>
        </w:rPr>
      </w:pPr>
      <w:r w:rsidRPr="00075E9D">
        <w:rPr>
          <w:szCs w:val="24"/>
        </w:rPr>
        <w:t>OSTROM, Elinor. 2009. A general framework for analyzing sustainability of social-ecological systems. </w:t>
      </w:r>
      <w:r w:rsidRPr="005B091C">
        <w:rPr>
          <w:b/>
          <w:szCs w:val="24"/>
          <w:lang w:val="pt-BR"/>
        </w:rPr>
        <w:t>Science</w:t>
      </w:r>
      <w:r w:rsidRPr="005B091C">
        <w:rPr>
          <w:szCs w:val="24"/>
          <w:lang w:val="pt-BR"/>
        </w:rPr>
        <w:t>, v. 325, n. 5939, p. 419-422.</w:t>
      </w:r>
    </w:p>
    <w:p w14:paraId="215706E5" w14:textId="77777777" w:rsidR="005B091C" w:rsidRPr="005B091C" w:rsidRDefault="005B091C" w:rsidP="00B438F0">
      <w:pPr>
        <w:pBdr>
          <w:top w:val="nil"/>
          <w:left w:val="nil"/>
          <w:bottom w:val="nil"/>
          <w:right w:val="nil"/>
          <w:between w:val="nil"/>
        </w:pBdr>
        <w:spacing w:after="120"/>
        <w:ind w:left="284" w:firstLine="284"/>
        <w:rPr>
          <w:szCs w:val="24"/>
          <w:lang w:val="pt-BR"/>
        </w:rPr>
      </w:pPr>
      <w:r w:rsidRPr="005B091C">
        <w:rPr>
          <w:szCs w:val="24"/>
          <w:lang w:val="pt-BR"/>
        </w:rPr>
        <w:t>Plataforma AGENDA 2030. Disponível em: http://www.agenda2030.com.br/os_ods/. Acesso em: 17 mar. 2019.</w:t>
      </w:r>
    </w:p>
    <w:p w14:paraId="22B04481" w14:textId="443FAAFE" w:rsidR="005B091C" w:rsidRPr="00CA47C5" w:rsidRDefault="005B091C" w:rsidP="0024355A">
      <w:pPr>
        <w:pBdr>
          <w:top w:val="nil"/>
          <w:left w:val="nil"/>
          <w:bottom w:val="nil"/>
          <w:right w:val="nil"/>
          <w:between w:val="nil"/>
        </w:pBdr>
        <w:spacing w:after="120"/>
        <w:ind w:left="284" w:firstLine="284"/>
        <w:rPr>
          <w:szCs w:val="24"/>
          <w:lang w:val="pt-BR"/>
        </w:rPr>
      </w:pPr>
      <w:r w:rsidRPr="005B091C">
        <w:rPr>
          <w:szCs w:val="24"/>
          <w:lang w:val="pt-BR"/>
        </w:rPr>
        <w:t>SEA/INEA</w:t>
      </w:r>
      <w:r w:rsidR="001C3B34">
        <w:rPr>
          <w:szCs w:val="24"/>
          <w:lang w:val="pt-BR"/>
        </w:rPr>
        <w:t xml:space="preserve"> – Secretaria Estadual de Ambiente</w:t>
      </w:r>
      <w:r w:rsidRPr="005B091C">
        <w:rPr>
          <w:szCs w:val="24"/>
          <w:lang w:val="pt-BR"/>
        </w:rPr>
        <w:t xml:space="preserve">. </w:t>
      </w:r>
      <w:r w:rsidRPr="001C3B34">
        <w:rPr>
          <w:szCs w:val="24"/>
          <w:lang w:val="pt-BR"/>
        </w:rPr>
        <w:t xml:space="preserve">Elaboração do plano estadual de recursos hídricos do estado do Rio de Janeiro. Rio de Janeiro, RJ: INEA, 2019. Disponível em: </w:t>
      </w:r>
      <w:r w:rsidR="0024355A">
        <w:rPr>
          <w:szCs w:val="24"/>
          <w:lang w:val="pt-BR"/>
        </w:rPr>
        <w:t>&lt;</w:t>
      </w:r>
      <w:r w:rsidR="0024355A" w:rsidRPr="0024355A">
        <w:rPr>
          <w:szCs w:val="24"/>
          <w:lang w:val="pt-BR"/>
        </w:rPr>
        <w:t>http://www.inea.rj.gov.br/cs/groups/public/documents/document/zwew/mdyy/~edisp/inea0062195.pdf</w:t>
      </w:r>
      <w:r w:rsidR="0024355A">
        <w:rPr>
          <w:szCs w:val="24"/>
          <w:lang w:val="pt-BR"/>
        </w:rPr>
        <w:t>&gt;</w:t>
      </w:r>
      <w:r w:rsidRPr="001C3B34">
        <w:rPr>
          <w:szCs w:val="24"/>
          <w:lang w:val="pt-BR"/>
        </w:rPr>
        <w:t xml:space="preserve">. </w:t>
      </w:r>
      <w:r w:rsidRPr="00CA47C5">
        <w:rPr>
          <w:szCs w:val="24"/>
          <w:lang w:val="pt-BR"/>
        </w:rPr>
        <w:t>Acesso em: 11 jun. 2020.</w:t>
      </w:r>
    </w:p>
    <w:p w14:paraId="31EB88BF" w14:textId="1F2FB2C3" w:rsidR="0024355A" w:rsidRPr="005B091C" w:rsidRDefault="0024355A" w:rsidP="00B438F0">
      <w:pPr>
        <w:pBdr>
          <w:top w:val="nil"/>
          <w:left w:val="nil"/>
          <w:bottom w:val="nil"/>
          <w:right w:val="nil"/>
          <w:between w:val="nil"/>
        </w:pBdr>
        <w:spacing w:after="120"/>
        <w:ind w:left="284" w:firstLine="284"/>
        <w:rPr>
          <w:szCs w:val="24"/>
          <w:lang w:val="pt-BR"/>
        </w:rPr>
      </w:pPr>
      <w:r>
        <w:rPr>
          <w:szCs w:val="24"/>
          <w:lang w:val="pt-BR"/>
        </w:rPr>
        <w:t xml:space="preserve">SOARES, </w:t>
      </w:r>
      <w:proofErr w:type="spellStart"/>
      <w:r>
        <w:rPr>
          <w:szCs w:val="24"/>
          <w:lang w:val="pt-BR"/>
        </w:rPr>
        <w:t>Dhandara</w:t>
      </w:r>
      <w:proofErr w:type="spellEnd"/>
      <w:r>
        <w:rPr>
          <w:szCs w:val="24"/>
          <w:lang w:val="pt-BR"/>
        </w:rPr>
        <w:t xml:space="preserve"> Lino. Gestão sustentável das águas: estudo do sistema socioambiental da Bacia Hidrográfica do Rio Grande, Região Hidrográfica do Rio Dois Rios, com o sistema de indicadores “Avaliação de </w:t>
      </w:r>
      <w:proofErr w:type="spellStart"/>
      <w:r>
        <w:rPr>
          <w:szCs w:val="24"/>
          <w:lang w:val="pt-BR"/>
        </w:rPr>
        <w:t>Prosperabilidade</w:t>
      </w:r>
      <w:proofErr w:type="spellEnd"/>
      <w:r>
        <w:rPr>
          <w:szCs w:val="24"/>
          <w:lang w:val="pt-BR"/>
        </w:rPr>
        <w:t>. 202</w:t>
      </w:r>
      <w:r w:rsidR="004F3A74">
        <w:rPr>
          <w:szCs w:val="24"/>
          <w:lang w:val="pt-BR"/>
        </w:rPr>
        <w:t>1</w:t>
      </w:r>
      <w:r>
        <w:rPr>
          <w:szCs w:val="24"/>
          <w:lang w:val="pt-BR"/>
        </w:rPr>
        <w:t>.</w:t>
      </w:r>
      <w:r w:rsidR="004F3A74" w:rsidRPr="004F3A74">
        <w:rPr>
          <w:szCs w:val="24"/>
          <w:lang w:val="pt-BR"/>
        </w:rPr>
        <w:t xml:space="preserve"> </w:t>
      </w:r>
      <w:r w:rsidR="004F3A74" w:rsidRPr="00B438F0">
        <w:rPr>
          <w:szCs w:val="24"/>
          <w:lang w:val="pt-BR"/>
        </w:rPr>
        <w:t>Dissertação (Mestrado) – Instituto Federal de Educação, Ciência e Tecnologia Fluminense. Campos dos Goytacazes, RJ</w:t>
      </w:r>
      <w:r>
        <w:rPr>
          <w:szCs w:val="24"/>
          <w:lang w:val="pt-BR"/>
        </w:rPr>
        <w:t>. Disponível em &lt;</w:t>
      </w:r>
      <w:r w:rsidRPr="0024355A">
        <w:rPr>
          <w:szCs w:val="24"/>
          <w:lang w:val="pt-BR"/>
        </w:rPr>
        <w:t>ww.ppea.iff.edu.br</w:t>
      </w:r>
      <w:r>
        <w:rPr>
          <w:szCs w:val="24"/>
          <w:lang w:val="pt-BR"/>
        </w:rPr>
        <w:t xml:space="preserve">&gt;. Acesso em: 27 </w:t>
      </w:r>
      <w:r w:rsidR="004F3A74">
        <w:rPr>
          <w:szCs w:val="24"/>
          <w:lang w:val="pt-BR"/>
        </w:rPr>
        <w:t>n</w:t>
      </w:r>
      <w:r>
        <w:rPr>
          <w:szCs w:val="24"/>
          <w:lang w:val="pt-BR"/>
        </w:rPr>
        <w:t>ov. 2023.</w:t>
      </w:r>
    </w:p>
    <w:sectPr w:rsidR="0024355A" w:rsidRPr="005B091C" w:rsidSect="00575335">
      <w:headerReference w:type="default" r:id="rId18"/>
      <w:footerReference w:type="even" r:id="rId19"/>
      <w:footerReference w:type="default" r:id="rId20"/>
      <w:footerReference w:type="first" r:id="rId21"/>
      <w:endnotePr>
        <w:numFmt w:val="decimal"/>
      </w:endnotePr>
      <w:pgSz w:w="11907" w:h="16840" w:code="9"/>
      <w:pgMar w:top="1701" w:right="1134" w:bottom="1134" w:left="1701" w:header="425" w:footer="567" w:gutter="0"/>
      <w:pgNumType w:start="41"/>
      <w:cols w:space="284"/>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EB7AE" w14:textId="77777777" w:rsidR="002423C0" w:rsidRDefault="002423C0">
      <w:r>
        <w:separator/>
      </w:r>
    </w:p>
  </w:endnote>
  <w:endnote w:type="continuationSeparator" w:id="0">
    <w:p w14:paraId="5319D2DC" w14:textId="77777777" w:rsidR="002423C0" w:rsidRDefault="0024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BoldM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49A96" w14:textId="77777777" w:rsidR="005B091C" w:rsidRDefault="005B091C" w:rsidP="00094DEA">
    <w:pPr>
      <w:pStyle w:val="Rodap"/>
      <w:rPr>
        <w:rStyle w:val="Nmerodepgina"/>
      </w:rPr>
    </w:pPr>
  </w:p>
  <w:p w14:paraId="4E0B2D61" w14:textId="77777777" w:rsidR="005B091C" w:rsidRPr="008F75CD" w:rsidRDefault="005B091C" w:rsidP="00094DEA">
    <w:pPr>
      <w:widowControl w:val="0"/>
      <w:rPr>
        <w:sz w:val="22"/>
        <w:szCs w:val="22"/>
        <w:lang w:val="pt-BR"/>
      </w:rPr>
    </w:pPr>
    <w:r>
      <w:rPr>
        <w:rFonts w:ascii="Arial-BoldMT" w:hAnsi="Arial-BoldMT" w:cs="Arial-BoldMT"/>
        <w:b/>
        <w:bCs/>
        <w:sz w:val="18"/>
        <w:szCs w:val="18"/>
        <w:lang w:val="pt-BR" w:eastAsia="en-US" w:bidi="en-US"/>
      </w:rPr>
      <w:t>Estudos em Design</w:t>
    </w:r>
    <w:r w:rsidRPr="00A52804">
      <w:rPr>
        <w:rFonts w:ascii="Arial-BoldMT" w:hAnsi="Arial-BoldMT" w:cs="Arial-BoldMT"/>
        <w:b/>
        <w:bCs/>
        <w:sz w:val="18"/>
        <w:szCs w:val="18"/>
        <w:lang w:val="pt-BR" w:eastAsia="en-US" w:bidi="en-US"/>
      </w:rPr>
      <w:t xml:space="preserve"> </w:t>
    </w:r>
    <w:r w:rsidRPr="00A52804">
      <w:rPr>
        <w:rFonts w:ascii="Arial-BoldMT" w:hAnsi="Arial-BoldMT" w:cs="Arial-BoldMT"/>
        <w:sz w:val="18"/>
        <w:szCs w:val="18"/>
        <w:lang w:val="pt-BR" w:eastAsia="en-US" w:bidi="en-US"/>
      </w:rPr>
      <w:t>| Re</w:t>
    </w:r>
    <w:r>
      <w:rPr>
        <w:rFonts w:ascii="Arial-BoldMT" w:hAnsi="Arial-BoldMT" w:cs="Arial-BoldMT"/>
        <w:sz w:val="18"/>
        <w:szCs w:val="18"/>
        <w:lang w:val="pt-BR" w:eastAsia="en-US" w:bidi="en-US"/>
      </w:rPr>
      <w:t xml:space="preserve">vista (online). Rio de Janeiro: </w:t>
    </w:r>
    <w:r w:rsidRPr="00A52804">
      <w:rPr>
        <w:rFonts w:ascii="Arial-BoldMT" w:hAnsi="Arial-BoldMT" w:cs="Arial-BoldMT"/>
        <w:sz w:val="18"/>
        <w:szCs w:val="18"/>
        <w:lang w:val="pt-BR" w:eastAsia="en-US" w:bidi="en-US"/>
      </w:rPr>
      <w:t xml:space="preserve">v.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 n.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w:t>
    </w:r>
    <w:r w:rsidRPr="00A52804">
      <w:rPr>
        <w:rFonts w:ascii="Arial-BoldMT" w:hAnsi="Arial-BoldMT" w:cs="Arial-BoldMT"/>
        <w:color w:val="FF0000"/>
        <w:sz w:val="18"/>
        <w:szCs w:val="18"/>
        <w:lang w:val="pt-BR" w:eastAsia="en-US" w:bidi="en-US"/>
      </w:rPr>
      <w:t>ANO</w:t>
    </w:r>
    <w:r w:rsidRPr="00A52804">
      <w:rPr>
        <w:rFonts w:ascii="Arial-BoldMT" w:hAnsi="Arial-BoldMT" w:cs="Arial-BoldMT"/>
        <w:sz w:val="18"/>
        <w:szCs w:val="18"/>
        <w:lang w:val="pt-BR" w:eastAsia="en-US" w:bidi="en-US"/>
      </w:rPr>
      <w:t xml:space="preserve">], p. </w:t>
    </w:r>
    <w:r w:rsidRPr="00A52804">
      <w:rPr>
        <w:rFonts w:ascii="Arial-BoldMT" w:hAnsi="Arial-BoldMT" w:cs="Arial-BoldMT"/>
        <w:color w:val="FF0000"/>
        <w:sz w:val="18"/>
        <w:szCs w:val="18"/>
        <w:lang w:val="pt-BR" w:eastAsia="en-US" w:bidi="en-US"/>
      </w:rPr>
      <w:t>X – X</w:t>
    </w:r>
    <w:r>
      <w:rPr>
        <w:rFonts w:ascii="Arial-BoldMT" w:hAnsi="Arial-BoldMT" w:cs="Arial-BoldMT"/>
        <w:sz w:val="18"/>
        <w:szCs w:val="18"/>
        <w:lang w:val="pt-BR" w:eastAsia="en-US" w:bidi="en-US"/>
      </w:rPr>
      <w:t xml:space="preserve"> | ISSN </w:t>
    </w:r>
    <w:r w:rsidRPr="00A52804">
      <w:rPr>
        <w:rStyle w:val="apple-style-span"/>
        <w:rFonts w:ascii="Verdana" w:hAnsi="Verdana"/>
        <w:sz w:val="17"/>
        <w:szCs w:val="17"/>
        <w:lang w:val="pt-BR"/>
      </w:rPr>
      <w:t>1983-196X</w:t>
    </w:r>
  </w:p>
  <w:p w14:paraId="1DD8C79E" w14:textId="77777777" w:rsidR="005B091C" w:rsidRPr="008F75CD" w:rsidRDefault="005B091C" w:rsidP="00094DEA">
    <w:pPr>
      <w:pStyle w:val="Rodap"/>
      <w:rPr>
        <w:lang w:val="pt-BR"/>
      </w:rPr>
    </w:pPr>
  </w:p>
  <w:p w14:paraId="206EC906" w14:textId="77777777" w:rsidR="005B091C" w:rsidRPr="008F75CD" w:rsidRDefault="005B091C" w:rsidP="00094DEA">
    <w:pPr>
      <w:pStyle w:val="Rodap"/>
      <w:rPr>
        <w:rStyle w:val="Nmerodepgina"/>
        <w:lang w:val="pt-BR"/>
      </w:rPr>
    </w:pPr>
  </w:p>
  <w:p w14:paraId="5522AFBD" w14:textId="77777777" w:rsidR="005B091C" w:rsidRPr="008F75CD" w:rsidRDefault="005B091C" w:rsidP="00094DEA">
    <w:pPr>
      <w:pStyle w:val="Rodap"/>
      <w:rPr>
        <w:lang w:val="pt-B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375DB" w14:textId="77777777" w:rsidR="005B091C" w:rsidRPr="008F75CD" w:rsidRDefault="005B091C" w:rsidP="00094DEA">
    <w:pPr>
      <w:widowControl w:val="0"/>
      <w:rPr>
        <w:sz w:val="22"/>
        <w:szCs w:val="22"/>
        <w:lang w:val="pt-BR"/>
      </w:rPr>
    </w:pPr>
  </w:p>
  <w:p w14:paraId="203D031D" w14:textId="5FB66B19" w:rsidR="005B091C" w:rsidRPr="00A94F5C" w:rsidRDefault="005B091C" w:rsidP="00E8108A">
    <w:pPr>
      <w:widowControl w:val="0"/>
      <w:autoSpaceDE w:val="0"/>
      <w:autoSpaceDN w:val="0"/>
      <w:adjustRightInd w:val="0"/>
      <w:rPr>
        <w:sz w:val="17"/>
        <w:szCs w:val="17"/>
        <w:lang w:val="pt-BR"/>
      </w:rPr>
    </w:pPr>
    <w:r w:rsidRPr="00A94F5C">
      <w:rPr>
        <w:rFonts w:ascii="Arial" w:hAnsi="Arial" w:cs="Arial"/>
        <w:b/>
        <w:bCs/>
        <w:color w:val="7F7F7F"/>
        <w:sz w:val="17"/>
        <w:szCs w:val="17"/>
        <w:lang w:val="pt-BR" w:eastAsia="en-US" w:bidi="en-US"/>
      </w:rPr>
      <w:t>ENSUS</w:t>
    </w:r>
    <w:r>
      <w:rPr>
        <w:rFonts w:ascii="Arial" w:hAnsi="Arial" w:cs="Arial"/>
        <w:b/>
        <w:bCs/>
        <w:color w:val="7F7F7F"/>
        <w:sz w:val="17"/>
        <w:szCs w:val="17"/>
        <w:lang w:val="pt-BR" w:eastAsia="en-US" w:bidi="en-US"/>
      </w:rPr>
      <w:t xml:space="preserve"> 2023</w:t>
    </w:r>
    <w:r w:rsidRPr="00A94F5C">
      <w:rPr>
        <w:rFonts w:ascii="Arial" w:hAnsi="Arial" w:cs="Arial"/>
        <w:b/>
        <w:bCs/>
        <w:color w:val="7F7F7F"/>
        <w:sz w:val="17"/>
        <w:szCs w:val="17"/>
        <w:lang w:val="pt-BR" w:eastAsia="en-US" w:bidi="en-US"/>
      </w:rPr>
      <w:t xml:space="preserve"> – </w:t>
    </w:r>
    <w:r>
      <w:rPr>
        <w:rFonts w:ascii="Arial" w:hAnsi="Arial" w:cs="Arial"/>
        <w:b/>
        <w:bCs/>
        <w:color w:val="7F7F7F"/>
        <w:sz w:val="17"/>
        <w:szCs w:val="17"/>
        <w:lang w:val="pt-BR" w:eastAsia="en-US" w:bidi="en-US"/>
      </w:rPr>
      <w:t xml:space="preserve">XI </w:t>
    </w:r>
    <w:r w:rsidRPr="00A94F5C">
      <w:rPr>
        <w:rFonts w:ascii="Arial" w:hAnsi="Arial" w:cs="Arial"/>
        <w:b/>
        <w:bCs/>
        <w:color w:val="7F7F7F"/>
        <w:sz w:val="17"/>
        <w:szCs w:val="17"/>
        <w:lang w:val="pt-BR" w:eastAsia="en-US" w:bidi="en-US"/>
      </w:rPr>
      <w:t xml:space="preserve">Encontro de Sustentabilidade em Projeto – </w:t>
    </w:r>
    <w:r w:rsidRPr="00A94F5C">
      <w:rPr>
        <w:rFonts w:ascii="Arial" w:hAnsi="Arial" w:cs="Arial"/>
        <w:bCs/>
        <w:color w:val="7F7F7F"/>
        <w:sz w:val="17"/>
        <w:szCs w:val="17"/>
        <w:lang w:val="pt-BR" w:eastAsia="en-US" w:bidi="en-US"/>
      </w:rPr>
      <w:t>U</w:t>
    </w:r>
    <w:r>
      <w:rPr>
        <w:rFonts w:ascii="Arial" w:hAnsi="Arial" w:cs="Arial"/>
        <w:bCs/>
        <w:color w:val="7F7F7F"/>
        <w:sz w:val="17"/>
        <w:szCs w:val="17"/>
        <w:lang w:val="pt-BR" w:eastAsia="en-US" w:bidi="en-US"/>
      </w:rPr>
      <w:t>FSC</w:t>
    </w:r>
    <w:r w:rsidRPr="00A94F5C">
      <w:rPr>
        <w:rFonts w:ascii="Arial" w:hAnsi="Arial" w:cs="Arial"/>
        <w:bCs/>
        <w:color w:val="7F7F7F"/>
        <w:sz w:val="17"/>
        <w:szCs w:val="17"/>
        <w:lang w:val="pt-BR" w:eastAsia="en-US" w:bidi="en-US"/>
      </w:rPr>
      <w:t xml:space="preserve"> –</w:t>
    </w:r>
    <w:r>
      <w:rPr>
        <w:rFonts w:ascii="Arial" w:hAnsi="Arial" w:cs="Arial"/>
        <w:bCs/>
        <w:color w:val="7F7F7F"/>
        <w:sz w:val="17"/>
        <w:szCs w:val="17"/>
        <w:lang w:val="pt-BR" w:eastAsia="en-US" w:bidi="en-US"/>
      </w:rPr>
      <w:t xml:space="preserve"> Florianópolis</w:t>
    </w:r>
    <w:r w:rsidRPr="00A94F5C">
      <w:rPr>
        <w:rFonts w:ascii="Arial" w:hAnsi="Arial" w:cs="Arial"/>
        <w:bCs/>
        <w:color w:val="7F7F7F"/>
        <w:sz w:val="17"/>
        <w:szCs w:val="17"/>
        <w:lang w:val="pt-BR" w:eastAsia="en-US" w:bidi="en-US"/>
      </w:rPr>
      <w:t xml:space="preserve"> – </w:t>
    </w:r>
    <w:r>
      <w:rPr>
        <w:rFonts w:ascii="Arial" w:hAnsi="Arial" w:cs="Arial"/>
        <w:bCs/>
        <w:color w:val="7F7F7F"/>
        <w:sz w:val="17"/>
        <w:szCs w:val="17"/>
        <w:lang w:val="pt-BR" w:eastAsia="en-US" w:bidi="en-US"/>
      </w:rPr>
      <w:t>0</w:t>
    </w:r>
    <w:r w:rsidR="009D16A6">
      <w:rPr>
        <w:rFonts w:ascii="Arial" w:hAnsi="Arial" w:cs="Arial"/>
        <w:bCs/>
        <w:color w:val="7F7F7F"/>
        <w:sz w:val="17"/>
        <w:szCs w:val="17"/>
        <w:lang w:val="pt-BR" w:eastAsia="en-US" w:bidi="en-US"/>
      </w:rPr>
      <w:t>5</w:t>
    </w:r>
    <w:r w:rsidRPr="00A94F5C">
      <w:rPr>
        <w:rFonts w:ascii="Arial" w:hAnsi="Arial" w:cs="Arial"/>
        <w:bCs/>
        <w:color w:val="7F7F7F"/>
        <w:sz w:val="17"/>
        <w:szCs w:val="17"/>
        <w:lang w:val="pt-BR" w:eastAsia="en-US" w:bidi="en-US"/>
      </w:rPr>
      <w:t xml:space="preserve"> a </w:t>
    </w:r>
    <w:r>
      <w:rPr>
        <w:rFonts w:ascii="Arial" w:hAnsi="Arial" w:cs="Arial"/>
        <w:bCs/>
        <w:color w:val="7F7F7F"/>
        <w:sz w:val="17"/>
        <w:szCs w:val="17"/>
        <w:lang w:val="pt-BR" w:eastAsia="en-US" w:bidi="en-US"/>
      </w:rPr>
      <w:t>0</w:t>
    </w:r>
    <w:r w:rsidR="009D16A6">
      <w:rPr>
        <w:rFonts w:ascii="Arial" w:hAnsi="Arial" w:cs="Arial"/>
        <w:bCs/>
        <w:color w:val="7F7F7F"/>
        <w:sz w:val="17"/>
        <w:szCs w:val="17"/>
        <w:lang w:val="pt-BR" w:eastAsia="en-US" w:bidi="en-US"/>
      </w:rPr>
      <w:t>7</w:t>
    </w:r>
    <w:r w:rsidRPr="00A94F5C">
      <w:rPr>
        <w:rFonts w:ascii="Arial" w:hAnsi="Arial" w:cs="Arial"/>
        <w:bCs/>
        <w:color w:val="7F7F7F"/>
        <w:sz w:val="17"/>
        <w:szCs w:val="17"/>
        <w:lang w:val="pt-BR" w:eastAsia="en-US" w:bidi="en-US"/>
      </w:rPr>
      <w:t xml:space="preserve"> de </w:t>
    </w:r>
    <w:proofErr w:type="gramStart"/>
    <w:r>
      <w:rPr>
        <w:rFonts w:ascii="Arial" w:hAnsi="Arial" w:cs="Arial"/>
        <w:bCs/>
        <w:color w:val="7F7F7F"/>
        <w:sz w:val="17"/>
        <w:szCs w:val="17"/>
        <w:lang w:val="pt-BR" w:eastAsia="en-US" w:bidi="en-US"/>
      </w:rPr>
      <w:t>Junho</w:t>
    </w:r>
    <w:proofErr w:type="gramEnd"/>
    <w:r w:rsidRPr="00A94F5C">
      <w:rPr>
        <w:rFonts w:ascii="Arial" w:hAnsi="Arial" w:cs="Arial"/>
        <w:bCs/>
        <w:color w:val="7F7F7F"/>
        <w:sz w:val="17"/>
        <w:szCs w:val="17"/>
        <w:lang w:val="pt-BR" w:eastAsia="en-US" w:bidi="en-US"/>
      </w:rPr>
      <w:t xml:space="preserve"> de 202</w:t>
    </w:r>
    <w:r>
      <w:rPr>
        <w:rFonts w:ascii="Arial" w:hAnsi="Arial" w:cs="Arial"/>
        <w:bCs/>
        <w:color w:val="7F7F7F"/>
        <w:sz w:val="17"/>
        <w:szCs w:val="17"/>
        <w:lang w:val="pt-BR" w:eastAsia="en-US" w:bidi="en-US"/>
      </w:rPr>
      <w:t>3</w:t>
    </w:r>
    <w:r w:rsidRPr="00A94F5C">
      <w:rPr>
        <w:rFonts w:ascii="Arial" w:hAnsi="Arial" w:cs="Arial"/>
        <w:bCs/>
        <w:color w:val="7F7F7F"/>
        <w:sz w:val="17"/>
        <w:szCs w:val="17"/>
        <w:lang w:val="pt-BR" w:eastAsia="en-US" w:bidi="en-US"/>
      </w:rPr>
      <w:t>.</w:t>
    </w:r>
  </w:p>
  <w:p w14:paraId="5FAD3DFC" w14:textId="77777777" w:rsidR="005B091C" w:rsidRPr="006D00BB" w:rsidRDefault="005B091C" w:rsidP="006D00BB">
    <w:pPr>
      <w:widowControl w:val="0"/>
      <w:autoSpaceDE w:val="0"/>
      <w:autoSpaceDN w:val="0"/>
      <w:adjustRightInd w:val="0"/>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029DF" w14:textId="77777777" w:rsidR="005B091C" w:rsidRPr="000275EB" w:rsidRDefault="005B091C" w:rsidP="00342D36">
    <w:pPr>
      <w:widowControl w:val="0"/>
      <w:autoSpaceDE w:val="0"/>
      <w:autoSpaceDN w:val="0"/>
      <w:adjustRightInd w:val="0"/>
      <w:rPr>
        <w:rFonts w:ascii="Arial" w:hAnsi="Arial" w:cs="Arial"/>
        <w:color w:val="7F7F7F"/>
        <w:sz w:val="18"/>
        <w:szCs w:val="18"/>
        <w:lang w:val="pt-BR" w:eastAsia="en-US" w:bidi="en-US"/>
      </w:rPr>
    </w:pPr>
    <w:r w:rsidRPr="000275EB">
      <w:rPr>
        <w:rFonts w:ascii="Arial" w:hAnsi="Arial" w:cs="Arial"/>
        <w:b/>
        <w:bCs/>
        <w:color w:val="7F7F7F"/>
        <w:sz w:val="18"/>
        <w:szCs w:val="18"/>
        <w:lang w:val="pt-BR" w:eastAsia="en-US" w:bidi="en-US"/>
      </w:rPr>
      <w:t>Estudos em Design</w:t>
    </w:r>
    <w:r w:rsidRPr="000275EB">
      <w:rPr>
        <w:rFonts w:ascii="Arial" w:hAnsi="Arial" w:cs="Arial"/>
        <w:bCs/>
        <w:color w:val="7F7F7F"/>
        <w:sz w:val="18"/>
        <w:szCs w:val="18"/>
        <w:lang w:val="pt-BR" w:eastAsia="en-US" w:bidi="en-US"/>
      </w:rPr>
      <w:t xml:space="preserve"> </w:t>
    </w:r>
    <w:r w:rsidRPr="000275EB">
      <w:rPr>
        <w:rFonts w:ascii="Arial" w:hAnsi="Arial" w:cs="Arial"/>
        <w:color w:val="7F7F7F"/>
        <w:sz w:val="18"/>
        <w:szCs w:val="18"/>
        <w:lang w:val="pt-BR" w:eastAsia="en-US" w:bidi="en-US"/>
      </w:rPr>
      <w:t xml:space="preserve">| Revista (online). Rio de Janeiro: v. X | n. X [ANO], p. X – X | ISSN </w:t>
    </w:r>
    <w:r w:rsidRPr="000275EB">
      <w:rPr>
        <w:rStyle w:val="apple-style-span"/>
        <w:rFonts w:ascii="Arial" w:hAnsi="Arial" w:cs="Arial"/>
        <w:color w:val="7F7F7F"/>
        <w:sz w:val="17"/>
        <w:szCs w:val="17"/>
        <w:lang w:val="pt-BR"/>
      </w:rPr>
      <w:t>1983-196X</w:t>
    </w:r>
  </w:p>
  <w:p w14:paraId="1AB30BA8" w14:textId="77777777" w:rsidR="005B091C" w:rsidRPr="00B745D0" w:rsidRDefault="005B091C">
    <w:pPr>
      <w:pStyle w:val="Rodap"/>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AE2F3" w14:textId="77777777" w:rsidR="002423C0" w:rsidRDefault="002423C0">
      <w:bookmarkStart w:id="0" w:name="_Hlk524516655"/>
      <w:bookmarkEnd w:id="0"/>
      <w:r>
        <w:separator/>
      </w:r>
    </w:p>
  </w:footnote>
  <w:footnote w:type="continuationSeparator" w:id="0">
    <w:p w14:paraId="515528DC" w14:textId="77777777" w:rsidR="002423C0" w:rsidRDefault="00242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FFC94" w14:textId="77777777" w:rsidR="005B091C" w:rsidRDefault="005B091C"/>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5B091C" w14:paraId="09D33C61" w14:textId="77777777" w:rsidTr="000F5CC4">
      <w:tc>
        <w:tcPr>
          <w:tcW w:w="3020" w:type="dxa"/>
        </w:tcPr>
        <w:p w14:paraId="18FB8D8D" w14:textId="68E1763C" w:rsidR="005B091C" w:rsidRDefault="005B091C" w:rsidP="006B150E">
          <w:pPr>
            <w:rPr>
              <w:noProof/>
            </w:rPr>
          </w:pPr>
          <w:r>
            <w:rPr>
              <w:noProof/>
              <w:lang w:val="pt-BR"/>
            </w:rPr>
            <w:drawing>
              <wp:inline distT="0" distB="0" distL="0" distR="0" wp14:anchorId="1CADDD18" wp14:editId="26CC99BB">
                <wp:extent cx="1074420" cy="10744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sus-2023.png"/>
                        <pic:cNvPicPr/>
                      </pic:nvPicPr>
                      <pic:blipFill>
                        <a:blip r:embed="rId1">
                          <a:extLst>
                            <a:ext uri="{28A0092B-C50C-407E-A947-70E740481C1C}">
                              <a14:useLocalDpi xmlns:a14="http://schemas.microsoft.com/office/drawing/2010/main" val="0"/>
                            </a:ext>
                          </a:extLst>
                        </a:blip>
                        <a:stretch>
                          <a:fillRect/>
                        </a:stretch>
                      </pic:blipFill>
                      <pic:spPr>
                        <a:xfrm>
                          <a:off x="0" y="0"/>
                          <a:ext cx="1074420" cy="1074420"/>
                        </a:xfrm>
                        <a:prstGeom prst="rect">
                          <a:avLst/>
                        </a:prstGeom>
                      </pic:spPr>
                    </pic:pic>
                  </a:graphicData>
                </a:graphic>
              </wp:inline>
            </w:drawing>
          </w:r>
        </w:p>
      </w:tc>
      <w:tc>
        <w:tcPr>
          <w:tcW w:w="3021" w:type="dxa"/>
        </w:tcPr>
        <w:p w14:paraId="05721545" w14:textId="0B18B23D" w:rsidR="005B091C" w:rsidRDefault="005B091C" w:rsidP="006B150E">
          <w:pPr>
            <w:rPr>
              <w:noProof/>
            </w:rPr>
          </w:pPr>
          <w:r>
            <w:rPr>
              <w:noProof/>
              <w:lang w:val="pt-BR"/>
            </w:rPr>
            <w:drawing>
              <wp:inline distT="0" distB="0" distL="0" distR="0" wp14:anchorId="4D7A8442" wp14:editId="7BCF082D">
                <wp:extent cx="1411049" cy="8572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irtuhab.jpg"/>
                        <pic:cNvPicPr/>
                      </pic:nvPicPr>
                      <pic:blipFill>
                        <a:blip r:embed="rId2">
                          <a:extLst>
                            <a:ext uri="{28A0092B-C50C-407E-A947-70E740481C1C}">
                              <a14:useLocalDpi xmlns:a14="http://schemas.microsoft.com/office/drawing/2010/main" val="0"/>
                            </a:ext>
                          </a:extLst>
                        </a:blip>
                        <a:stretch>
                          <a:fillRect/>
                        </a:stretch>
                      </pic:blipFill>
                      <pic:spPr>
                        <a:xfrm>
                          <a:off x="0" y="0"/>
                          <a:ext cx="1414521" cy="859359"/>
                        </a:xfrm>
                        <a:prstGeom prst="rect">
                          <a:avLst/>
                        </a:prstGeom>
                      </pic:spPr>
                    </pic:pic>
                  </a:graphicData>
                </a:graphic>
              </wp:inline>
            </w:drawing>
          </w:r>
        </w:p>
      </w:tc>
      <w:tc>
        <w:tcPr>
          <w:tcW w:w="3021" w:type="dxa"/>
        </w:tcPr>
        <w:p w14:paraId="04A6B0A4" w14:textId="6772AFE5" w:rsidR="005B091C" w:rsidRDefault="005B091C" w:rsidP="004E3CEF">
          <w:pPr>
            <w:ind w:firstLine="708"/>
            <w:rPr>
              <w:noProof/>
            </w:rPr>
          </w:pPr>
          <w:r>
            <w:rPr>
              <w:noProof/>
              <w:lang w:val="pt-BR"/>
            </w:rPr>
            <w:drawing>
              <wp:inline distT="0" distB="0" distL="0" distR="0" wp14:anchorId="35D2E405" wp14:editId="7B57CAFA">
                <wp:extent cx="764699" cy="105696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FSC.png"/>
                        <pic:cNvPicPr/>
                      </pic:nvPicPr>
                      <pic:blipFill>
                        <a:blip r:embed="rId3">
                          <a:extLst>
                            <a:ext uri="{28A0092B-C50C-407E-A947-70E740481C1C}">
                              <a14:useLocalDpi xmlns:a14="http://schemas.microsoft.com/office/drawing/2010/main" val="0"/>
                            </a:ext>
                          </a:extLst>
                        </a:blip>
                        <a:stretch>
                          <a:fillRect/>
                        </a:stretch>
                      </pic:blipFill>
                      <pic:spPr>
                        <a:xfrm flipH="1">
                          <a:off x="0" y="0"/>
                          <a:ext cx="772198" cy="1067330"/>
                        </a:xfrm>
                        <a:prstGeom prst="rect">
                          <a:avLst/>
                        </a:prstGeom>
                      </pic:spPr>
                    </pic:pic>
                  </a:graphicData>
                </a:graphic>
              </wp:inline>
            </w:drawing>
          </w:r>
        </w:p>
      </w:tc>
    </w:tr>
  </w:tbl>
  <w:p w14:paraId="0D7DE6D1" w14:textId="00A1BA8C" w:rsidR="005B091C" w:rsidRDefault="005B091C" w:rsidP="006B150E">
    <w:pP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E47FB"/>
    <w:multiLevelType w:val="hybridMultilevel"/>
    <w:tmpl w:val="8DCE85DA"/>
    <w:lvl w:ilvl="0" w:tplc="7A80267A">
      <w:start w:val="1"/>
      <w:numFmt w:val="decimal"/>
      <w:pStyle w:val="Subttulo"/>
      <w:lvlText w:val="4.%1."/>
      <w:lvlJc w:val="left"/>
      <w:pPr>
        <w:ind w:left="720" w:hanging="360"/>
      </w:pPr>
      <w:rPr>
        <w:rFonts w:ascii="Arial" w:hAnsi="Arial" w:cs="Arial"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5A63577"/>
    <w:multiLevelType w:val="hybridMultilevel"/>
    <w:tmpl w:val="471085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C156C8"/>
    <w:multiLevelType w:val="hybridMultilevel"/>
    <w:tmpl w:val="20222CF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272A1F14"/>
    <w:multiLevelType w:val="hybridMultilevel"/>
    <w:tmpl w:val="D5A4A2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84B0923"/>
    <w:multiLevelType w:val="hybridMultilevel"/>
    <w:tmpl w:val="850C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777C57"/>
    <w:multiLevelType w:val="hybridMultilevel"/>
    <w:tmpl w:val="484052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CB3A78"/>
    <w:multiLevelType w:val="hybridMultilevel"/>
    <w:tmpl w:val="B84E1B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3C596C19"/>
    <w:multiLevelType w:val="hybridMultilevel"/>
    <w:tmpl w:val="C820F7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2C2B70"/>
    <w:multiLevelType w:val="hybridMultilevel"/>
    <w:tmpl w:val="484052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90C7803"/>
    <w:multiLevelType w:val="hybridMultilevel"/>
    <w:tmpl w:val="B130E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BB6E6B"/>
    <w:multiLevelType w:val="hybridMultilevel"/>
    <w:tmpl w:val="D5A4A2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E820248"/>
    <w:multiLevelType w:val="hybridMultilevel"/>
    <w:tmpl w:val="C9A65D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2"/>
  </w:num>
  <w:num w:numId="5">
    <w:abstractNumId w:val="3"/>
  </w:num>
  <w:num w:numId="6">
    <w:abstractNumId w:val="5"/>
  </w:num>
  <w:num w:numId="7">
    <w:abstractNumId w:val="8"/>
  </w:num>
  <w:num w:numId="8">
    <w:abstractNumId w:val="11"/>
  </w:num>
  <w:num w:numId="9">
    <w:abstractNumId w:val="1"/>
  </w:num>
  <w:num w:numId="10">
    <w:abstractNumId w:val="0"/>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n-US"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839"/>
    <w:rsid w:val="000045FB"/>
    <w:rsid w:val="000058E4"/>
    <w:rsid w:val="00013F30"/>
    <w:rsid w:val="00026F91"/>
    <w:rsid w:val="000275EB"/>
    <w:rsid w:val="00041AB9"/>
    <w:rsid w:val="000465E8"/>
    <w:rsid w:val="00054581"/>
    <w:rsid w:val="0007099C"/>
    <w:rsid w:val="000711EF"/>
    <w:rsid w:val="00084121"/>
    <w:rsid w:val="00094DEA"/>
    <w:rsid w:val="000A0634"/>
    <w:rsid w:val="000B53D4"/>
    <w:rsid w:val="000F5978"/>
    <w:rsid w:val="000F5CC4"/>
    <w:rsid w:val="00123B81"/>
    <w:rsid w:val="001319A4"/>
    <w:rsid w:val="00137DAE"/>
    <w:rsid w:val="00141364"/>
    <w:rsid w:val="001464DE"/>
    <w:rsid w:val="00150A7B"/>
    <w:rsid w:val="0015121C"/>
    <w:rsid w:val="00152FAD"/>
    <w:rsid w:val="00154F6A"/>
    <w:rsid w:val="00156B94"/>
    <w:rsid w:val="00157CE6"/>
    <w:rsid w:val="0016002D"/>
    <w:rsid w:val="001632CD"/>
    <w:rsid w:val="00166961"/>
    <w:rsid w:val="00167D4E"/>
    <w:rsid w:val="00170328"/>
    <w:rsid w:val="00187695"/>
    <w:rsid w:val="001A02AA"/>
    <w:rsid w:val="001A141A"/>
    <w:rsid w:val="001A6C40"/>
    <w:rsid w:val="001B1B25"/>
    <w:rsid w:val="001C1ECB"/>
    <w:rsid w:val="001C3B34"/>
    <w:rsid w:val="001C4D03"/>
    <w:rsid w:val="001E57A8"/>
    <w:rsid w:val="001F15C2"/>
    <w:rsid w:val="00201C0B"/>
    <w:rsid w:val="002156E9"/>
    <w:rsid w:val="0023063E"/>
    <w:rsid w:val="002309C5"/>
    <w:rsid w:val="002423C0"/>
    <w:rsid w:val="00242B23"/>
    <w:rsid w:val="0024355A"/>
    <w:rsid w:val="00251B8B"/>
    <w:rsid w:val="00255E26"/>
    <w:rsid w:val="00256808"/>
    <w:rsid w:val="00266710"/>
    <w:rsid w:val="00276E65"/>
    <w:rsid w:val="0029220F"/>
    <w:rsid w:val="002958D4"/>
    <w:rsid w:val="002A3CB7"/>
    <w:rsid w:val="002A4463"/>
    <w:rsid w:val="002A64FD"/>
    <w:rsid w:val="002A70ED"/>
    <w:rsid w:val="002B2FA4"/>
    <w:rsid w:val="002D2F27"/>
    <w:rsid w:val="002D31EF"/>
    <w:rsid w:val="002D5515"/>
    <w:rsid w:val="002E0F40"/>
    <w:rsid w:val="002E55CE"/>
    <w:rsid w:val="002F0E3F"/>
    <w:rsid w:val="002F266B"/>
    <w:rsid w:val="002F457F"/>
    <w:rsid w:val="0030425A"/>
    <w:rsid w:val="00304794"/>
    <w:rsid w:val="00321E9E"/>
    <w:rsid w:val="0033475A"/>
    <w:rsid w:val="00334C11"/>
    <w:rsid w:val="00342D36"/>
    <w:rsid w:val="0035152E"/>
    <w:rsid w:val="00356CD1"/>
    <w:rsid w:val="0037513C"/>
    <w:rsid w:val="00375F35"/>
    <w:rsid w:val="00376B0A"/>
    <w:rsid w:val="0038005D"/>
    <w:rsid w:val="00384F40"/>
    <w:rsid w:val="003C2C5E"/>
    <w:rsid w:val="003C7A9D"/>
    <w:rsid w:val="003D7902"/>
    <w:rsid w:val="003E42AE"/>
    <w:rsid w:val="003E6576"/>
    <w:rsid w:val="0040305B"/>
    <w:rsid w:val="004146A8"/>
    <w:rsid w:val="004245F7"/>
    <w:rsid w:val="00434919"/>
    <w:rsid w:val="00450040"/>
    <w:rsid w:val="00461BFF"/>
    <w:rsid w:val="00461CAB"/>
    <w:rsid w:val="004737C6"/>
    <w:rsid w:val="004871A4"/>
    <w:rsid w:val="0048781A"/>
    <w:rsid w:val="0049479C"/>
    <w:rsid w:val="004A53F6"/>
    <w:rsid w:val="004A6450"/>
    <w:rsid w:val="004A6B7A"/>
    <w:rsid w:val="004B3FDF"/>
    <w:rsid w:val="004B6535"/>
    <w:rsid w:val="004B7146"/>
    <w:rsid w:val="004D2749"/>
    <w:rsid w:val="004D7EBA"/>
    <w:rsid w:val="004D7FB8"/>
    <w:rsid w:val="004E2C7A"/>
    <w:rsid w:val="004E3765"/>
    <w:rsid w:val="004E3CEF"/>
    <w:rsid w:val="004E42A4"/>
    <w:rsid w:val="004E7D4E"/>
    <w:rsid w:val="004F3A74"/>
    <w:rsid w:val="004F74BE"/>
    <w:rsid w:val="00533E0F"/>
    <w:rsid w:val="005360D9"/>
    <w:rsid w:val="00556097"/>
    <w:rsid w:val="0055714B"/>
    <w:rsid w:val="00562A47"/>
    <w:rsid w:val="0056401C"/>
    <w:rsid w:val="00573743"/>
    <w:rsid w:val="00575335"/>
    <w:rsid w:val="00576E8A"/>
    <w:rsid w:val="00580435"/>
    <w:rsid w:val="00591168"/>
    <w:rsid w:val="005B091C"/>
    <w:rsid w:val="005B099A"/>
    <w:rsid w:val="005B4172"/>
    <w:rsid w:val="005D0B9A"/>
    <w:rsid w:val="005D5236"/>
    <w:rsid w:val="005E4971"/>
    <w:rsid w:val="005E7553"/>
    <w:rsid w:val="00612773"/>
    <w:rsid w:val="006321C7"/>
    <w:rsid w:val="00632F8F"/>
    <w:rsid w:val="00655F57"/>
    <w:rsid w:val="006652EE"/>
    <w:rsid w:val="006726F2"/>
    <w:rsid w:val="00684958"/>
    <w:rsid w:val="00696034"/>
    <w:rsid w:val="006A141B"/>
    <w:rsid w:val="006A6CEF"/>
    <w:rsid w:val="006B150E"/>
    <w:rsid w:val="006D00BB"/>
    <w:rsid w:val="006D760B"/>
    <w:rsid w:val="006E39EE"/>
    <w:rsid w:val="006E5204"/>
    <w:rsid w:val="006E5DD6"/>
    <w:rsid w:val="00726E56"/>
    <w:rsid w:val="00727ADC"/>
    <w:rsid w:val="0073688A"/>
    <w:rsid w:val="00744CC9"/>
    <w:rsid w:val="00750318"/>
    <w:rsid w:val="00751F70"/>
    <w:rsid w:val="00753B8D"/>
    <w:rsid w:val="00754757"/>
    <w:rsid w:val="00755FC1"/>
    <w:rsid w:val="007628A1"/>
    <w:rsid w:val="00777D35"/>
    <w:rsid w:val="0078001B"/>
    <w:rsid w:val="007A21A2"/>
    <w:rsid w:val="007A5FA8"/>
    <w:rsid w:val="007B09B1"/>
    <w:rsid w:val="007B791F"/>
    <w:rsid w:val="007C087F"/>
    <w:rsid w:val="007C32C5"/>
    <w:rsid w:val="007E0E40"/>
    <w:rsid w:val="007E381B"/>
    <w:rsid w:val="007F4A6D"/>
    <w:rsid w:val="007F6A0B"/>
    <w:rsid w:val="00805184"/>
    <w:rsid w:val="00812BDC"/>
    <w:rsid w:val="00827839"/>
    <w:rsid w:val="008339F5"/>
    <w:rsid w:val="00834AB2"/>
    <w:rsid w:val="0083691D"/>
    <w:rsid w:val="00887FC9"/>
    <w:rsid w:val="00892EA4"/>
    <w:rsid w:val="00897F56"/>
    <w:rsid w:val="008B31BB"/>
    <w:rsid w:val="008B6ACF"/>
    <w:rsid w:val="00923704"/>
    <w:rsid w:val="00933433"/>
    <w:rsid w:val="00936492"/>
    <w:rsid w:val="00936AB7"/>
    <w:rsid w:val="00940846"/>
    <w:rsid w:val="00945C71"/>
    <w:rsid w:val="009470FB"/>
    <w:rsid w:val="009673E6"/>
    <w:rsid w:val="00970859"/>
    <w:rsid w:val="009807F2"/>
    <w:rsid w:val="00982670"/>
    <w:rsid w:val="00983012"/>
    <w:rsid w:val="00985C2D"/>
    <w:rsid w:val="00994C0F"/>
    <w:rsid w:val="009A3F66"/>
    <w:rsid w:val="009B1153"/>
    <w:rsid w:val="009B2EF9"/>
    <w:rsid w:val="009D16A6"/>
    <w:rsid w:val="009E1C02"/>
    <w:rsid w:val="009E32B0"/>
    <w:rsid w:val="009E6C4A"/>
    <w:rsid w:val="009F1B7B"/>
    <w:rsid w:val="009F2905"/>
    <w:rsid w:val="00A00800"/>
    <w:rsid w:val="00A01B71"/>
    <w:rsid w:val="00A056D4"/>
    <w:rsid w:val="00A16C65"/>
    <w:rsid w:val="00A20A2F"/>
    <w:rsid w:val="00A2134F"/>
    <w:rsid w:val="00A31429"/>
    <w:rsid w:val="00A475A7"/>
    <w:rsid w:val="00A610B4"/>
    <w:rsid w:val="00A6184A"/>
    <w:rsid w:val="00A628E3"/>
    <w:rsid w:val="00A6747E"/>
    <w:rsid w:val="00A676F4"/>
    <w:rsid w:val="00A70836"/>
    <w:rsid w:val="00A77C6A"/>
    <w:rsid w:val="00A77D24"/>
    <w:rsid w:val="00A81A17"/>
    <w:rsid w:val="00A838AC"/>
    <w:rsid w:val="00A94282"/>
    <w:rsid w:val="00A9449D"/>
    <w:rsid w:val="00A94F5C"/>
    <w:rsid w:val="00AA37F5"/>
    <w:rsid w:val="00AC5824"/>
    <w:rsid w:val="00AD0872"/>
    <w:rsid w:val="00AD61A3"/>
    <w:rsid w:val="00AE4238"/>
    <w:rsid w:val="00AE4CD3"/>
    <w:rsid w:val="00B03026"/>
    <w:rsid w:val="00B04638"/>
    <w:rsid w:val="00B10BFE"/>
    <w:rsid w:val="00B36DB0"/>
    <w:rsid w:val="00B40F1C"/>
    <w:rsid w:val="00B418BD"/>
    <w:rsid w:val="00B438F0"/>
    <w:rsid w:val="00B47683"/>
    <w:rsid w:val="00B54DE0"/>
    <w:rsid w:val="00B55675"/>
    <w:rsid w:val="00B55936"/>
    <w:rsid w:val="00B56827"/>
    <w:rsid w:val="00B6020C"/>
    <w:rsid w:val="00B63A35"/>
    <w:rsid w:val="00B745D0"/>
    <w:rsid w:val="00B81D99"/>
    <w:rsid w:val="00B87AB8"/>
    <w:rsid w:val="00BA206D"/>
    <w:rsid w:val="00BB11DF"/>
    <w:rsid w:val="00BC4807"/>
    <w:rsid w:val="00BD4CFD"/>
    <w:rsid w:val="00BE083D"/>
    <w:rsid w:val="00BF0F76"/>
    <w:rsid w:val="00C03892"/>
    <w:rsid w:val="00C10C19"/>
    <w:rsid w:val="00C16760"/>
    <w:rsid w:val="00C17C16"/>
    <w:rsid w:val="00C210B0"/>
    <w:rsid w:val="00C2154F"/>
    <w:rsid w:val="00C30786"/>
    <w:rsid w:val="00C41F4B"/>
    <w:rsid w:val="00C62B59"/>
    <w:rsid w:val="00C63DEF"/>
    <w:rsid w:val="00C77308"/>
    <w:rsid w:val="00C81752"/>
    <w:rsid w:val="00C86D62"/>
    <w:rsid w:val="00C86F4E"/>
    <w:rsid w:val="00C93DCE"/>
    <w:rsid w:val="00CA2E59"/>
    <w:rsid w:val="00CA47C5"/>
    <w:rsid w:val="00CD3CC5"/>
    <w:rsid w:val="00CE76F9"/>
    <w:rsid w:val="00CF25BE"/>
    <w:rsid w:val="00D030A1"/>
    <w:rsid w:val="00D10C99"/>
    <w:rsid w:val="00D17099"/>
    <w:rsid w:val="00D2598F"/>
    <w:rsid w:val="00D34656"/>
    <w:rsid w:val="00D349A6"/>
    <w:rsid w:val="00D8734D"/>
    <w:rsid w:val="00D91C4E"/>
    <w:rsid w:val="00D964AF"/>
    <w:rsid w:val="00DA522E"/>
    <w:rsid w:val="00DA6F7D"/>
    <w:rsid w:val="00DC3C3C"/>
    <w:rsid w:val="00DD124B"/>
    <w:rsid w:val="00DE1749"/>
    <w:rsid w:val="00DE490F"/>
    <w:rsid w:val="00DF1010"/>
    <w:rsid w:val="00DF74B6"/>
    <w:rsid w:val="00E34205"/>
    <w:rsid w:val="00E46824"/>
    <w:rsid w:val="00E61DE3"/>
    <w:rsid w:val="00E65D3B"/>
    <w:rsid w:val="00E76F53"/>
    <w:rsid w:val="00E8108A"/>
    <w:rsid w:val="00E81239"/>
    <w:rsid w:val="00E850FD"/>
    <w:rsid w:val="00E94C7B"/>
    <w:rsid w:val="00E97ED4"/>
    <w:rsid w:val="00EA0A82"/>
    <w:rsid w:val="00EA33C3"/>
    <w:rsid w:val="00EB4594"/>
    <w:rsid w:val="00ED190A"/>
    <w:rsid w:val="00ED2BA5"/>
    <w:rsid w:val="00ED34E9"/>
    <w:rsid w:val="00EE28A9"/>
    <w:rsid w:val="00EE63D7"/>
    <w:rsid w:val="00EE7CF7"/>
    <w:rsid w:val="00EF1CF0"/>
    <w:rsid w:val="00F00979"/>
    <w:rsid w:val="00F03C56"/>
    <w:rsid w:val="00F21165"/>
    <w:rsid w:val="00F2271C"/>
    <w:rsid w:val="00F23BE3"/>
    <w:rsid w:val="00F23FF2"/>
    <w:rsid w:val="00F25AC0"/>
    <w:rsid w:val="00F300F7"/>
    <w:rsid w:val="00F415DF"/>
    <w:rsid w:val="00F64475"/>
    <w:rsid w:val="00F75D73"/>
    <w:rsid w:val="00F95939"/>
    <w:rsid w:val="00FB7EA5"/>
    <w:rsid w:val="00FC3912"/>
    <w:rsid w:val="00FC5374"/>
    <w:rsid w:val="00FC5614"/>
    <w:rsid w:val="00FC79FF"/>
    <w:rsid w:val="00FE3383"/>
    <w:rsid w:val="00FF2B6C"/>
    <w:rsid w:val="00FF73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B295866"/>
  <w15:docId w15:val="{2F459603-FA66-47D8-B254-DEBD9E9B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39"/>
    <w:pPr>
      <w:jc w:val="both"/>
    </w:pPr>
    <w:rPr>
      <w:rFonts w:ascii="Times New Roman" w:eastAsia="Times New Roman" w:hAnsi="Times New Roman"/>
      <w:sz w:val="24"/>
      <w:lang w:val="en-US"/>
    </w:rPr>
  </w:style>
  <w:style w:type="paragraph" w:styleId="Ttulo1">
    <w:name w:val="heading 1"/>
    <w:basedOn w:val="Normal"/>
    <w:next w:val="Normal"/>
    <w:link w:val="Ttulo1Char"/>
    <w:qFormat/>
    <w:rsid w:val="00827839"/>
    <w:pPr>
      <w:keepNext/>
      <w:spacing w:before="240" w:after="60"/>
      <w:outlineLvl w:val="0"/>
    </w:pPr>
    <w:rPr>
      <w:rFonts w:ascii="Arial" w:hAnsi="Arial"/>
      <w:b/>
      <w:kern w:val="28"/>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27839"/>
    <w:rPr>
      <w:rFonts w:ascii="Arial" w:eastAsia="Times New Roman" w:hAnsi="Arial" w:cs="Times New Roman"/>
      <w:b/>
      <w:kern w:val="28"/>
      <w:sz w:val="28"/>
      <w:szCs w:val="20"/>
      <w:lang w:val="en-US" w:eastAsia="pt-BR"/>
    </w:rPr>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character" w:customStyle="1" w:styleId="RodapChar">
    <w:name w:val="Rodapé Char"/>
    <w:link w:val="Rodap"/>
    <w:semiHidden/>
    <w:rsid w:val="00827839"/>
    <w:rPr>
      <w:rFonts w:ascii="Verdana" w:eastAsia="Times New Roman" w:hAnsi="Verdana" w:cs="Times New Roman"/>
      <w:smallCaps/>
      <w:sz w:val="10"/>
      <w:szCs w:val="20"/>
      <w:lang w:val="en-US" w:eastAsia="pt-BR"/>
    </w:rPr>
  </w:style>
  <w:style w:type="character" w:styleId="Nmerodepgina">
    <w:name w:val="page number"/>
    <w:semiHidden/>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rsid w:val="00827839"/>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rsid w:val="00DF1010"/>
    <w:pPr>
      <w:widowControl w:val="0"/>
      <w:tabs>
        <w:tab w:val="left" w:pos="284"/>
      </w:tabs>
      <w:spacing w:after="120"/>
      <w:jc w:val="left"/>
    </w:pPr>
    <w:rPr>
      <w:rFonts w:ascii="Arial" w:hAnsi="Arial" w:cs="Arial"/>
      <w:kern w:val="16"/>
      <w:sz w:val="20"/>
      <w:lang w:val="en-GB" w:eastAsia="en-US"/>
    </w:rPr>
  </w:style>
  <w:style w:type="paragraph" w:customStyle="1" w:styleId="IDpaper-heading2">
    <w:name w:val="IDpaper-heading2"/>
    <w:basedOn w:val="Normal"/>
    <w:rsid w:val="00DF1010"/>
    <w:pPr>
      <w:widowControl w:val="0"/>
      <w:tabs>
        <w:tab w:val="left" w:pos="284"/>
      </w:tabs>
      <w:spacing w:before="240" w:after="120"/>
      <w:jc w:val="left"/>
    </w:pPr>
    <w:rPr>
      <w:rFonts w:ascii="Arial" w:hAnsi="Arial" w:cs="Arial"/>
      <w:b/>
      <w:bCs/>
      <w:kern w:val="16"/>
      <w:sz w:val="20"/>
      <w:lang w:val="en-GB" w:eastAsia="en-US"/>
    </w:rPr>
  </w:style>
  <w:style w:type="paragraph" w:styleId="Textodebalo">
    <w:name w:val="Balloon Text"/>
    <w:basedOn w:val="Normal"/>
    <w:link w:val="TextodebaloChar"/>
    <w:uiPriority w:val="99"/>
    <w:semiHidden/>
    <w:unhideWhenUsed/>
    <w:rsid w:val="00A16C65"/>
    <w:rPr>
      <w:rFonts w:ascii="Lucida Grande" w:hAnsi="Lucida Grande" w:cs="Lucida Grande"/>
      <w:sz w:val="18"/>
      <w:szCs w:val="18"/>
    </w:rPr>
  </w:style>
  <w:style w:type="character" w:customStyle="1" w:styleId="TextodebaloChar">
    <w:name w:val="Texto de balão Char"/>
    <w:link w:val="Textodebalo"/>
    <w:uiPriority w:val="99"/>
    <w:semiHidden/>
    <w:rsid w:val="00A16C65"/>
    <w:rPr>
      <w:rFonts w:ascii="Lucida Grande" w:eastAsia="Times New Roman" w:hAnsi="Lucida Grande" w:cs="Lucida Grande"/>
      <w:sz w:val="18"/>
      <w:szCs w:val="18"/>
      <w:lang w:val="en-US" w:eastAsia="pt-BR"/>
    </w:rPr>
  </w:style>
  <w:style w:type="paragraph" w:styleId="Legenda">
    <w:name w:val="caption"/>
    <w:basedOn w:val="Normal"/>
    <w:next w:val="Normal"/>
    <w:uiPriority w:val="35"/>
    <w:unhideWhenUsed/>
    <w:qFormat/>
    <w:rsid w:val="00C210B0"/>
    <w:pPr>
      <w:spacing w:after="200"/>
    </w:pPr>
    <w:rPr>
      <w:b/>
      <w:bCs/>
      <w:color w:val="4F81BD"/>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character" w:customStyle="1" w:styleId="CabealhoChar">
    <w:name w:val="Cabeçalho Char"/>
    <w:link w:val="Cabealho"/>
    <w:uiPriority w:val="99"/>
    <w:rsid w:val="00777D35"/>
    <w:rPr>
      <w:rFonts w:ascii="Times New Roman" w:eastAsia="Times New Roman" w:hAnsi="Times New Roman" w:cs="Times New Roman"/>
      <w:sz w:val="24"/>
      <w:szCs w:val="20"/>
      <w:lang w:val="en-US" w:eastAsia="pt-BR"/>
    </w:rPr>
  </w:style>
  <w:style w:type="paragraph" w:styleId="Textodenotaderodap">
    <w:name w:val="footnote text"/>
    <w:basedOn w:val="Normal"/>
    <w:link w:val="TextodenotaderodapChar"/>
    <w:uiPriority w:val="99"/>
    <w:unhideWhenUsed/>
    <w:rsid w:val="00777D35"/>
    <w:rPr>
      <w:szCs w:val="24"/>
    </w:rPr>
  </w:style>
  <w:style w:type="character" w:customStyle="1" w:styleId="TextodenotaderodapChar">
    <w:name w:val="Texto de nota de rodapé Char"/>
    <w:link w:val="Textodenotaderodap"/>
    <w:uiPriority w:val="99"/>
    <w:rsid w:val="00777D35"/>
    <w:rPr>
      <w:rFonts w:ascii="Times New Roman" w:eastAsia="Times New Roman" w:hAnsi="Times New Roman" w:cs="Times New Roman"/>
      <w:sz w:val="24"/>
      <w:szCs w:val="24"/>
      <w:lang w:val="en-US" w:eastAsia="pt-BR"/>
    </w:rPr>
  </w:style>
  <w:style w:type="character" w:styleId="Refdenotaderodap">
    <w:name w:val="footnote reference"/>
    <w:uiPriority w:val="99"/>
    <w:unhideWhenUsed/>
    <w:rsid w:val="00777D35"/>
    <w:rPr>
      <w:vertAlign w:val="superscript"/>
    </w:rPr>
  </w:style>
  <w:style w:type="paragraph" w:styleId="MapadoDocumento">
    <w:name w:val="Document Map"/>
    <w:basedOn w:val="Normal"/>
    <w:link w:val="MapadoDocumentoChar"/>
    <w:uiPriority w:val="99"/>
    <w:semiHidden/>
    <w:unhideWhenUsed/>
    <w:rsid w:val="00342D36"/>
    <w:rPr>
      <w:rFonts w:ascii="Lucida Grande" w:hAnsi="Lucida Grande" w:cs="Lucida Grande"/>
      <w:szCs w:val="24"/>
    </w:rPr>
  </w:style>
  <w:style w:type="character" w:customStyle="1" w:styleId="MapadoDocumentoChar">
    <w:name w:val="Mapa do Documento Char"/>
    <w:link w:val="MapadoDocumento"/>
    <w:uiPriority w:val="99"/>
    <w:semiHidden/>
    <w:rsid w:val="00342D36"/>
    <w:rPr>
      <w:rFonts w:ascii="Lucida Grande" w:eastAsia="Times New Roman" w:hAnsi="Lucida Grande" w:cs="Lucida Grande"/>
      <w:sz w:val="24"/>
      <w:szCs w:val="24"/>
      <w:lang w:val="en-US" w:eastAsia="pt-BR"/>
    </w:rPr>
  </w:style>
  <w:style w:type="paragraph" w:styleId="Reviso">
    <w:name w:val="Revision"/>
    <w:hidden/>
    <w:uiPriority w:val="99"/>
    <w:semiHidden/>
    <w:rsid w:val="00342D36"/>
    <w:rPr>
      <w:rFonts w:ascii="Times New Roman" w:eastAsia="Times New Roman" w:hAnsi="Times New Roman"/>
      <w:sz w:val="24"/>
      <w:lang w:val="en-US"/>
    </w:rPr>
  </w:style>
  <w:style w:type="table" w:styleId="Tabelacomgrade">
    <w:name w:val="Table Grid"/>
    <w:basedOn w:val="Tabelanormal"/>
    <w:uiPriority w:val="59"/>
    <w:rsid w:val="00B74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qFormat/>
    <w:rsid w:val="007628A1"/>
    <w:pPr>
      <w:jc w:val="center"/>
    </w:pPr>
    <w:rPr>
      <w:rFonts w:ascii="Tahoma" w:hAnsi="Tahoma" w:cs="Tahoma"/>
      <w:b/>
      <w:bCs/>
      <w:color w:val="0066FF"/>
      <w:sz w:val="28"/>
      <w:szCs w:val="28"/>
      <w:lang w:val="pt-BR"/>
    </w:rPr>
  </w:style>
  <w:style w:type="character" w:customStyle="1" w:styleId="TtuloChar">
    <w:name w:val="Título Char"/>
    <w:link w:val="Ttulo"/>
    <w:rsid w:val="007628A1"/>
    <w:rPr>
      <w:rFonts w:ascii="Tahoma" w:eastAsia="Times New Roman" w:hAnsi="Tahoma" w:cs="Tahoma"/>
      <w:b/>
      <w:bCs/>
      <w:color w:val="0066FF"/>
      <w:sz w:val="28"/>
      <w:szCs w:val="28"/>
      <w:lang w:eastAsia="pt-BR"/>
    </w:rPr>
  </w:style>
  <w:style w:type="table" w:styleId="TabelaSimples4">
    <w:name w:val="Plain Table 4"/>
    <w:basedOn w:val="Tabelanormal"/>
    <w:uiPriority w:val="44"/>
    <w:rsid w:val="008369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link w:val="SubttuloChar"/>
    <w:uiPriority w:val="11"/>
    <w:qFormat/>
    <w:rsid w:val="00575335"/>
    <w:pPr>
      <w:numPr>
        <w:numId w:val="10"/>
      </w:numPr>
      <w:spacing w:before="240" w:after="120"/>
      <w:ind w:left="357" w:hanging="357"/>
    </w:pPr>
    <w:rPr>
      <w:rFonts w:ascii="Arial" w:hAnsi="Arial"/>
      <w:b/>
      <w:spacing w:val="15"/>
      <w:szCs w:val="22"/>
      <w:lang w:val="pt-BR" w:eastAsia="en-US"/>
    </w:rPr>
  </w:style>
  <w:style w:type="character" w:customStyle="1" w:styleId="SubttuloChar">
    <w:name w:val="Subtítulo Char"/>
    <w:link w:val="Subttulo"/>
    <w:uiPriority w:val="11"/>
    <w:rsid w:val="00575335"/>
    <w:rPr>
      <w:rFonts w:ascii="Arial" w:eastAsia="Times New Roman" w:hAnsi="Arial"/>
      <w:b/>
      <w:spacing w:val="15"/>
      <w:sz w:val="24"/>
      <w:szCs w:val="22"/>
      <w:lang w:eastAsia="en-US"/>
    </w:rPr>
  </w:style>
  <w:style w:type="table" w:styleId="TabeladeLista6Colorida">
    <w:name w:val="List Table 6 Colorful"/>
    <w:basedOn w:val="Tabelanormal"/>
    <w:uiPriority w:val="51"/>
    <w:rsid w:val="00D964A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mples2">
    <w:name w:val="Plain Table 2"/>
    <w:basedOn w:val="Tabelanormal"/>
    <w:uiPriority w:val="42"/>
    <w:rsid w:val="00D964A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oPendente">
    <w:name w:val="Unresolved Mention"/>
    <w:basedOn w:val="Fontepargpadro"/>
    <w:uiPriority w:val="99"/>
    <w:semiHidden/>
    <w:unhideWhenUsed/>
    <w:rsid w:val="002435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15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arquivos.proderj.rj.gov.br/inea_imagens/downloads/cerhi/ResCERHI_107_RHs_AprovCERHI_Aprov12jun13.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ceivap.org.br/conteudo/relsituacao2018.pdf" TargetMode="External"/><Relationship Id="rId17" Type="http://schemas.openxmlformats.org/officeDocument/2006/relationships/hyperlink" Target="http://www.mma.gov.br/phocadownloadpap/ods_ex/ods6-ods-indicadores-e.xlsx%3e%20Acesso%2002%20de%20dezembro%20de%202018" TargetMode="External"/><Relationship Id="rId2" Type="http://schemas.openxmlformats.org/officeDocument/2006/relationships/numbering" Target="numbering.xml"/><Relationship Id="rId16" Type="http://schemas.openxmlformats.org/officeDocument/2006/relationships/hyperlink" Target="http://arquivos.proderj.rj.gov.br/inea_imagens/downloads/cerhi/ResCERHI_107_RHs_AprovCERHI_Aprov12jun13.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arquivos.proderj.rj.gov.br/inea_imagens/downloads/cerhi/ResCERHI_107_RHs_AprovCERHI_Aprov12jun13.pdf"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arquivos.proderj.rj.gov.br/inea_imagens/downloads/cerhi/ResCERHI_107_RHs_AprovCERHI_Aprov12jun13.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480DC-FC24-4AE1-9AE6-9FFF95ACE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4287</Words>
  <Characters>23150</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Antonio Eraldo Rodrigues Simoes Riscado Junior</cp:lastModifiedBy>
  <cp:revision>2</cp:revision>
  <cp:lastPrinted>2014-09-05T00:41:00Z</cp:lastPrinted>
  <dcterms:created xsi:type="dcterms:W3CDTF">2023-03-30T23:28:00Z</dcterms:created>
  <dcterms:modified xsi:type="dcterms:W3CDTF">2023-03-30T23:28:00Z</dcterms:modified>
</cp:coreProperties>
</file>