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866A" w14:textId="63ECB80B" w:rsidR="00890706" w:rsidRPr="00281687" w:rsidRDefault="00D62259" w:rsidP="00890706">
      <w:pPr>
        <w:spacing w:after="120"/>
        <w:jc w:val="center"/>
        <w:rPr>
          <w:sz w:val="20"/>
          <w:lang w:val="pt-BR"/>
        </w:rPr>
      </w:pPr>
      <w:r w:rsidRPr="00281687">
        <w:rPr>
          <w:b/>
          <w:sz w:val="28"/>
          <w:szCs w:val="28"/>
          <w:lang w:val="pt-BR"/>
        </w:rPr>
        <w:t xml:space="preserve">Pesquisa em </w:t>
      </w:r>
      <w:r w:rsidR="00BD633E" w:rsidRPr="00281687">
        <w:rPr>
          <w:b/>
          <w:sz w:val="28"/>
          <w:szCs w:val="28"/>
          <w:lang w:val="pt-BR"/>
        </w:rPr>
        <w:t xml:space="preserve">Sistemas Produto-Serviço no Brasil: uma análise </w:t>
      </w:r>
      <w:r w:rsidRPr="00281687">
        <w:rPr>
          <w:b/>
          <w:sz w:val="28"/>
          <w:szCs w:val="28"/>
          <w:lang w:val="pt-BR"/>
        </w:rPr>
        <w:t>dos grupos em instituições superiores de ensino</w:t>
      </w:r>
    </w:p>
    <w:p w14:paraId="02A7760A" w14:textId="77777777" w:rsidR="00890706" w:rsidRPr="00281687" w:rsidRDefault="00890706" w:rsidP="00890706">
      <w:pPr>
        <w:spacing w:after="120"/>
        <w:jc w:val="center"/>
        <w:rPr>
          <w:color w:val="A6A6A6"/>
          <w:sz w:val="28"/>
          <w:szCs w:val="28"/>
          <w:lang w:val="pt-BR"/>
        </w:rPr>
      </w:pPr>
    </w:p>
    <w:p w14:paraId="6D6815D4" w14:textId="77777777" w:rsidR="00890706" w:rsidRPr="00281687" w:rsidRDefault="00890706" w:rsidP="00890706">
      <w:pPr>
        <w:spacing w:after="120"/>
        <w:jc w:val="center"/>
        <w:rPr>
          <w:b/>
          <w:sz w:val="28"/>
          <w:szCs w:val="28"/>
          <w:lang w:val="pt-BR"/>
        </w:rPr>
      </w:pPr>
    </w:p>
    <w:p w14:paraId="4D1A48B3" w14:textId="4BEA6927" w:rsidR="00890706" w:rsidRPr="00281687" w:rsidRDefault="00D62259" w:rsidP="00890706">
      <w:pPr>
        <w:spacing w:after="120"/>
        <w:jc w:val="center"/>
        <w:rPr>
          <w:b/>
          <w:i/>
          <w:sz w:val="28"/>
          <w:szCs w:val="28"/>
          <w:lang w:val="pt-BR"/>
        </w:rPr>
      </w:pPr>
      <w:proofErr w:type="spellStart"/>
      <w:r w:rsidRPr="00281687">
        <w:rPr>
          <w:b/>
          <w:i/>
          <w:sz w:val="28"/>
          <w:szCs w:val="28"/>
          <w:lang w:val="pt-BR"/>
        </w:rPr>
        <w:t>Research</w:t>
      </w:r>
      <w:proofErr w:type="spellEnd"/>
      <w:r w:rsidRPr="00281687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281687">
        <w:rPr>
          <w:b/>
          <w:i/>
          <w:sz w:val="28"/>
          <w:szCs w:val="28"/>
          <w:lang w:val="pt-BR"/>
        </w:rPr>
        <w:t>on</w:t>
      </w:r>
      <w:proofErr w:type="spellEnd"/>
      <w:r w:rsidRPr="00281687">
        <w:rPr>
          <w:b/>
          <w:i/>
          <w:sz w:val="28"/>
          <w:szCs w:val="28"/>
          <w:lang w:val="pt-BR"/>
        </w:rPr>
        <w:t xml:space="preserve"> Product-Service Systems in </w:t>
      </w:r>
      <w:proofErr w:type="spellStart"/>
      <w:r w:rsidRPr="00281687">
        <w:rPr>
          <w:b/>
          <w:i/>
          <w:sz w:val="28"/>
          <w:szCs w:val="28"/>
          <w:lang w:val="pt-BR"/>
        </w:rPr>
        <w:t>Brazil</w:t>
      </w:r>
      <w:proofErr w:type="spellEnd"/>
      <w:r w:rsidRPr="00281687">
        <w:rPr>
          <w:b/>
          <w:i/>
          <w:sz w:val="28"/>
          <w:szCs w:val="28"/>
          <w:lang w:val="pt-BR"/>
        </w:rPr>
        <w:t xml:space="preserve">: </w:t>
      </w:r>
      <w:proofErr w:type="spellStart"/>
      <w:r w:rsidRPr="00281687">
        <w:rPr>
          <w:b/>
          <w:i/>
          <w:sz w:val="28"/>
          <w:szCs w:val="28"/>
          <w:lang w:val="pt-BR"/>
        </w:rPr>
        <w:t>an</w:t>
      </w:r>
      <w:proofErr w:type="spellEnd"/>
      <w:r w:rsidRPr="00281687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281687">
        <w:rPr>
          <w:b/>
          <w:i/>
          <w:sz w:val="28"/>
          <w:szCs w:val="28"/>
          <w:lang w:val="pt-BR"/>
        </w:rPr>
        <w:t>analysis</w:t>
      </w:r>
      <w:proofErr w:type="spellEnd"/>
      <w:r w:rsidRPr="00281687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281687">
        <w:rPr>
          <w:b/>
          <w:i/>
          <w:sz w:val="28"/>
          <w:szCs w:val="28"/>
          <w:lang w:val="pt-BR"/>
        </w:rPr>
        <w:t>of</w:t>
      </w:r>
      <w:proofErr w:type="spellEnd"/>
      <w:r w:rsidRPr="00281687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281687">
        <w:rPr>
          <w:b/>
          <w:i/>
          <w:sz w:val="28"/>
          <w:szCs w:val="28"/>
          <w:lang w:val="pt-BR"/>
        </w:rPr>
        <w:t>groups</w:t>
      </w:r>
      <w:proofErr w:type="spellEnd"/>
      <w:r w:rsidRPr="00281687">
        <w:rPr>
          <w:b/>
          <w:i/>
          <w:sz w:val="28"/>
          <w:szCs w:val="28"/>
          <w:lang w:val="pt-BR"/>
        </w:rPr>
        <w:t xml:space="preserve"> in </w:t>
      </w:r>
      <w:proofErr w:type="spellStart"/>
      <w:r w:rsidRPr="00281687">
        <w:rPr>
          <w:b/>
          <w:i/>
          <w:sz w:val="28"/>
          <w:szCs w:val="28"/>
          <w:lang w:val="pt-BR"/>
        </w:rPr>
        <w:t>higher</w:t>
      </w:r>
      <w:proofErr w:type="spellEnd"/>
      <w:r w:rsidRPr="00281687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281687">
        <w:rPr>
          <w:b/>
          <w:i/>
          <w:sz w:val="28"/>
          <w:szCs w:val="28"/>
          <w:lang w:val="pt-BR"/>
        </w:rPr>
        <w:t>education</w:t>
      </w:r>
      <w:proofErr w:type="spellEnd"/>
      <w:r w:rsidRPr="00281687">
        <w:rPr>
          <w:b/>
          <w:i/>
          <w:sz w:val="28"/>
          <w:szCs w:val="28"/>
          <w:lang w:val="pt-BR"/>
        </w:rPr>
        <w:t xml:space="preserve"> </w:t>
      </w:r>
      <w:proofErr w:type="spellStart"/>
      <w:r w:rsidRPr="00281687">
        <w:rPr>
          <w:b/>
          <w:i/>
          <w:sz w:val="28"/>
          <w:szCs w:val="28"/>
          <w:lang w:val="pt-BR"/>
        </w:rPr>
        <w:t>institutions</w:t>
      </w:r>
      <w:proofErr w:type="spellEnd"/>
    </w:p>
    <w:p w14:paraId="03E1A639" w14:textId="77777777" w:rsidR="00890706" w:rsidRPr="00281687" w:rsidRDefault="00890706" w:rsidP="00890706">
      <w:pPr>
        <w:spacing w:after="120"/>
        <w:rPr>
          <w:color w:val="A6A6A6"/>
          <w:sz w:val="28"/>
          <w:szCs w:val="28"/>
          <w:lang w:val="pt-BR"/>
        </w:rPr>
      </w:pPr>
    </w:p>
    <w:p w14:paraId="02B2873E" w14:textId="7126AFF7" w:rsidR="00890706" w:rsidRPr="00281687" w:rsidRDefault="00281687" w:rsidP="00890706">
      <w:pPr>
        <w:spacing w:after="120"/>
        <w:jc w:val="left"/>
        <w:rPr>
          <w:szCs w:val="24"/>
          <w:lang w:val="pt-BR"/>
        </w:rPr>
      </w:pPr>
      <w:r w:rsidRPr="00281687">
        <w:rPr>
          <w:b/>
          <w:szCs w:val="24"/>
          <w:lang w:val="pt-BR"/>
        </w:rPr>
        <w:t>Matheus Pereira Ferreira Ventura</w:t>
      </w:r>
      <w:r w:rsidR="00890706" w:rsidRPr="00281687">
        <w:rPr>
          <w:b/>
          <w:szCs w:val="24"/>
          <w:lang w:val="pt-BR"/>
        </w:rPr>
        <w:t xml:space="preserve">, </w:t>
      </w:r>
      <w:r w:rsidRPr="00281687">
        <w:rPr>
          <w:b/>
          <w:szCs w:val="24"/>
          <w:lang w:val="pt-BR"/>
        </w:rPr>
        <w:t>designer</w:t>
      </w:r>
      <w:r w:rsidR="00890706" w:rsidRPr="00281687">
        <w:rPr>
          <w:b/>
          <w:szCs w:val="24"/>
          <w:lang w:val="pt-BR"/>
        </w:rPr>
        <w:t xml:space="preserve">, </w:t>
      </w:r>
      <w:r w:rsidRPr="00281687">
        <w:rPr>
          <w:b/>
          <w:szCs w:val="24"/>
          <w:lang w:val="pt-BR"/>
        </w:rPr>
        <w:t>Universidade Federal do Rio de Janeiro</w:t>
      </w:r>
    </w:p>
    <w:p w14:paraId="15FB0149" w14:textId="038DF705" w:rsidR="00890706" w:rsidRPr="00281687" w:rsidRDefault="00281687" w:rsidP="00890706">
      <w:pPr>
        <w:spacing w:after="120"/>
        <w:jc w:val="left"/>
        <w:rPr>
          <w:sz w:val="20"/>
          <w:lang w:val="pt-BR"/>
        </w:rPr>
      </w:pPr>
      <w:hyperlink r:id="rId8" w:history="1">
        <w:r w:rsidRPr="00FE3CF7">
          <w:rPr>
            <w:rStyle w:val="Hyperlink"/>
            <w:szCs w:val="24"/>
            <w:lang w:val="pt-BR"/>
          </w:rPr>
          <w:t>matheus.ventura@coppe.ufrj.br</w:t>
        </w:r>
      </w:hyperlink>
      <w:r>
        <w:rPr>
          <w:szCs w:val="24"/>
          <w:lang w:val="pt-BR"/>
        </w:rPr>
        <w:t xml:space="preserve"> </w:t>
      </w:r>
    </w:p>
    <w:p w14:paraId="02BE8CF8" w14:textId="77777777" w:rsidR="00890706" w:rsidRPr="00281687" w:rsidRDefault="00890706" w:rsidP="00890706">
      <w:pPr>
        <w:spacing w:after="120"/>
        <w:jc w:val="left"/>
        <w:rPr>
          <w:sz w:val="20"/>
          <w:lang w:val="pt-BR"/>
        </w:rPr>
      </w:pPr>
    </w:p>
    <w:p w14:paraId="3A9F9E7A" w14:textId="2CE8FD7F" w:rsidR="00827839" w:rsidRPr="00281687" w:rsidRDefault="00890706" w:rsidP="00890706">
      <w:pPr>
        <w:spacing w:after="120"/>
        <w:jc w:val="left"/>
        <w:rPr>
          <w:b/>
          <w:sz w:val="22"/>
          <w:szCs w:val="22"/>
          <w:lang w:val="pt-BR"/>
        </w:rPr>
      </w:pPr>
      <w:r w:rsidRPr="00281687">
        <w:rPr>
          <w:b/>
          <w:szCs w:val="24"/>
          <w:lang w:val="pt-BR"/>
        </w:rPr>
        <w:t>Resumo</w:t>
      </w:r>
    </w:p>
    <w:p w14:paraId="188F7C2C" w14:textId="6EB33CC1" w:rsidR="00DC3C3C" w:rsidRPr="00281687" w:rsidRDefault="00D95AAA" w:rsidP="00EB52FE">
      <w:pPr>
        <w:spacing w:after="120"/>
        <w:rPr>
          <w:sz w:val="22"/>
          <w:szCs w:val="22"/>
          <w:lang w:val="pt-BR"/>
        </w:rPr>
      </w:pPr>
      <w:r w:rsidRPr="00281687">
        <w:rPr>
          <w:sz w:val="22"/>
          <w:szCs w:val="22"/>
          <w:lang w:val="pt-BR"/>
        </w:rPr>
        <w:t>A busca por alternativas sustentáveis de consumo tem levado o setor produtivo e a academia a se aprofundarem n</w:t>
      </w:r>
      <w:r w:rsidR="00EB52FE" w:rsidRPr="00281687">
        <w:rPr>
          <w:sz w:val="22"/>
          <w:szCs w:val="22"/>
          <w:lang w:val="pt-BR"/>
        </w:rPr>
        <w:t>a temática d</w:t>
      </w:r>
      <w:r w:rsidRPr="00281687">
        <w:rPr>
          <w:sz w:val="22"/>
          <w:szCs w:val="22"/>
          <w:lang w:val="pt-BR"/>
        </w:rPr>
        <w:t xml:space="preserve">os Sistemas Produto-Serviço (PSS). Neste sentido, o presente artigo traz um panorama dos grupos de pesquisa no Brasil </w:t>
      </w:r>
      <w:r w:rsidR="00EB52FE" w:rsidRPr="00281687">
        <w:rPr>
          <w:sz w:val="22"/>
          <w:szCs w:val="22"/>
          <w:lang w:val="pt-BR"/>
        </w:rPr>
        <w:t xml:space="preserve">que mencionem </w:t>
      </w:r>
      <w:r w:rsidRPr="00281687">
        <w:rPr>
          <w:sz w:val="22"/>
          <w:szCs w:val="22"/>
          <w:lang w:val="pt-BR"/>
        </w:rPr>
        <w:t>PSS, e dentre eles, os que também abordem a temática da Sustentabilidade. A partir do método de revisão sistemática da literatura, buscas foram realizadas no Diretório de Grupos de Pesquisa do Conselho Nacional de Desenvolvimento Científico e Tecnológico.</w:t>
      </w:r>
      <w:r w:rsidR="00EB52FE" w:rsidRPr="00281687">
        <w:rPr>
          <w:sz w:val="22"/>
          <w:szCs w:val="22"/>
          <w:lang w:val="pt-BR"/>
        </w:rPr>
        <w:t xml:space="preserve"> São identificados </w:t>
      </w:r>
      <w:r w:rsidR="00A464F1" w:rsidRPr="00281687">
        <w:rPr>
          <w:sz w:val="22"/>
          <w:szCs w:val="22"/>
          <w:lang w:val="pt-BR"/>
        </w:rPr>
        <w:t>treze</w:t>
      </w:r>
      <w:r w:rsidR="00EB52FE" w:rsidRPr="00281687">
        <w:rPr>
          <w:sz w:val="22"/>
          <w:szCs w:val="22"/>
          <w:lang w:val="pt-BR"/>
        </w:rPr>
        <w:t xml:space="preserve"> grupos, dos quais </w:t>
      </w:r>
      <w:r w:rsidR="00A464F1" w:rsidRPr="00281687">
        <w:rPr>
          <w:sz w:val="22"/>
          <w:szCs w:val="22"/>
          <w:lang w:val="pt-BR"/>
        </w:rPr>
        <w:t>nove</w:t>
      </w:r>
      <w:r w:rsidR="00EB52FE" w:rsidRPr="00281687">
        <w:rPr>
          <w:sz w:val="22"/>
          <w:szCs w:val="22"/>
          <w:lang w:val="pt-BR"/>
        </w:rPr>
        <w:t xml:space="preserve"> também mencionam sustentabilidade em algum nível. As análises permitem perceber que os grupos se concentram na região sul do país e na área da Engenharia de Produção. Com esses dados, a finalidade deste artigo é compreender a situação atual da pesquisa acadêmica sobre PSS no Brasil.</w:t>
      </w:r>
    </w:p>
    <w:p w14:paraId="539B7342" w14:textId="77777777" w:rsidR="00321E9E" w:rsidRPr="00281687" w:rsidRDefault="00321E9E" w:rsidP="00E97ED4">
      <w:pPr>
        <w:spacing w:after="120"/>
        <w:rPr>
          <w:color w:val="A6A6A6"/>
          <w:sz w:val="22"/>
          <w:szCs w:val="22"/>
          <w:lang w:val="pt-BR"/>
        </w:rPr>
      </w:pPr>
    </w:p>
    <w:p w14:paraId="0DA18B90" w14:textId="0E54C74C" w:rsidR="00827839" w:rsidRPr="00281687" w:rsidRDefault="00827839" w:rsidP="009A3F66">
      <w:pPr>
        <w:spacing w:after="120"/>
        <w:jc w:val="left"/>
        <w:rPr>
          <w:sz w:val="22"/>
          <w:szCs w:val="22"/>
          <w:lang w:val="pt-BR"/>
        </w:rPr>
      </w:pPr>
      <w:r w:rsidRPr="00281687">
        <w:rPr>
          <w:b/>
          <w:szCs w:val="24"/>
          <w:lang w:val="pt-BR"/>
        </w:rPr>
        <w:t>Palavras-chave</w:t>
      </w:r>
      <w:r w:rsidRPr="00281687">
        <w:rPr>
          <w:b/>
          <w:sz w:val="22"/>
          <w:szCs w:val="22"/>
          <w:lang w:val="pt-BR"/>
        </w:rPr>
        <w:t>:</w:t>
      </w:r>
      <w:r w:rsidR="00321E9E" w:rsidRPr="00281687">
        <w:rPr>
          <w:b/>
          <w:sz w:val="22"/>
          <w:szCs w:val="22"/>
          <w:lang w:val="pt-BR"/>
        </w:rPr>
        <w:t xml:space="preserve"> </w:t>
      </w:r>
      <w:r w:rsidR="001268E8" w:rsidRPr="00281687">
        <w:rPr>
          <w:sz w:val="22"/>
          <w:szCs w:val="22"/>
          <w:lang w:val="pt-BR"/>
        </w:rPr>
        <w:t>Sistema Produto-Serviço</w:t>
      </w:r>
      <w:r w:rsidR="00A77D24" w:rsidRPr="00281687">
        <w:rPr>
          <w:sz w:val="22"/>
          <w:szCs w:val="22"/>
          <w:lang w:val="pt-BR"/>
        </w:rPr>
        <w:t>;</w:t>
      </w:r>
      <w:r w:rsidR="00321E9E" w:rsidRPr="00281687">
        <w:rPr>
          <w:sz w:val="22"/>
          <w:szCs w:val="22"/>
          <w:lang w:val="pt-BR"/>
        </w:rPr>
        <w:t xml:space="preserve"> </w:t>
      </w:r>
      <w:r w:rsidR="001268E8" w:rsidRPr="00281687">
        <w:rPr>
          <w:sz w:val="22"/>
          <w:szCs w:val="22"/>
          <w:lang w:val="pt-BR"/>
        </w:rPr>
        <w:t>Sustentabilidade</w:t>
      </w:r>
      <w:r w:rsidR="00A77D24" w:rsidRPr="00281687">
        <w:rPr>
          <w:sz w:val="22"/>
          <w:szCs w:val="22"/>
          <w:lang w:val="pt-BR"/>
        </w:rPr>
        <w:t>;</w:t>
      </w:r>
      <w:r w:rsidR="00321E9E" w:rsidRPr="00281687">
        <w:rPr>
          <w:sz w:val="22"/>
          <w:szCs w:val="22"/>
          <w:lang w:val="pt-BR"/>
        </w:rPr>
        <w:t xml:space="preserve"> </w:t>
      </w:r>
      <w:r w:rsidR="001268E8" w:rsidRPr="00281687">
        <w:rPr>
          <w:sz w:val="22"/>
          <w:szCs w:val="22"/>
          <w:lang w:val="pt-BR"/>
        </w:rPr>
        <w:t>Engenharia de Produção</w:t>
      </w:r>
    </w:p>
    <w:p w14:paraId="0973CBF6" w14:textId="155254D3" w:rsidR="007C087F" w:rsidRPr="00281687" w:rsidRDefault="007C087F" w:rsidP="00E97ED4">
      <w:pPr>
        <w:spacing w:after="120"/>
        <w:rPr>
          <w:color w:val="A6A6A6"/>
          <w:sz w:val="22"/>
          <w:szCs w:val="22"/>
          <w:lang w:val="pt-BR"/>
        </w:rPr>
      </w:pPr>
    </w:p>
    <w:p w14:paraId="3A645C22" w14:textId="77777777" w:rsidR="00827839" w:rsidRPr="00281687" w:rsidRDefault="00827839" w:rsidP="00E97ED4">
      <w:pPr>
        <w:spacing w:after="120"/>
        <w:rPr>
          <w:b/>
          <w:i/>
          <w:color w:val="A6A6A6"/>
          <w:sz w:val="22"/>
          <w:szCs w:val="22"/>
          <w:lang w:val="pt-BR"/>
        </w:rPr>
      </w:pPr>
      <w:r w:rsidRPr="00281687">
        <w:rPr>
          <w:b/>
          <w:i/>
          <w:szCs w:val="24"/>
          <w:lang w:val="pt-BR"/>
        </w:rPr>
        <w:t>Abstrac</w:t>
      </w:r>
      <w:r w:rsidRPr="00281687">
        <w:rPr>
          <w:b/>
          <w:i/>
          <w:sz w:val="22"/>
          <w:szCs w:val="22"/>
          <w:lang w:val="pt-BR"/>
        </w:rPr>
        <w:t>t</w:t>
      </w:r>
    </w:p>
    <w:p w14:paraId="372F4DEF" w14:textId="57233BA5" w:rsidR="00170328" w:rsidRPr="00281687" w:rsidRDefault="00A464F1" w:rsidP="00E97ED4">
      <w:pPr>
        <w:widowControl w:val="0"/>
        <w:autoSpaceDE w:val="0"/>
        <w:autoSpaceDN w:val="0"/>
        <w:adjustRightInd w:val="0"/>
        <w:spacing w:after="120"/>
        <w:rPr>
          <w:i/>
          <w:sz w:val="22"/>
          <w:szCs w:val="22"/>
          <w:lang w:val="pt-BR"/>
        </w:rPr>
      </w:pPr>
      <w:r w:rsidRPr="00281687">
        <w:rPr>
          <w:i/>
          <w:sz w:val="22"/>
          <w:szCs w:val="22"/>
          <w:lang w:val="pt-BR"/>
        </w:rPr>
        <w:t xml:space="preserve">The </w:t>
      </w:r>
      <w:proofErr w:type="spellStart"/>
      <w:r w:rsidRPr="00281687">
        <w:rPr>
          <w:i/>
          <w:sz w:val="22"/>
          <w:szCs w:val="22"/>
          <w:lang w:val="pt-BR"/>
        </w:rPr>
        <w:t>search</w:t>
      </w:r>
      <w:proofErr w:type="spellEnd"/>
      <w:r w:rsidRPr="00281687">
        <w:rPr>
          <w:i/>
          <w:sz w:val="22"/>
          <w:szCs w:val="22"/>
          <w:lang w:val="pt-BR"/>
        </w:rPr>
        <w:t xml:space="preserve"> for </w:t>
      </w:r>
      <w:proofErr w:type="spellStart"/>
      <w:r w:rsidRPr="00281687">
        <w:rPr>
          <w:i/>
          <w:sz w:val="22"/>
          <w:szCs w:val="22"/>
          <w:lang w:val="pt-BR"/>
        </w:rPr>
        <w:t>sustainable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consumption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alternatives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has</w:t>
      </w:r>
      <w:proofErr w:type="spellEnd"/>
      <w:r w:rsidRPr="00281687">
        <w:rPr>
          <w:i/>
          <w:sz w:val="22"/>
          <w:szCs w:val="22"/>
          <w:lang w:val="pt-BR"/>
        </w:rPr>
        <w:t xml:space="preserve"> led </w:t>
      </w:r>
      <w:proofErr w:type="spellStart"/>
      <w:r w:rsidRPr="00281687">
        <w:rPr>
          <w:i/>
          <w:sz w:val="22"/>
          <w:szCs w:val="22"/>
          <w:lang w:val="pt-BR"/>
        </w:rPr>
        <w:t>both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productive</w:t>
      </w:r>
      <w:proofErr w:type="spellEnd"/>
      <w:r w:rsidRPr="00281687">
        <w:rPr>
          <w:i/>
          <w:sz w:val="22"/>
          <w:szCs w:val="22"/>
          <w:lang w:val="pt-BR"/>
        </w:rPr>
        <w:t xml:space="preserve"> sector </w:t>
      </w:r>
      <w:proofErr w:type="spellStart"/>
      <w:r w:rsidRPr="00281687">
        <w:rPr>
          <w:i/>
          <w:sz w:val="22"/>
          <w:szCs w:val="22"/>
          <w:lang w:val="pt-BR"/>
        </w:rPr>
        <w:t>and</w:t>
      </w:r>
      <w:proofErr w:type="spellEnd"/>
      <w:r w:rsidRPr="00281687">
        <w:rPr>
          <w:i/>
          <w:sz w:val="22"/>
          <w:szCs w:val="22"/>
          <w:lang w:val="pt-BR"/>
        </w:rPr>
        <w:t xml:space="preserve"> academia </w:t>
      </w:r>
      <w:proofErr w:type="spellStart"/>
      <w:r w:rsidRPr="00281687">
        <w:rPr>
          <w:i/>
          <w:sz w:val="22"/>
          <w:szCs w:val="22"/>
          <w:lang w:val="pt-BR"/>
        </w:rPr>
        <w:t>to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delve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deeper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into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topic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of</w:t>
      </w:r>
      <w:proofErr w:type="spellEnd"/>
      <w:r w:rsidRPr="00281687">
        <w:rPr>
          <w:i/>
          <w:sz w:val="22"/>
          <w:szCs w:val="22"/>
          <w:lang w:val="pt-BR"/>
        </w:rPr>
        <w:t xml:space="preserve"> Product-Service Systems (PSS). In </w:t>
      </w:r>
      <w:proofErr w:type="spellStart"/>
      <w:r w:rsidRPr="00281687">
        <w:rPr>
          <w:i/>
          <w:sz w:val="22"/>
          <w:szCs w:val="22"/>
          <w:lang w:val="pt-BR"/>
        </w:rPr>
        <w:t>this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sense</w:t>
      </w:r>
      <w:proofErr w:type="spellEnd"/>
      <w:r w:rsidRPr="00281687">
        <w:rPr>
          <w:i/>
          <w:sz w:val="22"/>
          <w:szCs w:val="22"/>
          <w:lang w:val="pt-BR"/>
        </w:rPr>
        <w:t xml:space="preserve">, </w:t>
      </w:r>
      <w:proofErr w:type="spellStart"/>
      <w:r w:rsidRPr="00281687">
        <w:rPr>
          <w:i/>
          <w:sz w:val="22"/>
          <w:szCs w:val="22"/>
          <w:lang w:val="pt-BR"/>
        </w:rPr>
        <w:t>this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article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presents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an</w:t>
      </w:r>
      <w:proofErr w:type="spellEnd"/>
      <w:r w:rsidRPr="00281687">
        <w:rPr>
          <w:i/>
          <w:sz w:val="22"/>
          <w:szCs w:val="22"/>
          <w:lang w:val="pt-BR"/>
        </w:rPr>
        <w:t xml:space="preserve"> overview </w:t>
      </w:r>
      <w:proofErr w:type="spellStart"/>
      <w:r w:rsidRPr="00281687">
        <w:rPr>
          <w:i/>
          <w:sz w:val="22"/>
          <w:szCs w:val="22"/>
          <w:lang w:val="pt-BR"/>
        </w:rPr>
        <w:t>of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research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groups</w:t>
      </w:r>
      <w:proofErr w:type="spellEnd"/>
      <w:r w:rsidRPr="00281687">
        <w:rPr>
          <w:i/>
          <w:sz w:val="22"/>
          <w:szCs w:val="22"/>
          <w:lang w:val="pt-BR"/>
        </w:rPr>
        <w:t xml:space="preserve"> in </w:t>
      </w:r>
      <w:proofErr w:type="spellStart"/>
      <w:r w:rsidRPr="00281687">
        <w:rPr>
          <w:i/>
          <w:sz w:val="22"/>
          <w:szCs w:val="22"/>
          <w:lang w:val="pt-BR"/>
        </w:rPr>
        <w:t>Brazil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that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mention</w:t>
      </w:r>
      <w:proofErr w:type="spellEnd"/>
      <w:r w:rsidRPr="00281687">
        <w:rPr>
          <w:i/>
          <w:sz w:val="22"/>
          <w:szCs w:val="22"/>
          <w:lang w:val="pt-BR"/>
        </w:rPr>
        <w:t xml:space="preserve"> PSS, </w:t>
      </w:r>
      <w:proofErr w:type="spellStart"/>
      <w:r w:rsidRPr="00281687">
        <w:rPr>
          <w:i/>
          <w:sz w:val="22"/>
          <w:szCs w:val="22"/>
          <w:lang w:val="pt-BR"/>
        </w:rPr>
        <w:t>and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among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them</w:t>
      </w:r>
      <w:proofErr w:type="spellEnd"/>
      <w:r w:rsidRPr="00281687">
        <w:rPr>
          <w:i/>
          <w:sz w:val="22"/>
          <w:szCs w:val="22"/>
          <w:lang w:val="pt-BR"/>
        </w:rPr>
        <w:t xml:space="preserve">, </w:t>
      </w:r>
      <w:proofErr w:type="spellStart"/>
      <w:r w:rsidRPr="00281687">
        <w:rPr>
          <w:i/>
          <w:sz w:val="22"/>
          <w:szCs w:val="22"/>
          <w:lang w:val="pt-BR"/>
        </w:rPr>
        <w:t>those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that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also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address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topic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of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sustainability</w:t>
      </w:r>
      <w:proofErr w:type="spellEnd"/>
      <w:r w:rsidRPr="00281687">
        <w:rPr>
          <w:i/>
          <w:sz w:val="22"/>
          <w:szCs w:val="22"/>
          <w:lang w:val="pt-BR"/>
        </w:rPr>
        <w:t xml:space="preserve">. </w:t>
      </w:r>
      <w:proofErr w:type="spellStart"/>
      <w:r w:rsidRPr="00281687">
        <w:rPr>
          <w:i/>
          <w:sz w:val="22"/>
          <w:szCs w:val="22"/>
          <w:lang w:val="pt-BR"/>
        </w:rPr>
        <w:t>Using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systematic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literature</w:t>
      </w:r>
      <w:proofErr w:type="spellEnd"/>
      <w:r w:rsidRPr="00281687">
        <w:rPr>
          <w:i/>
          <w:sz w:val="22"/>
          <w:szCs w:val="22"/>
          <w:lang w:val="pt-BR"/>
        </w:rPr>
        <w:t xml:space="preserve"> review </w:t>
      </w:r>
      <w:proofErr w:type="spellStart"/>
      <w:r w:rsidRPr="00281687">
        <w:rPr>
          <w:i/>
          <w:sz w:val="22"/>
          <w:szCs w:val="22"/>
          <w:lang w:val="pt-BR"/>
        </w:rPr>
        <w:t>method</w:t>
      </w:r>
      <w:proofErr w:type="spellEnd"/>
      <w:r w:rsidRPr="00281687">
        <w:rPr>
          <w:i/>
          <w:sz w:val="22"/>
          <w:szCs w:val="22"/>
          <w:lang w:val="pt-BR"/>
        </w:rPr>
        <w:t xml:space="preserve">, </w:t>
      </w:r>
      <w:proofErr w:type="spellStart"/>
      <w:r w:rsidRPr="00281687">
        <w:rPr>
          <w:i/>
          <w:sz w:val="22"/>
          <w:szCs w:val="22"/>
          <w:lang w:val="pt-BR"/>
        </w:rPr>
        <w:t>searches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were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carried</w:t>
      </w:r>
      <w:proofErr w:type="spellEnd"/>
      <w:r w:rsidRPr="00281687">
        <w:rPr>
          <w:i/>
          <w:sz w:val="22"/>
          <w:szCs w:val="22"/>
          <w:lang w:val="pt-BR"/>
        </w:rPr>
        <w:t xml:space="preserve"> out in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Directory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of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Research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Groups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of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National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Council</w:t>
      </w:r>
      <w:proofErr w:type="spellEnd"/>
      <w:r w:rsidRPr="00281687">
        <w:rPr>
          <w:i/>
          <w:sz w:val="22"/>
          <w:szCs w:val="22"/>
          <w:lang w:val="pt-BR"/>
        </w:rPr>
        <w:t xml:space="preserve"> for </w:t>
      </w:r>
      <w:proofErr w:type="spellStart"/>
      <w:r w:rsidRPr="00281687">
        <w:rPr>
          <w:i/>
          <w:sz w:val="22"/>
          <w:szCs w:val="22"/>
          <w:lang w:val="pt-BR"/>
        </w:rPr>
        <w:t>Scientific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and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Technological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Development</w:t>
      </w:r>
      <w:proofErr w:type="spellEnd"/>
      <w:r w:rsidRPr="00281687">
        <w:rPr>
          <w:i/>
          <w:sz w:val="22"/>
          <w:szCs w:val="22"/>
          <w:lang w:val="pt-BR"/>
        </w:rPr>
        <w:t xml:space="preserve">. </w:t>
      </w:r>
      <w:proofErr w:type="spellStart"/>
      <w:r w:rsidRPr="00281687">
        <w:rPr>
          <w:i/>
          <w:sz w:val="22"/>
          <w:szCs w:val="22"/>
          <w:lang w:val="pt-BR"/>
        </w:rPr>
        <w:t>Thirteen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groups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were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identified</w:t>
      </w:r>
      <w:proofErr w:type="spellEnd"/>
      <w:r w:rsidRPr="00281687">
        <w:rPr>
          <w:i/>
          <w:sz w:val="22"/>
          <w:szCs w:val="22"/>
          <w:lang w:val="pt-BR"/>
        </w:rPr>
        <w:t xml:space="preserve">, </w:t>
      </w:r>
      <w:proofErr w:type="spellStart"/>
      <w:r w:rsidRPr="00281687">
        <w:rPr>
          <w:i/>
          <w:sz w:val="22"/>
          <w:szCs w:val="22"/>
          <w:lang w:val="pt-BR"/>
        </w:rPr>
        <w:t>of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which</w:t>
      </w:r>
      <w:proofErr w:type="spellEnd"/>
      <w:r w:rsidRPr="00281687">
        <w:rPr>
          <w:i/>
          <w:sz w:val="22"/>
          <w:szCs w:val="22"/>
          <w:lang w:val="pt-BR"/>
        </w:rPr>
        <w:t xml:space="preserve"> nine </w:t>
      </w:r>
      <w:proofErr w:type="spellStart"/>
      <w:r w:rsidRPr="00281687">
        <w:rPr>
          <w:i/>
          <w:sz w:val="22"/>
          <w:szCs w:val="22"/>
          <w:lang w:val="pt-BR"/>
        </w:rPr>
        <w:t>also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mention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sustainability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at</w:t>
      </w:r>
      <w:proofErr w:type="spellEnd"/>
      <w:r w:rsidRPr="00281687">
        <w:rPr>
          <w:i/>
          <w:sz w:val="22"/>
          <w:szCs w:val="22"/>
          <w:lang w:val="pt-BR"/>
        </w:rPr>
        <w:t xml:space="preserve"> some </w:t>
      </w:r>
      <w:proofErr w:type="spellStart"/>
      <w:r w:rsidRPr="00281687">
        <w:rPr>
          <w:i/>
          <w:sz w:val="22"/>
          <w:szCs w:val="22"/>
          <w:lang w:val="pt-BR"/>
        </w:rPr>
        <w:t>level</w:t>
      </w:r>
      <w:proofErr w:type="spellEnd"/>
      <w:r w:rsidRPr="00281687">
        <w:rPr>
          <w:i/>
          <w:sz w:val="22"/>
          <w:szCs w:val="22"/>
          <w:lang w:val="pt-BR"/>
        </w:rPr>
        <w:t xml:space="preserve">. The </w:t>
      </w:r>
      <w:proofErr w:type="spellStart"/>
      <w:r w:rsidRPr="00281687">
        <w:rPr>
          <w:i/>
          <w:sz w:val="22"/>
          <w:szCs w:val="22"/>
          <w:lang w:val="pt-BR"/>
        </w:rPr>
        <w:t>analysis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allows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us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to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perceive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that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groups</w:t>
      </w:r>
      <w:proofErr w:type="spellEnd"/>
      <w:r w:rsidRPr="00281687">
        <w:rPr>
          <w:i/>
          <w:sz w:val="22"/>
          <w:szCs w:val="22"/>
          <w:lang w:val="pt-BR"/>
        </w:rPr>
        <w:t xml:space="preserve"> are </w:t>
      </w:r>
      <w:proofErr w:type="spellStart"/>
      <w:r w:rsidRPr="00281687">
        <w:rPr>
          <w:i/>
          <w:sz w:val="22"/>
          <w:szCs w:val="22"/>
          <w:lang w:val="pt-BR"/>
        </w:rPr>
        <w:t>concentrated</w:t>
      </w:r>
      <w:proofErr w:type="spellEnd"/>
      <w:r w:rsidRPr="00281687">
        <w:rPr>
          <w:i/>
          <w:sz w:val="22"/>
          <w:szCs w:val="22"/>
          <w:lang w:val="pt-BR"/>
        </w:rPr>
        <w:t xml:space="preserve"> in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southern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region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of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country </w:t>
      </w:r>
      <w:proofErr w:type="spellStart"/>
      <w:r w:rsidRPr="00281687">
        <w:rPr>
          <w:i/>
          <w:sz w:val="22"/>
          <w:szCs w:val="22"/>
          <w:lang w:val="pt-BR"/>
        </w:rPr>
        <w:t>and</w:t>
      </w:r>
      <w:proofErr w:type="spellEnd"/>
      <w:r w:rsidRPr="00281687">
        <w:rPr>
          <w:i/>
          <w:sz w:val="22"/>
          <w:szCs w:val="22"/>
          <w:lang w:val="pt-BR"/>
        </w:rPr>
        <w:t xml:space="preserve"> in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field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of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Production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Engineering</w:t>
      </w:r>
      <w:proofErr w:type="spellEnd"/>
      <w:r w:rsidRPr="00281687">
        <w:rPr>
          <w:i/>
          <w:sz w:val="22"/>
          <w:szCs w:val="22"/>
          <w:lang w:val="pt-BR"/>
        </w:rPr>
        <w:t xml:space="preserve">. </w:t>
      </w:r>
      <w:proofErr w:type="spellStart"/>
      <w:r w:rsidRPr="00281687">
        <w:rPr>
          <w:i/>
          <w:sz w:val="22"/>
          <w:szCs w:val="22"/>
          <w:lang w:val="pt-BR"/>
        </w:rPr>
        <w:t>With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these</w:t>
      </w:r>
      <w:proofErr w:type="spellEnd"/>
      <w:r w:rsidRPr="00281687">
        <w:rPr>
          <w:i/>
          <w:sz w:val="22"/>
          <w:szCs w:val="22"/>
          <w:lang w:val="pt-BR"/>
        </w:rPr>
        <w:t xml:space="preserve"> data,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purpose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of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this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article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is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to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understand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the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current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state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of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academic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research</w:t>
      </w:r>
      <w:proofErr w:type="spellEnd"/>
      <w:r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Pr="00281687">
        <w:rPr>
          <w:i/>
          <w:sz w:val="22"/>
          <w:szCs w:val="22"/>
          <w:lang w:val="pt-BR"/>
        </w:rPr>
        <w:t>on</w:t>
      </w:r>
      <w:proofErr w:type="spellEnd"/>
      <w:r w:rsidRPr="00281687">
        <w:rPr>
          <w:i/>
          <w:sz w:val="22"/>
          <w:szCs w:val="22"/>
          <w:lang w:val="pt-BR"/>
        </w:rPr>
        <w:t xml:space="preserve"> PSS in </w:t>
      </w:r>
      <w:proofErr w:type="spellStart"/>
      <w:r w:rsidRPr="00281687">
        <w:rPr>
          <w:i/>
          <w:sz w:val="22"/>
          <w:szCs w:val="22"/>
          <w:lang w:val="pt-BR"/>
        </w:rPr>
        <w:t>Brazil</w:t>
      </w:r>
      <w:proofErr w:type="spellEnd"/>
      <w:r w:rsidRPr="00281687">
        <w:rPr>
          <w:i/>
          <w:sz w:val="22"/>
          <w:szCs w:val="22"/>
          <w:lang w:val="pt-BR"/>
        </w:rPr>
        <w:t>.</w:t>
      </w:r>
      <w:r w:rsidR="004B7146" w:rsidRPr="00281687">
        <w:rPr>
          <w:i/>
          <w:sz w:val="22"/>
          <w:szCs w:val="22"/>
          <w:lang w:val="pt-BR"/>
        </w:rPr>
        <w:t xml:space="preserve"> </w:t>
      </w:r>
    </w:p>
    <w:p w14:paraId="2CCD8B8A" w14:textId="77777777" w:rsidR="00BF0F76" w:rsidRPr="00281687" w:rsidRDefault="00BF0F76" w:rsidP="00E97ED4">
      <w:pPr>
        <w:spacing w:after="120"/>
        <w:rPr>
          <w:color w:val="A6A6A6"/>
          <w:sz w:val="22"/>
          <w:szCs w:val="22"/>
          <w:lang w:val="pt-BR"/>
        </w:rPr>
      </w:pPr>
    </w:p>
    <w:p w14:paraId="3B2D4C24" w14:textId="3BD707C4" w:rsidR="00CF033F" w:rsidRPr="00281687" w:rsidRDefault="00141364" w:rsidP="00890706">
      <w:pPr>
        <w:spacing w:after="120"/>
        <w:jc w:val="left"/>
        <w:rPr>
          <w:i/>
          <w:sz w:val="22"/>
          <w:szCs w:val="22"/>
          <w:lang w:val="pt-BR"/>
        </w:rPr>
      </w:pPr>
      <w:r w:rsidRPr="00281687">
        <w:rPr>
          <w:b/>
          <w:i/>
          <w:szCs w:val="24"/>
          <w:lang w:val="pt-BR"/>
        </w:rPr>
        <w:t>K</w:t>
      </w:r>
      <w:r w:rsidR="000F5978" w:rsidRPr="00281687">
        <w:rPr>
          <w:b/>
          <w:i/>
          <w:szCs w:val="24"/>
          <w:lang w:val="pt-BR"/>
        </w:rPr>
        <w:t>ey</w:t>
      </w:r>
      <w:r w:rsidR="00827839" w:rsidRPr="00281687">
        <w:rPr>
          <w:b/>
          <w:i/>
          <w:szCs w:val="24"/>
          <w:lang w:val="pt-BR"/>
        </w:rPr>
        <w:t>words:</w:t>
      </w:r>
      <w:r w:rsidR="00BF0F76" w:rsidRPr="00281687">
        <w:rPr>
          <w:b/>
          <w:i/>
          <w:szCs w:val="24"/>
          <w:lang w:val="pt-BR"/>
        </w:rPr>
        <w:t xml:space="preserve"> </w:t>
      </w:r>
      <w:r w:rsidR="00D95AAA" w:rsidRPr="00281687">
        <w:rPr>
          <w:i/>
          <w:sz w:val="22"/>
          <w:szCs w:val="22"/>
          <w:lang w:val="pt-BR"/>
        </w:rPr>
        <w:t>Product-Service System</w:t>
      </w:r>
      <w:r w:rsidR="006D00BB" w:rsidRPr="00281687">
        <w:rPr>
          <w:i/>
          <w:sz w:val="22"/>
          <w:szCs w:val="22"/>
          <w:lang w:val="pt-BR"/>
        </w:rPr>
        <w:t>;</w:t>
      </w:r>
      <w:r w:rsidR="00BF0F76" w:rsidRPr="00281687">
        <w:rPr>
          <w:i/>
          <w:sz w:val="22"/>
          <w:szCs w:val="22"/>
          <w:lang w:val="pt-BR"/>
        </w:rPr>
        <w:t xml:space="preserve"> </w:t>
      </w:r>
      <w:r w:rsidR="00D95AAA" w:rsidRPr="00281687">
        <w:rPr>
          <w:i/>
          <w:sz w:val="22"/>
          <w:szCs w:val="22"/>
          <w:lang w:val="pt-BR"/>
        </w:rPr>
        <w:t>Sustainability</w:t>
      </w:r>
      <w:r w:rsidR="006D00BB" w:rsidRPr="00281687">
        <w:rPr>
          <w:i/>
          <w:sz w:val="22"/>
          <w:szCs w:val="22"/>
          <w:lang w:val="pt-BR"/>
        </w:rPr>
        <w:t>;</w:t>
      </w:r>
      <w:r w:rsidR="00BF0F76"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="00D95AAA" w:rsidRPr="00281687">
        <w:rPr>
          <w:i/>
          <w:sz w:val="22"/>
          <w:szCs w:val="22"/>
          <w:lang w:val="pt-BR"/>
        </w:rPr>
        <w:t>Production</w:t>
      </w:r>
      <w:proofErr w:type="spellEnd"/>
      <w:r w:rsidR="00D95AAA" w:rsidRPr="00281687">
        <w:rPr>
          <w:i/>
          <w:sz w:val="22"/>
          <w:szCs w:val="22"/>
          <w:lang w:val="pt-BR"/>
        </w:rPr>
        <w:t xml:space="preserve"> </w:t>
      </w:r>
      <w:proofErr w:type="spellStart"/>
      <w:r w:rsidR="00D95AAA" w:rsidRPr="00281687">
        <w:rPr>
          <w:i/>
          <w:sz w:val="22"/>
          <w:szCs w:val="22"/>
          <w:lang w:val="pt-BR"/>
        </w:rPr>
        <w:t>Engineering</w:t>
      </w:r>
      <w:proofErr w:type="spellEnd"/>
      <w:r w:rsidR="00CF033F" w:rsidRPr="00281687">
        <w:rPr>
          <w:i/>
          <w:sz w:val="22"/>
          <w:szCs w:val="22"/>
          <w:lang w:val="pt-BR"/>
        </w:rPr>
        <w:br w:type="page"/>
      </w:r>
    </w:p>
    <w:p w14:paraId="152F5CA2" w14:textId="6107BF1F" w:rsidR="004245F7" w:rsidRPr="00281687" w:rsidRDefault="006D00BB" w:rsidP="00CF033F">
      <w:pPr>
        <w:pStyle w:val="ListParagraph"/>
        <w:numPr>
          <w:ilvl w:val="0"/>
          <w:numId w:val="13"/>
        </w:numPr>
        <w:spacing w:after="120"/>
        <w:rPr>
          <w:b/>
          <w:szCs w:val="24"/>
          <w:lang w:val="pt-BR"/>
        </w:rPr>
      </w:pPr>
      <w:r w:rsidRPr="00281687">
        <w:rPr>
          <w:b/>
          <w:szCs w:val="24"/>
          <w:lang w:val="pt-BR"/>
        </w:rPr>
        <w:lastRenderedPageBreak/>
        <w:t>Introdução</w:t>
      </w:r>
    </w:p>
    <w:p w14:paraId="55016DAB" w14:textId="77777777" w:rsidR="004E7D4E" w:rsidRPr="00281687" w:rsidRDefault="004E7D4E" w:rsidP="00F301BC">
      <w:pPr>
        <w:spacing w:after="120"/>
        <w:ind w:firstLine="284"/>
        <w:rPr>
          <w:color w:val="A6A6A6"/>
          <w:szCs w:val="24"/>
          <w:lang w:val="pt-BR"/>
        </w:rPr>
      </w:pPr>
    </w:p>
    <w:p w14:paraId="64B7D6BE" w14:textId="46948443" w:rsidR="00BE083D" w:rsidRPr="00281687" w:rsidRDefault="000F3C6B" w:rsidP="00A015AB">
      <w:pPr>
        <w:spacing w:after="120"/>
        <w:ind w:firstLine="360"/>
        <w:rPr>
          <w:szCs w:val="24"/>
          <w:lang w:val="pt-BR"/>
        </w:rPr>
      </w:pPr>
      <w:r w:rsidRPr="00281687">
        <w:rPr>
          <w:szCs w:val="24"/>
          <w:lang w:val="pt-BR"/>
        </w:rPr>
        <w:t>Os serviço</w:t>
      </w:r>
      <w:r w:rsidR="00A015AB" w:rsidRPr="00281687">
        <w:rPr>
          <w:szCs w:val="24"/>
          <w:lang w:val="pt-BR"/>
        </w:rPr>
        <w:t>s</w:t>
      </w:r>
      <w:r w:rsidR="003D4E9A" w:rsidRPr="00281687">
        <w:rPr>
          <w:szCs w:val="24"/>
          <w:lang w:val="pt-BR"/>
        </w:rPr>
        <w:t xml:space="preserve"> representam um importante pilar na economia global, sendo responsável por 65,7% do PIB mundial segundo o World Bank (2023). No Brasil o setor </w:t>
      </w:r>
      <w:r w:rsidR="00A015AB" w:rsidRPr="00281687">
        <w:rPr>
          <w:szCs w:val="24"/>
          <w:lang w:val="pt-BR"/>
        </w:rPr>
        <w:t>representa</w:t>
      </w:r>
      <w:r w:rsidR="003D4E9A" w:rsidRPr="00281687">
        <w:rPr>
          <w:szCs w:val="24"/>
          <w:lang w:val="pt-BR"/>
        </w:rPr>
        <w:t xml:space="preserve"> aproximadamente 70% do PIB nacional, com um crescimento de 8,3% no último ano de acordo com o IBGE (2022</w:t>
      </w:r>
      <w:r w:rsidR="00A464F1" w:rsidRPr="00281687">
        <w:rPr>
          <w:szCs w:val="24"/>
          <w:lang w:val="pt-BR"/>
        </w:rPr>
        <w:t>a</w:t>
      </w:r>
      <w:r w:rsidR="003D4E9A" w:rsidRPr="00281687">
        <w:rPr>
          <w:szCs w:val="24"/>
          <w:lang w:val="pt-BR"/>
        </w:rPr>
        <w:t>).</w:t>
      </w:r>
      <w:r w:rsidR="00261D1F" w:rsidRPr="00281687">
        <w:rPr>
          <w:szCs w:val="24"/>
          <w:lang w:val="pt-BR"/>
        </w:rPr>
        <w:t xml:space="preserve"> Já o setor de comércio varejista, que inclui desde roupas e eletrodomésticos a produtos alimentícios e combustíveis, fechou o ano de 2022 com um crescimento de apenas 1% (IBGE, 2022</w:t>
      </w:r>
      <w:r w:rsidR="00A464F1" w:rsidRPr="00281687">
        <w:rPr>
          <w:szCs w:val="24"/>
          <w:lang w:val="pt-BR"/>
        </w:rPr>
        <w:t>b</w:t>
      </w:r>
      <w:r w:rsidR="00261D1F" w:rsidRPr="00281687">
        <w:rPr>
          <w:szCs w:val="24"/>
          <w:lang w:val="pt-BR"/>
        </w:rPr>
        <w:t>).</w:t>
      </w:r>
      <w:r w:rsidR="00A015AB" w:rsidRPr="00281687">
        <w:rPr>
          <w:lang w:val="pt-BR"/>
        </w:rPr>
        <w:t xml:space="preserve"> </w:t>
      </w:r>
      <w:r w:rsidR="001C1A97" w:rsidRPr="00281687">
        <w:rPr>
          <w:lang w:val="pt-BR"/>
        </w:rPr>
        <w:t>A diferença pode ser justificada pela</w:t>
      </w:r>
      <w:r w:rsidR="00A015AB" w:rsidRPr="00281687">
        <w:rPr>
          <w:lang w:val="pt-BR"/>
        </w:rPr>
        <w:t xml:space="preserve"> crescente demanda </w:t>
      </w:r>
      <w:r w:rsidR="001C1A97" w:rsidRPr="00281687">
        <w:rPr>
          <w:lang w:val="pt-BR"/>
        </w:rPr>
        <w:t>de</w:t>
      </w:r>
      <w:r w:rsidR="00A015AB" w:rsidRPr="00281687">
        <w:rPr>
          <w:lang w:val="pt-BR"/>
        </w:rPr>
        <w:t xml:space="preserve"> consumo consciente e redução na produção de resíduos presentes nos Objetivos de Desenvolvimento Sustentáveis (ONU, 2015)</w:t>
      </w:r>
      <w:r w:rsidR="001C1A97" w:rsidRPr="00281687">
        <w:rPr>
          <w:lang w:val="pt-BR"/>
        </w:rPr>
        <w:t>.</w:t>
      </w:r>
      <w:r w:rsidR="00A015AB" w:rsidRPr="00281687">
        <w:rPr>
          <w:lang w:val="pt-BR"/>
        </w:rPr>
        <w:t xml:space="preserve"> </w:t>
      </w:r>
      <w:r w:rsidR="001C1A97" w:rsidRPr="00281687">
        <w:rPr>
          <w:lang w:val="pt-BR"/>
        </w:rPr>
        <w:t>O</w:t>
      </w:r>
      <w:r w:rsidR="00A015AB" w:rsidRPr="00281687">
        <w:rPr>
          <w:lang w:val="pt-BR"/>
        </w:rPr>
        <w:t>s setores</w:t>
      </w:r>
      <w:r w:rsidR="00D62259" w:rsidRPr="00281687">
        <w:rPr>
          <w:lang w:val="pt-BR"/>
        </w:rPr>
        <w:t xml:space="preserve"> </w:t>
      </w:r>
      <w:r w:rsidR="001C1A97" w:rsidRPr="00281687">
        <w:rPr>
          <w:lang w:val="pt-BR"/>
        </w:rPr>
        <w:t xml:space="preserve">com preocupações ambientais </w:t>
      </w:r>
      <w:r w:rsidR="00A015AB" w:rsidRPr="00281687">
        <w:rPr>
          <w:lang w:val="pt-BR"/>
        </w:rPr>
        <w:t>têm se direcionado para desmaterialização dos produtos a fim de ofertá-los agregados a serviços através de Sistemas Produto-Serviço</w:t>
      </w:r>
      <w:r w:rsidR="001C1A97" w:rsidRPr="00281687">
        <w:rPr>
          <w:lang w:val="pt-BR"/>
        </w:rPr>
        <w:t xml:space="preserve"> (PSS)</w:t>
      </w:r>
      <w:r w:rsidR="00A015AB" w:rsidRPr="00281687">
        <w:rPr>
          <w:lang w:val="pt-BR"/>
        </w:rPr>
        <w:t xml:space="preserve"> (</w:t>
      </w:r>
      <w:r w:rsidR="00A015AB" w:rsidRPr="00281687">
        <w:rPr>
          <w:szCs w:val="24"/>
          <w:lang w:val="pt-BR"/>
        </w:rPr>
        <w:t>MONT; TUCKER, 2006).</w:t>
      </w:r>
      <w:r w:rsidR="001C1A97" w:rsidRPr="00281687">
        <w:rPr>
          <w:szCs w:val="24"/>
          <w:lang w:val="pt-BR"/>
        </w:rPr>
        <w:t xml:space="preserve"> Apesar de serem também uma maneira de </w:t>
      </w:r>
      <w:r w:rsidR="006B3F55" w:rsidRPr="00281687">
        <w:rPr>
          <w:szCs w:val="24"/>
          <w:lang w:val="pt-BR"/>
        </w:rPr>
        <w:t>diversificar negócios gerando lucro e competitividade, aspectos sociais e ambientais não são levados em consideração</w:t>
      </w:r>
      <w:r w:rsidR="00F26363" w:rsidRPr="00281687">
        <w:rPr>
          <w:szCs w:val="24"/>
          <w:lang w:val="pt-BR"/>
        </w:rPr>
        <w:t>, na contramão do que rogam as definições de PSS</w:t>
      </w:r>
      <w:r w:rsidR="006B3F55" w:rsidRPr="00281687">
        <w:rPr>
          <w:szCs w:val="24"/>
          <w:lang w:val="pt-BR"/>
        </w:rPr>
        <w:t xml:space="preserve"> (COSTA </w:t>
      </w:r>
      <w:r w:rsidR="006B3F55" w:rsidRPr="00281687">
        <w:rPr>
          <w:i/>
          <w:iCs/>
          <w:szCs w:val="24"/>
          <w:lang w:val="pt-BR"/>
        </w:rPr>
        <w:t>et al.</w:t>
      </w:r>
      <w:r w:rsidR="006B3F55" w:rsidRPr="00281687">
        <w:rPr>
          <w:szCs w:val="24"/>
          <w:lang w:val="pt-BR"/>
        </w:rPr>
        <w:t xml:space="preserve">, 2018; </w:t>
      </w:r>
      <w:r w:rsidR="00F26363" w:rsidRPr="00281687">
        <w:rPr>
          <w:szCs w:val="24"/>
          <w:lang w:val="pt-BR"/>
        </w:rPr>
        <w:t xml:space="preserve">BEUREN </w:t>
      </w:r>
      <w:r w:rsidR="00F26363" w:rsidRPr="00281687">
        <w:rPr>
          <w:i/>
          <w:iCs/>
          <w:szCs w:val="24"/>
          <w:lang w:val="pt-BR"/>
        </w:rPr>
        <w:t>et al</w:t>
      </w:r>
      <w:r w:rsidR="00F26363" w:rsidRPr="00281687">
        <w:rPr>
          <w:szCs w:val="24"/>
          <w:lang w:val="pt-BR"/>
        </w:rPr>
        <w:t>., 2013).</w:t>
      </w:r>
    </w:p>
    <w:p w14:paraId="20C93CBF" w14:textId="5C9C1C9E" w:rsidR="0060236E" w:rsidRPr="00281687" w:rsidRDefault="008A44E8" w:rsidP="00A015AB">
      <w:pPr>
        <w:spacing w:after="120"/>
        <w:ind w:firstLine="360"/>
        <w:rPr>
          <w:szCs w:val="24"/>
          <w:lang w:val="pt-BR"/>
        </w:rPr>
      </w:pPr>
      <w:r w:rsidRPr="008A44E8">
        <w:rPr>
          <w:szCs w:val="24"/>
          <w:lang w:val="pt-BR"/>
        </w:rPr>
        <w:t>Este trabalho tem como objetivo identificar grupos de pesquisa no Brasil que se concentrem nos temas de PSS e sustentabilidade. Para isso, o artigo irá identificar, classificar e analisar os grupos de pesquisa cadastrados no Diretório de Grupos de Pesquisa (DGP) do Conselho Nacional de Desenvolvimento Científico e Tecnológico (CNPq), levando em consideração vários critérios, como a importância dada aos temas pelos grupos, sua distribuição geográfica, características institucionais, áreas do conhecimento e longevidade</w:t>
      </w:r>
      <w:r w:rsidR="0060236E" w:rsidRPr="00281687">
        <w:rPr>
          <w:szCs w:val="24"/>
          <w:lang w:val="pt-BR"/>
        </w:rPr>
        <w:t>.</w:t>
      </w:r>
    </w:p>
    <w:p w14:paraId="1504C531" w14:textId="77777777" w:rsidR="009B2EF9" w:rsidRPr="00281687" w:rsidRDefault="009B2EF9" w:rsidP="00E97ED4">
      <w:pPr>
        <w:spacing w:after="120"/>
        <w:ind w:firstLine="284"/>
        <w:rPr>
          <w:szCs w:val="24"/>
          <w:lang w:val="pt-BR"/>
        </w:rPr>
      </w:pPr>
    </w:p>
    <w:p w14:paraId="730D92D5" w14:textId="49B6EC55" w:rsidR="00B63A35" w:rsidRPr="00281687" w:rsidRDefault="00B63A35" w:rsidP="00CF033F">
      <w:pPr>
        <w:pStyle w:val="ListParagraph"/>
        <w:numPr>
          <w:ilvl w:val="0"/>
          <w:numId w:val="13"/>
        </w:numPr>
        <w:spacing w:after="120"/>
        <w:rPr>
          <w:b/>
          <w:szCs w:val="24"/>
          <w:lang w:val="pt-BR"/>
        </w:rPr>
      </w:pPr>
      <w:r w:rsidRPr="00281687">
        <w:rPr>
          <w:b/>
          <w:szCs w:val="24"/>
          <w:lang w:val="pt-BR"/>
        </w:rPr>
        <w:t>Procedimentos Metodológicos</w:t>
      </w:r>
    </w:p>
    <w:p w14:paraId="6AC6F1C2" w14:textId="77777777" w:rsidR="00B63A35" w:rsidRPr="00281687" w:rsidRDefault="00B63A35" w:rsidP="00F301BC">
      <w:pPr>
        <w:spacing w:after="120"/>
        <w:ind w:firstLine="284"/>
        <w:rPr>
          <w:color w:val="A6A6A6"/>
          <w:szCs w:val="24"/>
          <w:lang w:val="pt-BR"/>
        </w:rPr>
      </w:pPr>
    </w:p>
    <w:p w14:paraId="42E5FE9A" w14:textId="56FEBA8A" w:rsidR="00CF033F" w:rsidRPr="00281687" w:rsidRDefault="00F76457" w:rsidP="00CF033F">
      <w:pPr>
        <w:spacing w:after="120"/>
        <w:ind w:firstLine="284"/>
        <w:rPr>
          <w:szCs w:val="24"/>
          <w:lang w:val="pt-BR"/>
        </w:rPr>
      </w:pPr>
      <w:r w:rsidRPr="00281687">
        <w:rPr>
          <w:szCs w:val="24"/>
          <w:lang w:val="pt-BR"/>
        </w:rPr>
        <w:t>Como previamente indicado, a presente pesquisa tem como base o método de RSL com o foco na análise dos grupos de pesquisa do DGP do CNPq</w:t>
      </w:r>
      <w:r w:rsidR="006738AA" w:rsidRPr="00281687">
        <w:rPr>
          <w:szCs w:val="24"/>
          <w:lang w:val="pt-BR"/>
        </w:rPr>
        <w:t xml:space="preserve">. Para tal, foram seguidas as etapas sugeridas por Thomé </w:t>
      </w:r>
      <w:r w:rsidR="006738AA" w:rsidRPr="00281687">
        <w:rPr>
          <w:i/>
          <w:iCs/>
          <w:szCs w:val="24"/>
          <w:lang w:val="pt-BR"/>
        </w:rPr>
        <w:t>et al.</w:t>
      </w:r>
      <w:r w:rsidR="006738AA" w:rsidRPr="00281687">
        <w:rPr>
          <w:szCs w:val="24"/>
          <w:lang w:val="pt-BR"/>
        </w:rPr>
        <w:t xml:space="preserve"> (2016) para uma revisão sistemática, composta d</w:t>
      </w:r>
      <w:r w:rsidR="00004103" w:rsidRPr="00281687">
        <w:rPr>
          <w:szCs w:val="24"/>
          <w:lang w:val="pt-BR"/>
        </w:rPr>
        <w:t>a</w:t>
      </w:r>
      <w:r w:rsidR="006738AA" w:rsidRPr="00281687">
        <w:rPr>
          <w:szCs w:val="24"/>
          <w:lang w:val="pt-BR"/>
        </w:rPr>
        <w:t xml:space="preserve">s 8 </w:t>
      </w:r>
      <w:r w:rsidR="00004103" w:rsidRPr="00281687">
        <w:rPr>
          <w:szCs w:val="24"/>
          <w:lang w:val="pt-BR"/>
        </w:rPr>
        <w:t>etapas</w:t>
      </w:r>
      <w:r w:rsidR="006738AA" w:rsidRPr="00281687">
        <w:rPr>
          <w:szCs w:val="24"/>
          <w:lang w:val="pt-BR"/>
        </w:rPr>
        <w:t xml:space="preserve"> a seguir: i) planejamento e formulação do problema; </w:t>
      </w:r>
      <w:proofErr w:type="spellStart"/>
      <w:r w:rsidR="006738AA" w:rsidRPr="00281687">
        <w:rPr>
          <w:szCs w:val="24"/>
          <w:lang w:val="pt-BR"/>
        </w:rPr>
        <w:t>ii</w:t>
      </w:r>
      <w:proofErr w:type="spellEnd"/>
      <w:r w:rsidR="006738AA" w:rsidRPr="00281687">
        <w:rPr>
          <w:szCs w:val="24"/>
          <w:lang w:val="pt-BR"/>
        </w:rPr>
        <w:t xml:space="preserve">) busca na </w:t>
      </w:r>
      <w:r w:rsidRPr="00281687">
        <w:rPr>
          <w:szCs w:val="24"/>
          <w:lang w:val="pt-BR"/>
        </w:rPr>
        <w:t>base de dados</w:t>
      </w:r>
      <w:r w:rsidR="006738AA" w:rsidRPr="00281687">
        <w:rPr>
          <w:szCs w:val="24"/>
          <w:lang w:val="pt-BR"/>
        </w:rPr>
        <w:t xml:space="preserve">; </w:t>
      </w:r>
      <w:proofErr w:type="spellStart"/>
      <w:r w:rsidR="006738AA" w:rsidRPr="00281687">
        <w:rPr>
          <w:szCs w:val="24"/>
          <w:lang w:val="pt-BR"/>
        </w:rPr>
        <w:t>iii</w:t>
      </w:r>
      <w:proofErr w:type="spellEnd"/>
      <w:r w:rsidR="006738AA" w:rsidRPr="00281687">
        <w:rPr>
          <w:szCs w:val="24"/>
          <w:lang w:val="pt-BR"/>
        </w:rPr>
        <w:t xml:space="preserve">) coleta de dados; </w:t>
      </w:r>
      <w:proofErr w:type="spellStart"/>
      <w:r w:rsidR="006738AA" w:rsidRPr="00281687">
        <w:rPr>
          <w:szCs w:val="24"/>
          <w:lang w:val="pt-BR"/>
        </w:rPr>
        <w:t>iv</w:t>
      </w:r>
      <w:proofErr w:type="spellEnd"/>
      <w:r w:rsidR="006738AA" w:rsidRPr="00281687">
        <w:rPr>
          <w:szCs w:val="24"/>
          <w:lang w:val="pt-BR"/>
        </w:rPr>
        <w:t xml:space="preserve">) avaliação da qualidade; v) análise e síntese de dados; vi) interpretação dos resultados; </w:t>
      </w:r>
      <w:proofErr w:type="spellStart"/>
      <w:r w:rsidR="006738AA" w:rsidRPr="00281687">
        <w:rPr>
          <w:szCs w:val="24"/>
          <w:lang w:val="pt-BR"/>
        </w:rPr>
        <w:t>vii</w:t>
      </w:r>
      <w:proofErr w:type="spellEnd"/>
      <w:r w:rsidR="006738AA" w:rsidRPr="00281687">
        <w:rPr>
          <w:szCs w:val="24"/>
          <w:lang w:val="pt-BR"/>
        </w:rPr>
        <w:t xml:space="preserve">) apresentação dos resultados; </w:t>
      </w:r>
      <w:proofErr w:type="spellStart"/>
      <w:r w:rsidR="006738AA" w:rsidRPr="00281687">
        <w:rPr>
          <w:szCs w:val="24"/>
          <w:lang w:val="pt-BR"/>
        </w:rPr>
        <w:t>viii</w:t>
      </w:r>
      <w:proofErr w:type="spellEnd"/>
      <w:r w:rsidR="006738AA" w:rsidRPr="00281687">
        <w:rPr>
          <w:szCs w:val="24"/>
          <w:lang w:val="pt-BR"/>
        </w:rPr>
        <w:t>) atualização da revisão.</w:t>
      </w:r>
    </w:p>
    <w:p w14:paraId="6CDAA8A0" w14:textId="172680A4" w:rsidR="00CF033F" w:rsidRPr="00281687" w:rsidRDefault="00CF033F" w:rsidP="00CF033F">
      <w:pPr>
        <w:spacing w:after="120"/>
        <w:ind w:firstLine="284"/>
        <w:rPr>
          <w:lang w:val="pt-BR"/>
        </w:rPr>
      </w:pPr>
      <w:r w:rsidRPr="00281687">
        <w:rPr>
          <w:lang w:val="pt-BR"/>
        </w:rPr>
        <w:t xml:space="preserve">Na primeira etapa, Thomé </w:t>
      </w:r>
      <w:r w:rsidRPr="00281687">
        <w:rPr>
          <w:i/>
          <w:iCs/>
          <w:lang w:val="pt-BR"/>
        </w:rPr>
        <w:t>et al</w:t>
      </w:r>
      <w:r w:rsidRPr="00281687">
        <w:rPr>
          <w:lang w:val="pt-BR"/>
        </w:rPr>
        <w:t xml:space="preserve">. (2016) sugerem a </w:t>
      </w:r>
      <w:r w:rsidR="007F3178" w:rsidRPr="00281687">
        <w:rPr>
          <w:lang w:val="pt-BR"/>
        </w:rPr>
        <w:t>explicitação</w:t>
      </w:r>
      <w:r w:rsidRPr="00281687">
        <w:rPr>
          <w:lang w:val="pt-BR"/>
        </w:rPr>
        <w:t xml:space="preserve"> </w:t>
      </w:r>
      <w:r w:rsidR="007F3178" w:rsidRPr="00281687">
        <w:rPr>
          <w:lang w:val="pt-BR"/>
        </w:rPr>
        <w:t>do que originou</w:t>
      </w:r>
      <w:r w:rsidRPr="00281687">
        <w:rPr>
          <w:lang w:val="pt-BR"/>
        </w:rPr>
        <w:t xml:space="preserve"> a RSL, o que </w:t>
      </w:r>
      <w:r w:rsidR="00EE101A" w:rsidRPr="00281687">
        <w:rPr>
          <w:lang w:val="pt-BR"/>
        </w:rPr>
        <w:t>está</w:t>
      </w:r>
      <w:r w:rsidRPr="00281687">
        <w:rPr>
          <w:lang w:val="pt-BR"/>
        </w:rPr>
        <w:t xml:space="preserve"> </w:t>
      </w:r>
      <w:r w:rsidR="00EE101A" w:rsidRPr="00281687">
        <w:rPr>
          <w:lang w:val="pt-BR"/>
        </w:rPr>
        <w:t>presente</w:t>
      </w:r>
      <w:r w:rsidRPr="00281687">
        <w:rPr>
          <w:lang w:val="pt-BR"/>
        </w:rPr>
        <w:t xml:space="preserve"> na seção anterior através da apresentação do tema, objetivo e justificativa </w:t>
      </w:r>
      <w:r w:rsidR="00AE6B8F" w:rsidRPr="00281687">
        <w:rPr>
          <w:lang w:val="pt-BR"/>
        </w:rPr>
        <w:t>deste trabalho</w:t>
      </w:r>
      <w:r w:rsidRPr="00281687">
        <w:rPr>
          <w:lang w:val="pt-BR"/>
        </w:rPr>
        <w:t>.</w:t>
      </w:r>
      <w:r w:rsidR="00FC4C5C" w:rsidRPr="00281687">
        <w:rPr>
          <w:lang w:val="pt-BR"/>
        </w:rPr>
        <w:t xml:space="preserve"> </w:t>
      </w:r>
      <w:r w:rsidR="007959DA" w:rsidRPr="00281687">
        <w:rPr>
          <w:lang w:val="pt-BR"/>
        </w:rPr>
        <w:t>A</w:t>
      </w:r>
      <w:r w:rsidRPr="00281687">
        <w:rPr>
          <w:lang w:val="pt-BR"/>
        </w:rPr>
        <w:t xml:space="preserve"> segund</w:t>
      </w:r>
      <w:r w:rsidR="007959DA" w:rsidRPr="00281687">
        <w:rPr>
          <w:lang w:val="pt-BR"/>
        </w:rPr>
        <w:t>a</w:t>
      </w:r>
      <w:r w:rsidRPr="00281687">
        <w:rPr>
          <w:lang w:val="pt-BR"/>
        </w:rPr>
        <w:t xml:space="preserve"> </w:t>
      </w:r>
      <w:r w:rsidR="007959DA" w:rsidRPr="00281687">
        <w:rPr>
          <w:lang w:val="pt-BR"/>
        </w:rPr>
        <w:t>etapa</w:t>
      </w:r>
      <w:r w:rsidRPr="00281687">
        <w:rPr>
          <w:lang w:val="pt-BR"/>
        </w:rPr>
        <w:t xml:space="preserve"> </w:t>
      </w:r>
      <w:r w:rsidR="00C95BF6" w:rsidRPr="00281687">
        <w:rPr>
          <w:lang w:val="pt-BR"/>
        </w:rPr>
        <w:t>consiste na escolha da base de dados e critérios de avaliação e exclusão de resultados</w:t>
      </w:r>
      <w:r w:rsidRPr="00281687">
        <w:rPr>
          <w:lang w:val="pt-BR"/>
        </w:rPr>
        <w:t>.</w:t>
      </w:r>
      <w:r w:rsidR="00D7609D" w:rsidRPr="00281687">
        <w:rPr>
          <w:lang w:val="pt-BR"/>
        </w:rPr>
        <w:t xml:space="preserve"> </w:t>
      </w:r>
      <w:r w:rsidR="0082378A" w:rsidRPr="00281687">
        <w:rPr>
          <w:lang w:val="pt-BR"/>
        </w:rPr>
        <w:t xml:space="preserve">A </w:t>
      </w:r>
      <w:r w:rsidR="00500355" w:rsidRPr="00281687">
        <w:rPr>
          <w:lang w:val="pt-BR"/>
        </w:rPr>
        <w:t xml:space="preserve">opção </w:t>
      </w:r>
      <w:r w:rsidR="0082378A" w:rsidRPr="00281687">
        <w:rPr>
          <w:lang w:val="pt-BR"/>
        </w:rPr>
        <w:t xml:space="preserve">do DGP como </w:t>
      </w:r>
      <w:r w:rsidR="00500355" w:rsidRPr="00281687">
        <w:rPr>
          <w:lang w:val="pt-BR"/>
        </w:rPr>
        <w:t>base de dados</w:t>
      </w:r>
      <w:r w:rsidR="0082378A" w:rsidRPr="00281687">
        <w:rPr>
          <w:lang w:val="pt-BR"/>
        </w:rPr>
        <w:t xml:space="preserve"> está alinhada com o objetivo do presente trabalho, que se refere </w:t>
      </w:r>
      <w:r w:rsidR="00500355" w:rsidRPr="00281687">
        <w:rPr>
          <w:lang w:val="pt-BR"/>
        </w:rPr>
        <w:t>a PSS</w:t>
      </w:r>
      <w:r w:rsidR="0082378A" w:rsidRPr="00281687">
        <w:rPr>
          <w:lang w:val="pt-BR"/>
        </w:rPr>
        <w:t xml:space="preserve"> como objeto de pesquisa</w:t>
      </w:r>
      <w:r w:rsidR="00500355" w:rsidRPr="00281687">
        <w:rPr>
          <w:lang w:val="pt-BR"/>
        </w:rPr>
        <w:t xml:space="preserve"> a</w:t>
      </w:r>
      <w:r w:rsidR="0082378A" w:rsidRPr="00281687">
        <w:rPr>
          <w:lang w:val="pt-BR"/>
        </w:rPr>
        <w:t xml:space="preserve"> nível de pós-graduação</w:t>
      </w:r>
      <w:r w:rsidR="00500355" w:rsidRPr="00281687">
        <w:rPr>
          <w:lang w:val="pt-BR"/>
        </w:rPr>
        <w:t xml:space="preserve"> no Brasil</w:t>
      </w:r>
      <w:r w:rsidR="0082378A" w:rsidRPr="00281687">
        <w:rPr>
          <w:lang w:val="pt-BR"/>
        </w:rPr>
        <w:t xml:space="preserve">. </w:t>
      </w:r>
      <w:r w:rsidR="00500355" w:rsidRPr="00281687">
        <w:rPr>
          <w:lang w:val="pt-BR"/>
        </w:rPr>
        <w:t xml:space="preserve">Inserir e atualizar os dados no </w:t>
      </w:r>
      <w:r w:rsidR="0082378A" w:rsidRPr="00281687">
        <w:rPr>
          <w:lang w:val="pt-BR"/>
        </w:rPr>
        <w:t xml:space="preserve">diretório </w:t>
      </w:r>
      <w:r w:rsidR="00500355" w:rsidRPr="00281687">
        <w:rPr>
          <w:lang w:val="pt-BR"/>
        </w:rPr>
        <w:t>é entendido</w:t>
      </w:r>
      <w:r w:rsidR="0082378A" w:rsidRPr="00281687">
        <w:rPr>
          <w:lang w:val="pt-BR"/>
        </w:rPr>
        <w:t xml:space="preserve"> como uma referência obrigatória para os grupos de pesquisa brasileiros.</w:t>
      </w:r>
      <w:r w:rsidR="00500355" w:rsidRPr="00281687">
        <w:rPr>
          <w:lang w:val="pt-BR"/>
        </w:rPr>
        <w:t xml:space="preserve"> Dessa forma, a busca é realizada utilizando o termo</w:t>
      </w:r>
      <w:r w:rsidR="00157C88" w:rsidRPr="00281687">
        <w:rPr>
          <w:lang w:val="pt-BR"/>
        </w:rPr>
        <w:t xml:space="preserve"> de busca</w:t>
      </w:r>
      <w:r w:rsidR="00500355" w:rsidRPr="00281687">
        <w:rPr>
          <w:lang w:val="pt-BR"/>
        </w:rPr>
        <w:t>: sistema* produto</w:t>
      </w:r>
      <w:r w:rsidR="00125814" w:rsidRPr="00281687">
        <w:rPr>
          <w:lang w:val="pt-BR"/>
        </w:rPr>
        <w:t>*</w:t>
      </w:r>
      <w:r w:rsidR="00500355" w:rsidRPr="00281687">
        <w:rPr>
          <w:lang w:val="pt-BR"/>
        </w:rPr>
        <w:t>-serviço</w:t>
      </w:r>
      <w:r w:rsidR="00125814" w:rsidRPr="00281687">
        <w:rPr>
          <w:lang w:val="pt-BR"/>
        </w:rPr>
        <w:t>*</w:t>
      </w:r>
      <w:r w:rsidR="00500355" w:rsidRPr="00281687">
        <w:rPr>
          <w:lang w:val="pt-BR"/>
        </w:rPr>
        <w:t xml:space="preserve">. O emprego do asterisco justifica-se para incluir também o plural. A </w:t>
      </w:r>
      <w:r w:rsidR="008C4D7D" w:rsidRPr="00281687">
        <w:rPr>
          <w:lang w:val="pt-BR"/>
        </w:rPr>
        <w:t>consulta</w:t>
      </w:r>
      <w:r w:rsidR="00500355" w:rsidRPr="00281687">
        <w:rPr>
          <w:lang w:val="pt-BR"/>
        </w:rPr>
        <w:t xml:space="preserve"> é feita</w:t>
      </w:r>
      <w:r w:rsidR="008C4D7D" w:rsidRPr="00281687">
        <w:rPr>
          <w:lang w:val="pt-BR"/>
        </w:rPr>
        <w:t xml:space="preserve"> nos grupos</w:t>
      </w:r>
      <w:r w:rsidR="00500355" w:rsidRPr="00281687">
        <w:rPr>
          <w:lang w:val="pt-BR"/>
        </w:rPr>
        <w:t xml:space="preserve"> </w:t>
      </w:r>
      <w:r w:rsidR="008C4D7D" w:rsidRPr="00281687">
        <w:rPr>
          <w:lang w:val="pt-BR"/>
        </w:rPr>
        <w:t>da base corrente do censo atual, incluindo todas as palavras, aplicando a busca nos campos “nome do grupo”, “nome da linha de pesquisa”, “palavras-chave da linha de pesquisa” e “repercussões do grupo”</w:t>
      </w:r>
      <w:r w:rsidR="00157C88" w:rsidRPr="00281687">
        <w:rPr>
          <w:lang w:val="pt-BR"/>
        </w:rPr>
        <w:t>, com as situações “certificado” e “não-atualizado”</w:t>
      </w:r>
      <w:r w:rsidR="008C4D7D" w:rsidRPr="00281687">
        <w:rPr>
          <w:lang w:val="pt-BR"/>
        </w:rPr>
        <w:t>. A busca resultou em 1</w:t>
      </w:r>
      <w:r w:rsidR="00125814" w:rsidRPr="00281687">
        <w:rPr>
          <w:lang w:val="pt-BR"/>
        </w:rPr>
        <w:t>3</w:t>
      </w:r>
      <w:r w:rsidR="008C4D7D" w:rsidRPr="00281687">
        <w:rPr>
          <w:lang w:val="pt-BR"/>
        </w:rPr>
        <w:t xml:space="preserve"> grupos de pesquisa no dia 1</w:t>
      </w:r>
      <w:r w:rsidR="00DC0BB8" w:rsidRPr="00281687">
        <w:rPr>
          <w:lang w:val="pt-BR"/>
        </w:rPr>
        <w:t>7</w:t>
      </w:r>
      <w:r w:rsidR="008C4D7D" w:rsidRPr="00281687">
        <w:rPr>
          <w:lang w:val="pt-BR"/>
        </w:rPr>
        <w:t xml:space="preserve"> de fevereiro de 2023</w:t>
      </w:r>
      <w:r w:rsidR="00500355" w:rsidRPr="00281687">
        <w:rPr>
          <w:lang w:val="pt-BR"/>
        </w:rPr>
        <w:t>.</w:t>
      </w:r>
      <w:r w:rsidR="00B24BFB" w:rsidRPr="00281687">
        <w:rPr>
          <w:lang w:val="pt-BR"/>
        </w:rPr>
        <w:t xml:space="preserve"> Uma </w:t>
      </w:r>
      <w:r w:rsidR="00B24BFB" w:rsidRPr="00281687">
        <w:rPr>
          <w:lang w:val="pt-BR"/>
        </w:rPr>
        <w:lastRenderedPageBreak/>
        <w:t>segunda busca é realizada dentro dos resultados obtido a fim de identificar quais dos grupos, além de PSS também aborda também a temática da sustentabilidade, resultando em 9 grupos.</w:t>
      </w:r>
    </w:p>
    <w:p w14:paraId="0F4ABF61" w14:textId="03D9DCC3" w:rsidR="00DF3E76" w:rsidRPr="00281687" w:rsidRDefault="00DF3E76" w:rsidP="00DF3E76">
      <w:pPr>
        <w:spacing w:after="120"/>
        <w:ind w:firstLine="284"/>
        <w:rPr>
          <w:lang w:val="pt-BR"/>
        </w:rPr>
      </w:pPr>
      <w:r w:rsidRPr="00281687">
        <w:rPr>
          <w:lang w:val="pt-BR"/>
        </w:rPr>
        <w:t>Na terceira etapa, coleta de dados, os resultados são organizados em uma tabela para classificação e análise.</w:t>
      </w:r>
      <w:r w:rsidRPr="00281687">
        <w:rPr>
          <w:color w:val="FF0000"/>
          <w:lang w:val="pt-BR"/>
        </w:rPr>
        <w:t xml:space="preserve"> </w:t>
      </w:r>
      <w:r w:rsidRPr="00281687">
        <w:rPr>
          <w:lang w:val="pt-BR"/>
        </w:rPr>
        <w:t>Os dados são analisados considerando nível de importância, área disciplinar, distribuição geográfica e longevidade.</w:t>
      </w:r>
      <w:r w:rsidR="00004103" w:rsidRPr="00281687">
        <w:rPr>
          <w:lang w:val="pt-BR"/>
        </w:rPr>
        <w:t xml:space="preserve"> Limitações nessa coleta de dados estão relacionadas à possibilidade de modificação dos campos do grupo de pesquisa ao longo do tempo pelos seus líderes, o que afeta principalmente a análise baseada no ano de formação.</w:t>
      </w:r>
    </w:p>
    <w:p w14:paraId="419C9C31" w14:textId="0BE553ED" w:rsidR="00DF3E76" w:rsidRPr="00281687" w:rsidRDefault="00004103" w:rsidP="00DF3E76">
      <w:pPr>
        <w:spacing w:after="120"/>
        <w:ind w:firstLine="284"/>
        <w:rPr>
          <w:lang w:val="pt-BR"/>
        </w:rPr>
      </w:pPr>
      <w:r w:rsidRPr="00281687">
        <w:rPr>
          <w:lang w:val="pt-BR"/>
        </w:rPr>
        <w:t>A qualidade é assegurada por meio da seleção do DGP, que funciona como um registro dos grupos de pesquisa formais das universidades brasileiras, as quais são certificadas por suas próprias instituições. Ademais, a descrição minuciosa do método e a possibilidade de replicação do processo descrito são garantias de que a quarta etapa, de avaliação da qualidade, seja cumprida.</w:t>
      </w:r>
    </w:p>
    <w:p w14:paraId="3020E73B" w14:textId="60FC4A3E" w:rsidR="00DF3E76" w:rsidRPr="00281687" w:rsidRDefault="00004103" w:rsidP="00004103">
      <w:pPr>
        <w:spacing w:after="120"/>
        <w:ind w:firstLine="284"/>
        <w:rPr>
          <w:lang w:val="pt-BR"/>
        </w:rPr>
      </w:pPr>
      <w:r w:rsidRPr="00281687">
        <w:rPr>
          <w:lang w:val="pt-BR"/>
        </w:rPr>
        <w:t>A apresentação dos dados na forma de gráficos e tabelas que permitem identificar tendências</w:t>
      </w:r>
      <w:r w:rsidR="00281687">
        <w:rPr>
          <w:lang w:val="pt-BR"/>
        </w:rPr>
        <w:t xml:space="preserve"> </w:t>
      </w:r>
      <w:r w:rsidRPr="00281687">
        <w:rPr>
          <w:lang w:val="pt-BR"/>
        </w:rPr>
        <w:t>e padrões referentes aos grupos de pesquisa brasileiros constituem a análise e síntese, cobrindo a quinta etapa.</w:t>
      </w:r>
      <w:r w:rsidR="00DF3E76" w:rsidRPr="00281687">
        <w:rPr>
          <w:lang w:val="pt-BR"/>
        </w:rPr>
        <w:t xml:space="preserve"> </w:t>
      </w:r>
      <w:r w:rsidR="00DE225F" w:rsidRPr="00281687">
        <w:rPr>
          <w:lang w:val="pt-BR"/>
        </w:rPr>
        <w:t>Na sexta etapa, a interpretação dos resultados, são discutidos os impactos dos dados obtidos e sua relação com a organização da pesquisa no Brasil acerca de PSS, com destaque para sua relevância no âmbito da sustentabilidade. A sétima etapa consiste na apresentação dos resultados, os quais foram descritos ao longo deste artigo destinado à comunidade de acadêmicos que buscam pela sustentabilidade integrada aos projetos e ao desenvolvimento de novos produtos, nas áreas de Design, Engenharia e Arquitetura no Brasil.</w:t>
      </w:r>
    </w:p>
    <w:p w14:paraId="3A4C53F6" w14:textId="55522E06" w:rsidR="00DF3E76" w:rsidRPr="00281687" w:rsidRDefault="00DE225F" w:rsidP="00DE225F">
      <w:pPr>
        <w:spacing w:after="120"/>
        <w:ind w:firstLine="284"/>
        <w:rPr>
          <w:lang w:val="pt-BR"/>
        </w:rPr>
      </w:pPr>
      <w:r w:rsidRPr="00281687">
        <w:rPr>
          <w:lang w:val="pt-BR"/>
        </w:rPr>
        <w:t>Na seção de conclusão deste trabalho, a oitava etapa, que envolve a atualização da revisão, é proposta como uma oportunidade para futuras pesquisas com o objetivo de investigar as mudanças no cenário de grupos de pesquisa sobre o tema de Sistemas Produto-Serviço no Brasil.</w:t>
      </w:r>
    </w:p>
    <w:p w14:paraId="4CBC7262" w14:textId="77777777" w:rsidR="006E367A" w:rsidRPr="00281687" w:rsidRDefault="006E367A" w:rsidP="00DE225F">
      <w:pPr>
        <w:spacing w:after="120"/>
        <w:ind w:firstLine="284"/>
        <w:rPr>
          <w:lang w:val="pt-BR"/>
        </w:rPr>
      </w:pPr>
    </w:p>
    <w:p w14:paraId="574C1DEC" w14:textId="45A3A498" w:rsidR="00575335" w:rsidRPr="00281687" w:rsidRDefault="00622471" w:rsidP="00CF033F">
      <w:pPr>
        <w:pStyle w:val="Subtitle"/>
        <w:numPr>
          <w:ilvl w:val="0"/>
          <w:numId w:val="13"/>
        </w:numPr>
        <w:rPr>
          <w:rFonts w:ascii="Times New Roman" w:hAnsi="Times New Roman"/>
        </w:rPr>
      </w:pPr>
      <w:r w:rsidRPr="00281687">
        <w:rPr>
          <w:rFonts w:ascii="Times New Roman" w:hAnsi="Times New Roman"/>
        </w:rPr>
        <w:t>Análise dos grupos</w:t>
      </w:r>
    </w:p>
    <w:p w14:paraId="31EE24A6" w14:textId="77777777" w:rsidR="00204E5B" w:rsidRPr="00281687" w:rsidRDefault="00204E5B" w:rsidP="00204E5B">
      <w:pPr>
        <w:rPr>
          <w:lang w:val="pt-BR" w:eastAsia="en-US"/>
        </w:rPr>
      </w:pPr>
    </w:p>
    <w:p w14:paraId="29E4B96C" w14:textId="3B3A1F4E" w:rsidR="00204E5B" w:rsidRPr="00281687" w:rsidRDefault="00204E5B" w:rsidP="00204E5B">
      <w:pPr>
        <w:pStyle w:val="ListParagraph"/>
        <w:numPr>
          <w:ilvl w:val="1"/>
          <w:numId w:val="15"/>
        </w:numPr>
        <w:rPr>
          <w:b/>
          <w:bCs/>
          <w:lang w:val="pt-BR" w:eastAsia="en-US"/>
        </w:rPr>
      </w:pPr>
      <w:r w:rsidRPr="00281687">
        <w:rPr>
          <w:b/>
          <w:bCs/>
          <w:lang w:val="pt-BR" w:eastAsia="en-US"/>
        </w:rPr>
        <w:t>Análise da importância do</w:t>
      </w:r>
      <w:r w:rsidR="00F754B0" w:rsidRPr="00281687">
        <w:rPr>
          <w:b/>
          <w:bCs/>
          <w:lang w:val="pt-BR" w:eastAsia="en-US"/>
        </w:rPr>
        <w:t>s</w:t>
      </w:r>
      <w:r w:rsidRPr="00281687">
        <w:rPr>
          <w:b/>
          <w:bCs/>
          <w:lang w:val="pt-BR" w:eastAsia="en-US"/>
        </w:rPr>
        <w:t xml:space="preserve"> tema</w:t>
      </w:r>
      <w:r w:rsidR="00F754B0" w:rsidRPr="00281687">
        <w:rPr>
          <w:b/>
          <w:bCs/>
          <w:lang w:val="pt-BR" w:eastAsia="en-US"/>
        </w:rPr>
        <w:t>s</w:t>
      </w:r>
      <w:r w:rsidRPr="00281687">
        <w:rPr>
          <w:b/>
          <w:bCs/>
          <w:lang w:val="pt-BR" w:eastAsia="en-US"/>
        </w:rPr>
        <w:t xml:space="preserve"> na estrutura dos grupos de pesquisa</w:t>
      </w:r>
    </w:p>
    <w:p w14:paraId="1011E946" w14:textId="77777777" w:rsidR="00204E5B" w:rsidRPr="00281687" w:rsidRDefault="00204E5B" w:rsidP="00204E5B">
      <w:pPr>
        <w:rPr>
          <w:lang w:val="pt-BR" w:eastAsia="en-US"/>
        </w:rPr>
      </w:pPr>
    </w:p>
    <w:p w14:paraId="1E24C466" w14:textId="4C0D451F" w:rsidR="00281687" w:rsidRDefault="00F754B0" w:rsidP="00FA4B16">
      <w:pPr>
        <w:ind w:firstLine="360"/>
        <w:rPr>
          <w:szCs w:val="24"/>
          <w:lang w:val="pt-BR"/>
        </w:rPr>
      </w:pPr>
      <w:r w:rsidRPr="00281687">
        <w:rPr>
          <w:szCs w:val="24"/>
          <w:lang w:val="pt-BR"/>
        </w:rPr>
        <w:t xml:space="preserve">Este critério refere-se à importância dos temas PSS e Sustentabilidade na estrutura dos grupos. </w:t>
      </w:r>
      <w:r w:rsidR="00C22CD4" w:rsidRPr="00281687">
        <w:rPr>
          <w:szCs w:val="24"/>
          <w:lang w:val="pt-BR"/>
        </w:rPr>
        <w:t xml:space="preserve">Os níveis de importância </w:t>
      </w:r>
      <w:r w:rsidR="00F03A11" w:rsidRPr="00281687">
        <w:rPr>
          <w:szCs w:val="24"/>
          <w:lang w:val="pt-BR"/>
        </w:rPr>
        <w:t>são</w:t>
      </w:r>
      <w:r w:rsidR="00C22CD4" w:rsidRPr="00281687">
        <w:rPr>
          <w:szCs w:val="24"/>
          <w:lang w:val="pt-BR"/>
        </w:rPr>
        <w:t xml:space="preserve"> definidos </w:t>
      </w:r>
      <w:r w:rsidRPr="00281687">
        <w:rPr>
          <w:szCs w:val="24"/>
          <w:lang w:val="pt-BR"/>
        </w:rPr>
        <w:t xml:space="preserve">numa escala de </w:t>
      </w:r>
      <w:r w:rsidR="00C22CD4" w:rsidRPr="00281687">
        <w:rPr>
          <w:szCs w:val="24"/>
          <w:lang w:val="pt-BR"/>
        </w:rPr>
        <w:t xml:space="preserve">1 a 4, sendo 1 </w:t>
      </w:r>
      <w:r w:rsidR="00C95658" w:rsidRPr="00281687">
        <w:rPr>
          <w:szCs w:val="24"/>
          <w:lang w:val="pt-BR"/>
        </w:rPr>
        <w:t xml:space="preserve">maior e 4 menor. Os níveis </w:t>
      </w:r>
      <w:r w:rsidR="00F03A11" w:rsidRPr="00281687">
        <w:rPr>
          <w:szCs w:val="24"/>
          <w:lang w:val="pt-BR"/>
        </w:rPr>
        <w:t>são</w:t>
      </w:r>
      <w:r w:rsidR="00C95658" w:rsidRPr="00281687">
        <w:rPr>
          <w:szCs w:val="24"/>
          <w:lang w:val="pt-BR"/>
        </w:rPr>
        <w:t xml:space="preserve"> aplicados na mesma ordem em que aparecem na busca do DGP. </w:t>
      </w:r>
      <w:r w:rsidR="00C22CD4" w:rsidRPr="00281687">
        <w:rPr>
          <w:szCs w:val="24"/>
          <w:lang w:val="pt-BR"/>
        </w:rPr>
        <w:t xml:space="preserve">Cabe destacar que as categorias de classificação de importância são mutuamente exclusivas, ou seja, se um grupo é mencionado em um </w:t>
      </w:r>
      <w:r w:rsidR="00C95658" w:rsidRPr="00281687">
        <w:rPr>
          <w:szCs w:val="24"/>
          <w:lang w:val="pt-BR"/>
        </w:rPr>
        <w:t>nível maior</w:t>
      </w:r>
      <w:r w:rsidR="00C22CD4" w:rsidRPr="00281687">
        <w:rPr>
          <w:szCs w:val="24"/>
          <w:lang w:val="pt-BR"/>
        </w:rPr>
        <w:t>, não será contabilizado novamente nos níveis</w:t>
      </w:r>
      <w:r w:rsidR="00C95658" w:rsidRPr="00281687">
        <w:rPr>
          <w:szCs w:val="24"/>
          <w:lang w:val="pt-BR"/>
        </w:rPr>
        <w:t xml:space="preserve"> subsequentes</w:t>
      </w:r>
      <w:r w:rsidR="00C22CD4" w:rsidRPr="00281687">
        <w:rPr>
          <w:szCs w:val="24"/>
          <w:lang w:val="pt-BR"/>
        </w:rPr>
        <w:t>.</w:t>
      </w:r>
      <w:r w:rsidR="00F03A11" w:rsidRPr="00281687">
        <w:rPr>
          <w:szCs w:val="24"/>
          <w:lang w:val="pt-BR"/>
        </w:rPr>
        <w:t xml:space="preserve"> A Tabela 1 contém o detalhamento da quantidade de grupos nessa categorização.</w:t>
      </w:r>
    </w:p>
    <w:p w14:paraId="342196EC" w14:textId="77777777" w:rsidR="00281687" w:rsidRDefault="00281687">
      <w:pPr>
        <w:jc w:val="left"/>
        <w:rPr>
          <w:szCs w:val="24"/>
          <w:lang w:val="pt-BR"/>
        </w:rPr>
      </w:pPr>
      <w:r>
        <w:rPr>
          <w:szCs w:val="24"/>
          <w:lang w:val="pt-BR"/>
        </w:rPr>
        <w:br w:type="page"/>
      </w:r>
    </w:p>
    <w:p w14:paraId="23A31272" w14:textId="78DF59B6" w:rsidR="00F03A11" w:rsidRPr="00281687" w:rsidRDefault="00575335" w:rsidP="00575335">
      <w:pPr>
        <w:spacing w:before="240" w:after="240"/>
        <w:jc w:val="center"/>
        <w:rPr>
          <w:iCs/>
          <w:color w:val="000000"/>
          <w:sz w:val="20"/>
          <w:lang w:val="pt-BR"/>
        </w:rPr>
      </w:pPr>
      <w:r w:rsidRPr="00281687">
        <w:rPr>
          <w:color w:val="000000"/>
          <w:sz w:val="20"/>
          <w:lang w:val="pt-BR"/>
        </w:rPr>
        <w:lastRenderedPageBreak/>
        <w:t>Tabela 1:</w:t>
      </w:r>
      <w:r w:rsidR="00F754B0" w:rsidRPr="00281687">
        <w:rPr>
          <w:color w:val="000000"/>
          <w:sz w:val="20"/>
          <w:lang w:val="pt-BR"/>
        </w:rPr>
        <w:t xml:space="preserve"> Resultados da análise quantitativa.</w:t>
      </w:r>
    </w:p>
    <w:tbl>
      <w:tblPr>
        <w:tblW w:w="5420" w:type="dxa"/>
        <w:jc w:val="center"/>
        <w:tblLook w:val="04A0" w:firstRow="1" w:lastRow="0" w:firstColumn="1" w:lastColumn="0" w:noHBand="0" w:noVBand="1"/>
      </w:tblPr>
      <w:tblGrid>
        <w:gridCol w:w="3544"/>
        <w:gridCol w:w="561"/>
        <w:gridCol w:w="1639"/>
      </w:tblGrid>
      <w:tr w:rsidR="00F03A11" w:rsidRPr="00281687" w14:paraId="79D258E6" w14:textId="77777777" w:rsidTr="00F754B0">
        <w:trPr>
          <w:trHeight w:val="288"/>
          <w:jc w:val="center"/>
        </w:trPr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ABF051E" w14:textId="77777777" w:rsidR="00F03A11" w:rsidRPr="00281687" w:rsidRDefault="00F03A11" w:rsidP="00F03A11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Nível de importância</w:t>
            </w:r>
          </w:p>
        </w:tc>
        <w:tc>
          <w:tcPr>
            <w:tcW w:w="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D343654" w14:textId="77777777" w:rsidR="00F03A11" w:rsidRPr="00281687" w:rsidRDefault="00F03A11" w:rsidP="00F03A11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PSS</w:t>
            </w:r>
          </w:p>
        </w:tc>
        <w:tc>
          <w:tcPr>
            <w:tcW w:w="16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714F39A" w14:textId="77777777" w:rsidR="00F03A11" w:rsidRPr="00281687" w:rsidRDefault="00F03A11" w:rsidP="00F03A11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Sustentabilidade</w:t>
            </w:r>
          </w:p>
        </w:tc>
      </w:tr>
      <w:tr w:rsidR="00F03A11" w:rsidRPr="00281687" w14:paraId="6A367FBE" w14:textId="77777777" w:rsidTr="00F754B0">
        <w:trPr>
          <w:trHeight w:val="288"/>
          <w:jc w:val="center"/>
        </w:trPr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A9566F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1 (nome do grupo)</w:t>
            </w:r>
          </w:p>
        </w:tc>
        <w:tc>
          <w:tcPr>
            <w:tcW w:w="23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5A2F0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0</w:t>
            </w:r>
          </w:p>
        </w:tc>
        <w:tc>
          <w:tcPr>
            <w:tcW w:w="16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289706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4</w:t>
            </w:r>
          </w:p>
        </w:tc>
      </w:tr>
      <w:tr w:rsidR="00F03A11" w:rsidRPr="00281687" w14:paraId="7C26A2E6" w14:textId="77777777" w:rsidTr="00F03A11">
        <w:trPr>
          <w:trHeight w:val="288"/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CF8F91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2 (nome da linha de pesquisa)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37B9B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699930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4</w:t>
            </w:r>
          </w:p>
        </w:tc>
      </w:tr>
      <w:tr w:rsidR="00F03A11" w:rsidRPr="00281687" w14:paraId="17E2CE41" w14:textId="77777777" w:rsidTr="00F03A11">
        <w:trPr>
          <w:trHeight w:val="288"/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443C66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3 (palavra-chave da linha de pesquisa)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E1628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34D52C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1</w:t>
            </w:r>
          </w:p>
        </w:tc>
      </w:tr>
      <w:tr w:rsidR="00F03A11" w:rsidRPr="00281687" w14:paraId="5AE20073" w14:textId="77777777" w:rsidTr="00F03A11">
        <w:trPr>
          <w:trHeight w:val="288"/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F6236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4 (repercussões do grupo)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7A036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A155A" w14:textId="77777777" w:rsidR="00F03A11" w:rsidRPr="00281687" w:rsidRDefault="00F03A11" w:rsidP="00F03A11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-</w:t>
            </w:r>
          </w:p>
        </w:tc>
      </w:tr>
      <w:tr w:rsidR="00F03A11" w:rsidRPr="00281687" w14:paraId="5FCBA174" w14:textId="77777777" w:rsidTr="00F754B0">
        <w:trPr>
          <w:trHeight w:val="288"/>
          <w:jc w:val="center"/>
        </w:trPr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B38250E" w14:textId="54222F88" w:rsidR="00F03A11" w:rsidRPr="00281687" w:rsidRDefault="00F03A11" w:rsidP="00F03A11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Total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3F2456E" w14:textId="77777777" w:rsidR="00F03A11" w:rsidRPr="00281687" w:rsidRDefault="00F03A11" w:rsidP="00F03A11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13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05E6168" w14:textId="77777777" w:rsidR="00F03A11" w:rsidRPr="00281687" w:rsidRDefault="00F03A11" w:rsidP="00F03A11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9</w:t>
            </w:r>
          </w:p>
        </w:tc>
      </w:tr>
    </w:tbl>
    <w:p w14:paraId="7F8CAD45" w14:textId="1F1825CF" w:rsidR="00575335" w:rsidRPr="00281687" w:rsidRDefault="00575335" w:rsidP="00983CCA">
      <w:pPr>
        <w:spacing w:before="240" w:after="240"/>
        <w:ind w:left="1560"/>
        <w:rPr>
          <w:sz w:val="20"/>
          <w:lang w:val="pt-BR"/>
        </w:rPr>
      </w:pPr>
      <w:r w:rsidRPr="00281687">
        <w:rPr>
          <w:sz w:val="20"/>
          <w:lang w:val="pt-BR"/>
        </w:rPr>
        <w:t>Fonte:</w:t>
      </w:r>
      <w:r w:rsidR="00F754B0" w:rsidRPr="00281687">
        <w:rPr>
          <w:sz w:val="20"/>
          <w:lang w:val="pt-BR"/>
        </w:rPr>
        <w:t xml:space="preserve"> Autores</w:t>
      </w:r>
      <w:r w:rsidRPr="00281687">
        <w:rPr>
          <w:sz w:val="20"/>
          <w:lang w:val="pt-BR"/>
        </w:rPr>
        <w:t>.</w:t>
      </w:r>
    </w:p>
    <w:p w14:paraId="02A66043" w14:textId="796A6A38" w:rsidR="009A3A47" w:rsidRPr="00281687" w:rsidRDefault="0091392E" w:rsidP="00FA4B16">
      <w:pPr>
        <w:ind w:firstLine="284"/>
        <w:rPr>
          <w:szCs w:val="24"/>
          <w:lang w:val="pt-BR"/>
        </w:rPr>
      </w:pPr>
      <w:r w:rsidRPr="00281687">
        <w:rPr>
          <w:szCs w:val="24"/>
          <w:lang w:val="pt-BR"/>
        </w:rPr>
        <w:t>A partir dessa análise, é possível inferir que nenhum dos 13 grupos trata de PSS como aspecto central de sua atuação</w:t>
      </w:r>
      <w:r w:rsidR="008C60BC" w:rsidRPr="00281687">
        <w:rPr>
          <w:szCs w:val="24"/>
          <w:lang w:val="pt-BR"/>
        </w:rPr>
        <w:t xml:space="preserve"> (nome do grupo)</w:t>
      </w:r>
      <w:r w:rsidRPr="00281687">
        <w:rPr>
          <w:szCs w:val="24"/>
          <w:lang w:val="pt-BR"/>
        </w:rPr>
        <w:t xml:space="preserve">. Já no que tange a Sustentabilidade, </w:t>
      </w:r>
      <w:r w:rsidR="00930259" w:rsidRPr="00281687">
        <w:rPr>
          <w:szCs w:val="24"/>
          <w:lang w:val="pt-BR"/>
        </w:rPr>
        <w:t>4</w:t>
      </w:r>
      <w:r w:rsidRPr="00281687">
        <w:rPr>
          <w:szCs w:val="24"/>
          <w:lang w:val="pt-BR"/>
        </w:rPr>
        <w:t xml:space="preserve"> dos </w:t>
      </w:r>
      <w:r w:rsidR="00930259" w:rsidRPr="00281687">
        <w:rPr>
          <w:szCs w:val="24"/>
          <w:lang w:val="pt-BR"/>
        </w:rPr>
        <w:t>9 grupos que abordam o tema o</w:t>
      </w:r>
      <w:r w:rsidR="00D62259" w:rsidRPr="00281687">
        <w:rPr>
          <w:szCs w:val="24"/>
          <w:lang w:val="pt-BR"/>
        </w:rPr>
        <w:t xml:space="preserve"> </w:t>
      </w:r>
      <w:r w:rsidRPr="00281687">
        <w:rPr>
          <w:szCs w:val="24"/>
          <w:lang w:val="pt-BR"/>
        </w:rPr>
        <w:t>trazem no nome, revelando centralidade de atuação, a saber: “</w:t>
      </w:r>
      <w:proofErr w:type="spellStart"/>
      <w:r w:rsidRPr="00281687">
        <w:rPr>
          <w:szCs w:val="24"/>
          <w:lang w:val="pt-BR"/>
        </w:rPr>
        <w:t>LIfE</w:t>
      </w:r>
      <w:proofErr w:type="spellEnd"/>
      <w:r w:rsidRPr="00281687">
        <w:rPr>
          <w:szCs w:val="24"/>
          <w:lang w:val="pt-BR"/>
        </w:rPr>
        <w:t xml:space="preserve"> Sustainability - Life </w:t>
      </w:r>
      <w:proofErr w:type="spellStart"/>
      <w:r w:rsidRPr="00281687">
        <w:rPr>
          <w:szCs w:val="24"/>
          <w:lang w:val="pt-BR"/>
        </w:rPr>
        <w:t>cycle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and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Innovation</w:t>
      </w:r>
      <w:proofErr w:type="spellEnd"/>
      <w:r w:rsidRPr="00281687">
        <w:rPr>
          <w:szCs w:val="24"/>
          <w:lang w:val="pt-BR"/>
        </w:rPr>
        <w:t xml:space="preserve"> for </w:t>
      </w:r>
      <w:proofErr w:type="spellStart"/>
      <w:r w:rsidRPr="00281687">
        <w:rPr>
          <w:szCs w:val="24"/>
          <w:lang w:val="pt-BR"/>
        </w:rPr>
        <w:t>the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built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Environment</w:t>
      </w:r>
      <w:proofErr w:type="spellEnd"/>
      <w:r w:rsidRPr="00281687">
        <w:rPr>
          <w:szCs w:val="24"/>
          <w:lang w:val="pt-BR"/>
        </w:rPr>
        <w:t xml:space="preserve"> Sustainability” da Universidade Federal do Rio Grande do Sul (UFRGS),</w:t>
      </w:r>
      <w:r w:rsidR="00D62259" w:rsidRPr="00281687">
        <w:rPr>
          <w:szCs w:val="24"/>
          <w:lang w:val="pt-BR"/>
        </w:rPr>
        <w:t xml:space="preserve"> </w:t>
      </w:r>
      <w:r w:rsidRPr="00281687">
        <w:rPr>
          <w:szCs w:val="24"/>
          <w:lang w:val="pt-BR"/>
        </w:rPr>
        <w:t xml:space="preserve">“Núcleo de Inovação e Sustentabilidade também” </w:t>
      </w:r>
      <w:r w:rsidR="008C60BC" w:rsidRPr="00281687">
        <w:rPr>
          <w:szCs w:val="24"/>
          <w:lang w:val="pt-BR"/>
        </w:rPr>
        <w:t xml:space="preserve">também </w:t>
      </w:r>
      <w:r w:rsidRPr="00281687">
        <w:rPr>
          <w:szCs w:val="24"/>
          <w:lang w:val="pt-BR"/>
        </w:rPr>
        <w:t>da UFRGS, “SINERGIA: Sustentabilidade e Tecnologia” da Universidade do Estado de Santa Catarina (</w:t>
      </w:r>
      <w:proofErr w:type="spellStart"/>
      <w:r w:rsidR="004039D0" w:rsidRPr="00281687">
        <w:rPr>
          <w:szCs w:val="24"/>
          <w:lang w:val="pt-BR"/>
        </w:rPr>
        <w:t>Udesc</w:t>
      </w:r>
      <w:proofErr w:type="spellEnd"/>
      <w:r w:rsidRPr="00281687">
        <w:rPr>
          <w:szCs w:val="24"/>
          <w:lang w:val="pt-BR"/>
        </w:rPr>
        <w:t>) e “INOVAÇÃO, DESIGN E SUSTENTABILIDADE” da Universidade Federal de Pernambuco (UFPE).</w:t>
      </w:r>
    </w:p>
    <w:p w14:paraId="00EC924B" w14:textId="4D6D38C4" w:rsidR="009A3A47" w:rsidRPr="00281687" w:rsidRDefault="008C60BC" w:rsidP="00FA4B16">
      <w:pPr>
        <w:ind w:firstLine="284"/>
        <w:rPr>
          <w:szCs w:val="24"/>
          <w:lang w:val="pt-BR"/>
        </w:rPr>
      </w:pPr>
      <w:r w:rsidRPr="00281687">
        <w:rPr>
          <w:szCs w:val="24"/>
          <w:lang w:val="pt-BR"/>
        </w:rPr>
        <w:t>Já na linha de pesquisa, 8 dos 13 grupos abordam a temática PSS, a saber: “Centro de Inovação e Gestão de Operações” da Universidade Federal de Alfenas (</w:t>
      </w:r>
      <w:proofErr w:type="spellStart"/>
      <w:r w:rsidRPr="00281687">
        <w:rPr>
          <w:szCs w:val="24"/>
          <w:lang w:val="pt-BR"/>
        </w:rPr>
        <w:t>Unifal</w:t>
      </w:r>
      <w:proofErr w:type="spellEnd"/>
      <w:r w:rsidRPr="00281687">
        <w:rPr>
          <w:szCs w:val="24"/>
          <w:lang w:val="pt-BR"/>
        </w:rPr>
        <w:t>), “CULTURA E DESIGN EM PRODUTOS AMAZÔNICOS -CUIA” da Universidade do Estado do Pará (</w:t>
      </w:r>
      <w:proofErr w:type="spellStart"/>
      <w:r w:rsidRPr="00281687">
        <w:rPr>
          <w:szCs w:val="24"/>
          <w:lang w:val="pt-BR"/>
        </w:rPr>
        <w:t>Uepa</w:t>
      </w:r>
      <w:proofErr w:type="spellEnd"/>
      <w:r w:rsidRPr="00281687">
        <w:rPr>
          <w:szCs w:val="24"/>
          <w:lang w:val="pt-BR"/>
        </w:rPr>
        <w:t xml:space="preserve">), </w:t>
      </w:r>
      <w:r w:rsidR="009A3A47" w:rsidRPr="00281687">
        <w:rPr>
          <w:szCs w:val="24"/>
          <w:lang w:val="pt-BR"/>
        </w:rPr>
        <w:t>“</w:t>
      </w:r>
      <w:r w:rsidRPr="00281687">
        <w:rPr>
          <w:szCs w:val="24"/>
          <w:lang w:val="pt-BR"/>
        </w:rPr>
        <w:t>Gestão de desenvolvimento de produtos, processos e serviços (GEPPS)</w:t>
      </w:r>
      <w:r w:rsidR="009A3A47" w:rsidRPr="00281687">
        <w:rPr>
          <w:szCs w:val="24"/>
          <w:lang w:val="pt-BR"/>
        </w:rPr>
        <w:t xml:space="preserve">” da </w:t>
      </w:r>
      <w:proofErr w:type="spellStart"/>
      <w:r w:rsidR="004039D0" w:rsidRPr="00281687">
        <w:rPr>
          <w:szCs w:val="24"/>
          <w:lang w:val="pt-BR"/>
        </w:rPr>
        <w:t>Udesc</w:t>
      </w:r>
      <w:proofErr w:type="spellEnd"/>
      <w:r w:rsidR="009A3A47" w:rsidRPr="00281687">
        <w:rPr>
          <w:szCs w:val="24"/>
          <w:lang w:val="pt-BR"/>
        </w:rPr>
        <w:t>, “</w:t>
      </w:r>
      <w:r w:rsidRPr="00281687">
        <w:rPr>
          <w:szCs w:val="24"/>
          <w:lang w:val="pt-BR"/>
        </w:rPr>
        <w:t>Gestão de Operações de Produtos, Processos e Serviços</w:t>
      </w:r>
      <w:r w:rsidR="009A3A47" w:rsidRPr="00281687">
        <w:rPr>
          <w:szCs w:val="24"/>
          <w:lang w:val="pt-BR"/>
        </w:rPr>
        <w:t>” da Universidade Federal de Santa Catarina (UFSC), “</w:t>
      </w:r>
      <w:r w:rsidRPr="00281687">
        <w:rPr>
          <w:szCs w:val="24"/>
          <w:lang w:val="pt-BR"/>
        </w:rPr>
        <w:t xml:space="preserve">Grupo de Estudo e Pesquisa em Serviços </w:t>
      </w:r>
      <w:r w:rsidR="009A3A47" w:rsidRPr="00281687">
        <w:rPr>
          <w:szCs w:val="24"/>
          <w:lang w:val="pt-BR"/>
        </w:rPr>
        <w:t>–</w:t>
      </w:r>
      <w:r w:rsidRPr="00281687">
        <w:rPr>
          <w:szCs w:val="24"/>
          <w:lang w:val="pt-BR"/>
        </w:rPr>
        <w:t xml:space="preserve"> GEPS</w:t>
      </w:r>
      <w:r w:rsidR="009A3A47" w:rsidRPr="00281687">
        <w:rPr>
          <w:szCs w:val="24"/>
          <w:lang w:val="pt-BR"/>
        </w:rPr>
        <w:t>” da Universidade Federal de São Carlos (UFSC</w:t>
      </w:r>
      <w:r w:rsidR="001B7A5E" w:rsidRPr="00281687">
        <w:rPr>
          <w:szCs w:val="24"/>
          <w:lang w:val="pt-BR"/>
        </w:rPr>
        <w:t>ar</w:t>
      </w:r>
      <w:r w:rsidR="009A3A47" w:rsidRPr="00281687">
        <w:rPr>
          <w:szCs w:val="24"/>
          <w:lang w:val="pt-BR"/>
        </w:rPr>
        <w:t>), “</w:t>
      </w:r>
      <w:r w:rsidRPr="00281687">
        <w:rPr>
          <w:szCs w:val="24"/>
          <w:lang w:val="pt-BR"/>
        </w:rPr>
        <w:t>Laboratório de Otimização de Produtos e Processos</w:t>
      </w:r>
      <w:r w:rsidR="009A3A47" w:rsidRPr="00281687">
        <w:rPr>
          <w:szCs w:val="24"/>
          <w:lang w:val="pt-BR"/>
        </w:rPr>
        <w:t>”, “</w:t>
      </w:r>
      <w:r w:rsidRPr="00281687">
        <w:rPr>
          <w:szCs w:val="24"/>
          <w:lang w:val="pt-BR"/>
        </w:rPr>
        <w:t>Núcleo de Engenharia Organizacional (NEO)</w:t>
      </w:r>
      <w:r w:rsidR="009A3A47" w:rsidRPr="00281687">
        <w:rPr>
          <w:szCs w:val="24"/>
          <w:lang w:val="pt-BR"/>
        </w:rPr>
        <w:t>” e “</w:t>
      </w:r>
      <w:r w:rsidRPr="00281687">
        <w:rPr>
          <w:szCs w:val="24"/>
          <w:lang w:val="pt-BR"/>
        </w:rPr>
        <w:t>Núcleo de Inovação e Sustentabilidade</w:t>
      </w:r>
      <w:r w:rsidR="009A3A47" w:rsidRPr="00281687">
        <w:rPr>
          <w:szCs w:val="24"/>
          <w:lang w:val="pt-BR"/>
        </w:rPr>
        <w:t>” da UFRGS.</w:t>
      </w:r>
    </w:p>
    <w:p w14:paraId="4E5658B0" w14:textId="619537F5" w:rsidR="009A3A47" w:rsidRPr="00281687" w:rsidRDefault="009A3A47" w:rsidP="009A3A47">
      <w:pPr>
        <w:ind w:firstLine="284"/>
        <w:rPr>
          <w:szCs w:val="24"/>
          <w:lang w:val="pt-BR"/>
        </w:rPr>
      </w:pPr>
    </w:p>
    <w:p w14:paraId="53B855EC" w14:textId="71C65A00" w:rsidR="009A3A47" w:rsidRPr="00281687" w:rsidRDefault="009A3A47" w:rsidP="009A3A47">
      <w:pPr>
        <w:pStyle w:val="ListParagraph"/>
        <w:numPr>
          <w:ilvl w:val="1"/>
          <w:numId w:val="15"/>
        </w:numPr>
        <w:rPr>
          <w:b/>
          <w:bCs/>
          <w:szCs w:val="24"/>
          <w:lang w:val="pt-BR"/>
        </w:rPr>
      </w:pPr>
      <w:r w:rsidRPr="00281687">
        <w:rPr>
          <w:b/>
          <w:bCs/>
          <w:szCs w:val="24"/>
          <w:lang w:val="pt-BR"/>
        </w:rPr>
        <w:t>Análise da distribuição geográfica dos grupos</w:t>
      </w:r>
    </w:p>
    <w:p w14:paraId="61779474" w14:textId="43871A0E" w:rsidR="009A3A47" w:rsidRPr="00281687" w:rsidRDefault="009A3A47" w:rsidP="009A3A47">
      <w:pPr>
        <w:pStyle w:val="ListParagraph"/>
        <w:ind w:left="792"/>
        <w:rPr>
          <w:b/>
          <w:bCs/>
          <w:szCs w:val="24"/>
          <w:lang w:val="pt-BR"/>
        </w:rPr>
      </w:pPr>
    </w:p>
    <w:p w14:paraId="30FF64DA" w14:textId="5A508F0A" w:rsidR="009A3A47" w:rsidRPr="00281687" w:rsidRDefault="008A44E8" w:rsidP="00FA4B16">
      <w:pPr>
        <w:ind w:firstLine="360"/>
        <w:rPr>
          <w:szCs w:val="24"/>
          <w:lang w:val="pt-BR"/>
        </w:rPr>
      </w:pPr>
      <w:r w:rsidRPr="008A44E8">
        <w:rPr>
          <w:szCs w:val="24"/>
          <w:lang w:val="pt-BR"/>
        </w:rPr>
        <w:t xml:space="preserve">A </w:t>
      </w:r>
      <w:r>
        <w:rPr>
          <w:szCs w:val="24"/>
          <w:lang w:val="pt-BR"/>
        </w:rPr>
        <w:t>T</w:t>
      </w:r>
      <w:r w:rsidRPr="008A44E8">
        <w:rPr>
          <w:szCs w:val="24"/>
          <w:lang w:val="pt-BR"/>
        </w:rPr>
        <w:t xml:space="preserve">abela 2 mostra a quantidade de grupos que abordam PSS e aqueles que também mencionam sustentabilidade, organizados por região brasileira. Já a </w:t>
      </w:r>
      <w:r>
        <w:rPr>
          <w:szCs w:val="24"/>
          <w:lang w:val="pt-BR"/>
        </w:rPr>
        <w:t>F</w:t>
      </w:r>
      <w:r w:rsidRPr="008A44E8">
        <w:rPr>
          <w:szCs w:val="24"/>
          <w:lang w:val="pt-BR"/>
        </w:rPr>
        <w:t>igura 1 apresenta a quantidade de grupos por unidade federativa, sendo à esquerda aqueles que abordam PSS e à direita aqueles que também se dedicam à sustentabilidade.</w:t>
      </w:r>
    </w:p>
    <w:p w14:paraId="7A641E5E" w14:textId="2D7A6CC7" w:rsidR="009B2EF9" w:rsidRPr="00281687" w:rsidRDefault="000107BD" w:rsidP="009B2EF9">
      <w:pPr>
        <w:spacing w:before="240" w:after="240"/>
        <w:jc w:val="center"/>
        <w:rPr>
          <w:color w:val="000000"/>
          <w:sz w:val="20"/>
          <w:lang w:val="pt-BR"/>
        </w:rPr>
      </w:pPr>
      <w:r w:rsidRPr="00281687">
        <w:rPr>
          <w:color w:val="000000"/>
          <w:sz w:val="20"/>
          <w:lang w:val="pt-BR"/>
        </w:rPr>
        <w:t>Tabela 2</w:t>
      </w:r>
      <w:r w:rsidR="009B2EF9" w:rsidRPr="00281687">
        <w:rPr>
          <w:color w:val="000000"/>
          <w:sz w:val="20"/>
          <w:lang w:val="pt-BR"/>
        </w:rPr>
        <w:t xml:space="preserve">: </w:t>
      </w:r>
      <w:r w:rsidRPr="00281687">
        <w:rPr>
          <w:color w:val="000000"/>
          <w:sz w:val="20"/>
          <w:lang w:val="pt-BR"/>
        </w:rPr>
        <w:t>Distribuição geográfica por região</w:t>
      </w:r>
      <w:r w:rsidR="009B2EF9" w:rsidRPr="00281687">
        <w:rPr>
          <w:color w:val="000000"/>
          <w:sz w:val="20"/>
          <w:lang w:val="pt-BR"/>
        </w:rPr>
        <w:t>.</w:t>
      </w:r>
    </w:p>
    <w:tbl>
      <w:tblPr>
        <w:tblW w:w="3953" w:type="dxa"/>
        <w:jc w:val="center"/>
        <w:tblLook w:val="04A0" w:firstRow="1" w:lastRow="0" w:firstColumn="1" w:lastColumn="0" w:noHBand="0" w:noVBand="1"/>
      </w:tblPr>
      <w:tblGrid>
        <w:gridCol w:w="1380"/>
        <w:gridCol w:w="656"/>
        <w:gridCol w:w="1917"/>
      </w:tblGrid>
      <w:tr w:rsidR="000107BD" w:rsidRPr="00281687" w14:paraId="2746522E" w14:textId="77777777" w:rsidTr="00983CCA">
        <w:trPr>
          <w:trHeight w:val="303"/>
          <w:jc w:val="center"/>
        </w:trPr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A33240B" w14:textId="77777777" w:rsidR="000107BD" w:rsidRPr="00281687" w:rsidRDefault="000107BD" w:rsidP="000107BD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Região</w:t>
            </w:r>
          </w:p>
        </w:tc>
        <w:tc>
          <w:tcPr>
            <w:tcW w:w="6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6FAADAF" w14:textId="77777777" w:rsidR="000107BD" w:rsidRPr="00281687" w:rsidRDefault="000107BD" w:rsidP="000107BD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PSS</w:t>
            </w:r>
          </w:p>
        </w:tc>
        <w:tc>
          <w:tcPr>
            <w:tcW w:w="1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9E5FDCD" w14:textId="77777777" w:rsidR="000107BD" w:rsidRPr="00281687" w:rsidRDefault="000107BD" w:rsidP="000107BD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Sustentabilidade</w:t>
            </w:r>
          </w:p>
        </w:tc>
      </w:tr>
      <w:tr w:rsidR="000107BD" w:rsidRPr="00281687" w14:paraId="678E4D6E" w14:textId="77777777" w:rsidTr="00983CCA">
        <w:trPr>
          <w:trHeight w:val="303"/>
          <w:jc w:val="center"/>
        </w:trPr>
        <w:tc>
          <w:tcPr>
            <w:tcW w:w="13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B64BC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Norte</w:t>
            </w:r>
          </w:p>
        </w:tc>
        <w:tc>
          <w:tcPr>
            <w:tcW w:w="6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458B6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1</w:t>
            </w:r>
          </w:p>
        </w:tc>
        <w:tc>
          <w:tcPr>
            <w:tcW w:w="19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C24D7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1</w:t>
            </w:r>
          </w:p>
        </w:tc>
      </w:tr>
      <w:tr w:rsidR="000107BD" w:rsidRPr="00281687" w14:paraId="6F99A322" w14:textId="77777777" w:rsidTr="000107BD">
        <w:trPr>
          <w:trHeight w:val="303"/>
          <w:jc w:val="center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D6294" w14:textId="68507ED7" w:rsidR="000107BD" w:rsidRPr="00281687" w:rsidRDefault="00983CCA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Nordeste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BBE01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B4F7F8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1</w:t>
            </w:r>
          </w:p>
        </w:tc>
      </w:tr>
      <w:tr w:rsidR="000107BD" w:rsidRPr="00281687" w14:paraId="293C84AF" w14:textId="77777777" w:rsidTr="000107BD">
        <w:trPr>
          <w:trHeight w:val="303"/>
          <w:jc w:val="center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143879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Centro-oeste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7742A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052FC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0</w:t>
            </w:r>
          </w:p>
        </w:tc>
      </w:tr>
      <w:tr w:rsidR="000107BD" w:rsidRPr="00281687" w14:paraId="245F1D35" w14:textId="77777777" w:rsidTr="000107BD">
        <w:trPr>
          <w:trHeight w:val="303"/>
          <w:jc w:val="center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B0039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Sudeste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44B98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D4EB9A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2</w:t>
            </w:r>
          </w:p>
        </w:tc>
      </w:tr>
      <w:tr w:rsidR="000107BD" w:rsidRPr="00281687" w14:paraId="0EB6664E" w14:textId="77777777" w:rsidTr="000107BD">
        <w:trPr>
          <w:trHeight w:val="303"/>
          <w:jc w:val="center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F03ED0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Sul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A6931E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66D2EC" w14:textId="77777777" w:rsidR="000107BD" w:rsidRPr="00281687" w:rsidRDefault="000107BD" w:rsidP="000107BD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5</w:t>
            </w:r>
          </w:p>
        </w:tc>
      </w:tr>
      <w:tr w:rsidR="000107BD" w:rsidRPr="00281687" w14:paraId="68A40265" w14:textId="77777777" w:rsidTr="00983CCA">
        <w:trPr>
          <w:trHeight w:val="303"/>
          <w:jc w:val="center"/>
        </w:trPr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67F6527" w14:textId="77777777" w:rsidR="000107BD" w:rsidRPr="00281687" w:rsidRDefault="000107BD" w:rsidP="000107BD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Total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0584017" w14:textId="77777777" w:rsidR="000107BD" w:rsidRPr="00281687" w:rsidRDefault="000107BD" w:rsidP="000107BD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49F91AA" w14:textId="77777777" w:rsidR="000107BD" w:rsidRPr="00281687" w:rsidRDefault="000107BD" w:rsidP="000107BD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9</w:t>
            </w:r>
          </w:p>
        </w:tc>
      </w:tr>
    </w:tbl>
    <w:p w14:paraId="6566285D" w14:textId="49FE86BC" w:rsidR="009B2EF9" w:rsidRPr="00281687" w:rsidRDefault="009B2EF9" w:rsidP="00983CCA">
      <w:pPr>
        <w:spacing w:after="240"/>
        <w:ind w:left="2552"/>
        <w:rPr>
          <w:sz w:val="20"/>
          <w:lang w:val="pt-BR"/>
        </w:rPr>
      </w:pPr>
      <w:r w:rsidRPr="00281687">
        <w:rPr>
          <w:sz w:val="20"/>
          <w:lang w:val="pt-BR"/>
        </w:rPr>
        <w:t>Fonte: Autores.</w:t>
      </w:r>
    </w:p>
    <w:p w14:paraId="6BCD2E29" w14:textId="77777777" w:rsidR="00285131" w:rsidRPr="00281687" w:rsidRDefault="00654482" w:rsidP="00285131">
      <w:pPr>
        <w:keepNext/>
        <w:spacing w:after="240"/>
        <w:jc w:val="center"/>
        <w:rPr>
          <w:lang w:val="pt-BR"/>
        </w:rPr>
      </w:pPr>
      <w:r w:rsidRPr="00281687">
        <w:rPr>
          <w:sz w:val="20"/>
          <w:lang w:val="pt-BR"/>
        </w:rPr>
        <w:lastRenderedPageBreak/>
        <w:drawing>
          <wp:inline distT="0" distB="0" distL="0" distR="0" wp14:anchorId="4292F8BF" wp14:editId="374813BB">
            <wp:extent cx="5759288" cy="294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288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3C60B" w14:textId="70F765C8" w:rsidR="00654482" w:rsidRPr="00281687" w:rsidRDefault="00285131" w:rsidP="00285131">
      <w:pPr>
        <w:pStyle w:val="Caption"/>
        <w:jc w:val="center"/>
        <w:rPr>
          <w:b w:val="0"/>
          <w:bCs w:val="0"/>
          <w:color w:val="000000" w:themeColor="text1"/>
          <w:sz w:val="20"/>
          <w:szCs w:val="20"/>
          <w:lang w:val="pt-BR"/>
        </w:rPr>
      </w:pP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t xml:space="preserve">Figura </w:t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fldChar w:fldCharType="begin"/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instrText xml:space="preserve"> SEQ Figura \* ARABIC </w:instrText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fldChar w:fldCharType="separate"/>
      </w:r>
      <w:r w:rsidR="00890706" w:rsidRPr="00281687">
        <w:rPr>
          <w:b w:val="0"/>
          <w:bCs w:val="0"/>
          <w:color w:val="000000" w:themeColor="text1"/>
          <w:sz w:val="20"/>
          <w:szCs w:val="20"/>
          <w:lang w:val="pt-BR"/>
        </w:rPr>
        <w:t>1</w:t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fldChar w:fldCharType="end"/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t>: Distribuição dos grupos por estados. Fonte: Autores.</w:t>
      </w:r>
    </w:p>
    <w:p w14:paraId="03D60ED2" w14:textId="5E5C04E0" w:rsidR="00FA4B16" w:rsidRPr="00281687" w:rsidRDefault="00FA4B16" w:rsidP="00641E68">
      <w:pPr>
        <w:ind w:firstLine="284"/>
        <w:rPr>
          <w:lang w:val="pt-BR"/>
        </w:rPr>
      </w:pPr>
      <w:r w:rsidRPr="00281687">
        <w:rPr>
          <w:lang w:val="pt-BR"/>
        </w:rPr>
        <w:t>Os dados demonstram que há maior concentração de grupos nas regiões sul e sudeste, com 7 e 4 representantes respectivamente, como mostra a Tabela 2. As regiões norte e nordeste contam com apenas 1 grupo cada. É notável, aqui, a ausência de grupos na região centro-oeste do país.</w:t>
      </w:r>
      <w:r w:rsidR="00641E68" w:rsidRPr="00281687">
        <w:rPr>
          <w:lang w:val="pt-BR"/>
        </w:rPr>
        <w:t xml:space="preserve"> Quanto às unidades federativas, o Estado do Rio Grande do Sul (RS) destaca-se por ter a maior quantidade de grupos que abordam a temática de PSS (4), seguido por Santa Catarina (3).</w:t>
      </w:r>
    </w:p>
    <w:p w14:paraId="5D186663" w14:textId="21CEFD0B" w:rsidR="00641E68" w:rsidRPr="00281687" w:rsidRDefault="00641E68" w:rsidP="00641E68">
      <w:pPr>
        <w:ind w:firstLine="284"/>
        <w:rPr>
          <w:lang w:val="pt-BR"/>
        </w:rPr>
      </w:pPr>
      <w:r w:rsidRPr="00281687">
        <w:rPr>
          <w:lang w:val="pt-BR"/>
        </w:rPr>
        <w:t>Em relação aos grupos que além de PSS também possuem pesquisas relacionadas à Sustentabilidade, as tendências se repetem. A região sul concentra a maior quantidade, liderada pelo RS.</w:t>
      </w:r>
    </w:p>
    <w:p w14:paraId="1CCE59C7" w14:textId="3356E569" w:rsidR="004039D0" w:rsidRPr="00281687" w:rsidRDefault="004039D0" w:rsidP="00641E68">
      <w:pPr>
        <w:ind w:firstLine="284"/>
        <w:rPr>
          <w:lang w:val="pt-BR"/>
        </w:rPr>
      </w:pPr>
    </w:p>
    <w:p w14:paraId="27ABB6E0" w14:textId="3F79B417" w:rsidR="004039D0" w:rsidRPr="00281687" w:rsidRDefault="004039D0" w:rsidP="004039D0">
      <w:pPr>
        <w:pStyle w:val="ListParagraph"/>
        <w:numPr>
          <w:ilvl w:val="1"/>
          <w:numId w:val="15"/>
        </w:numPr>
        <w:rPr>
          <w:b/>
          <w:bCs/>
          <w:lang w:val="pt-BR"/>
        </w:rPr>
      </w:pPr>
      <w:r w:rsidRPr="00281687">
        <w:rPr>
          <w:b/>
          <w:bCs/>
          <w:lang w:val="pt-BR"/>
        </w:rPr>
        <w:t>Análise das características institucionais</w:t>
      </w:r>
    </w:p>
    <w:p w14:paraId="3AFEB630" w14:textId="77777777" w:rsidR="004039D0" w:rsidRPr="00281687" w:rsidRDefault="004039D0" w:rsidP="004039D0">
      <w:pPr>
        <w:ind w:left="360"/>
        <w:rPr>
          <w:b/>
          <w:bCs/>
          <w:lang w:val="pt-BR"/>
        </w:rPr>
      </w:pPr>
    </w:p>
    <w:p w14:paraId="1B276E06" w14:textId="6380A389" w:rsidR="00B63A35" w:rsidRPr="00281687" w:rsidRDefault="006868E2" w:rsidP="00B63A35">
      <w:pPr>
        <w:spacing w:after="120"/>
        <w:ind w:firstLine="284"/>
        <w:rPr>
          <w:szCs w:val="24"/>
          <w:lang w:val="pt-BR"/>
        </w:rPr>
      </w:pPr>
      <w:r w:rsidRPr="00281687">
        <w:rPr>
          <w:szCs w:val="24"/>
          <w:lang w:val="pt-BR"/>
        </w:rPr>
        <w:t xml:space="preserve">O critério de análise das características institucionais diz respeito ao contexto de pertencimento do grupo dentro das Instituições de Ensino Superior (IES) brasileiras, levando em conta a perspectiva de PSS e as que também incluem sustentabilidade, independentemente do nível de importância. Na Figura </w:t>
      </w:r>
      <w:r w:rsidR="00F26363" w:rsidRPr="00281687">
        <w:rPr>
          <w:szCs w:val="24"/>
          <w:lang w:val="pt-BR"/>
        </w:rPr>
        <w:t>2</w:t>
      </w:r>
      <w:r w:rsidRPr="00281687">
        <w:rPr>
          <w:szCs w:val="24"/>
          <w:lang w:val="pt-BR"/>
        </w:rPr>
        <w:t>, é possível visualizar a quantidade de grupos por IES.</w:t>
      </w:r>
    </w:p>
    <w:p w14:paraId="34C8A3FC" w14:textId="77777777" w:rsidR="006868E2" w:rsidRPr="00281687" w:rsidRDefault="006868E2" w:rsidP="006868E2">
      <w:pPr>
        <w:keepNext/>
        <w:spacing w:after="120"/>
        <w:ind w:firstLine="284"/>
        <w:jc w:val="center"/>
        <w:rPr>
          <w:lang w:val="pt-BR"/>
        </w:rPr>
      </w:pPr>
      <w:r w:rsidRPr="00281687">
        <w:rPr>
          <w:szCs w:val="24"/>
          <w:lang w:val="pt-BR"/>
        </w:rPr>
        <w:lastRenderedPageBreak/>
        <w:drawing>
          <wp:inline distT="0" distB="0" distL="0" distR="0" wp14:anchorId="57B46052" wp14:editId="3F0CF547">
            <wp:extent cx="4232910" cy="2700867"/>
            <wp:effectExtent l="0" t="0" r="0" b="444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527512E6-9C29-AB03-20E6-47E1D8DC45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3B54077" w14:textId="6B2FB319" w:rsidR="006868E2" w:rsidRPr="00281687" w:rsidRDefault="006868E2" w:rsidP="006868E2">
      <w:pPr>
        <w:pStyle w:val="Caption"/>
        <w:jc w:val="center"/>
        <w:rPr>
          <w:b w:val="0"/>
          <w:bCs w:val="0"/>
          <w:color w:val="000000" w:themeColor="text1"/>
          <w:sz w:val="20"/>
          <w:szCs w:val="20"/>
          <w:lang w:val="pt-BR"/>
        </w:rPr>
      </w:pP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t xml:space="preserve">Figura </w:t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fldChar w:fldCharType="begin"/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instrText xml:space="preserve"> SEQ Figura \* ARABIC </w:instrText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fldChar w:fldCharType="separate"/>
      </w:r>
      <w:r w:rsidR="00890706" w:rsidRPr="00281687">
        <w:rPr>
          <w:b w:val="0"/>
          <w:bCs w:val="0"/>
          <w:color w:val="000000" w:themeColor="text1"/>
          <w:sz w:val="20"/>
          <w:szCs w:val="20"/>
          <w:lang w:val="pt-BR"/>
        </w:rPr>
        <w:t>2</w:t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fldChar w:fldCharType="end"/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t>: Análise dos grupos do IES. Fonte: Autores.</w:t>
      </w:r>
    </w:p>
    <w:p w14:paraId="241B72BC" w14:textId="1721768B" w:rsidR="001B7A5E" w:rsidRPr="00281687" w:rsidRDefault="001B7A5E" w:rsidP="001B7A5E">
      <w:pPr>
        <w:ind w:firstLine="284"/>
        <w:rPr>
          <w:lang w:val="pt-BR"/>
        </w:rPr>
      </w:pPr>
      <w:r w:rsidRPr="00281687">
        <w:rPr>
          <w:lang w:val="pt-BR"/>
        </w:rPr>
        <w:t>Os resultados evidenciam que os 13 grupos pertencem a 9 IES, sendo a UFRGS a que detém o maior número (4), segui</w:t>
      </w:r>
      <w:r w:rsidR="00D62259" w:rsidRPr="00281687">
        <w:rPr>
          <w:lang w:val="pt-BR"/>
        </w:rPr>
        <w:t>da</w:t>
      </w:r>
      <w:r w:rsidRPr="00281687">
        <w:rPr>
          <w:lang w:val="pt-BR"/>
        </w:rPr>
        <w:t xml:space="preserve"> pela </w:t>
      </w:r>
      <w:proofErr w:type="spellStart"/>
      <w:r w:rsidRPr="00281687">
        <w:rPr>
          <w:lang w:val="pt-BR"/>
        </w:rPr>
        <w:t>Udesc</w:t>
      </w:r>
      <w:proofErr w:type="spellEnd"/>
      <w:r w:rsidRPr="00281687">
        <w:rPr>
          <w:lang w:val="pt-BR"/>
        </w:rPr>
        <w:t xml:space="preserve"> (2). As demais IES possuem apenas um grupo cada. É relevante que dentre as IES, apenas os grupos presentes na UFSCar, UFSC e </w:t>
      </w:r>
      <w:proofErr w:type="spellStart"/>
      <w:r w:rsidRPr="00281687">
        <w:rPr>
          <w:lang w:val="pt-BR"/>
        </w:rPr>
        <w:t>Unifal</w:t>
      </w:r>
      <w:proofErr w:type="spellEnd"/>
      <w:r w:rsidRPr="00281687">
        <w:rPr>
          <w:lang w:val="pt-BR"/>
        </w:rPr>
        <w:t xml:space="preserve"> não abordam a temática da Sustentabilidade, apenas PSS. Os grupos da </w:t>
      </w:r>
      <w:proofErr w:type="spellStart"/>
      <w:r w:rsidRPr="00281687">
        <w:rPr>
          <w:lang w:val="pt-BR"/>
        </w:rPr>
        <w:t>Udesc</w:t>
      </w:r>
      <w:proofErr w:type="spellEnd"/>
      <w:r w:rsidRPr="00281687">
        <w:rPr>
          <w:lang w:val="pt-BR"/>
        </w:rPr>
        <w:t xml:space="preserve">, UFPE, Unip, UFRJ e </w:t>
      </w:r>
      <w:proofErr w:type="spellStart"/>
      <w:r w:rsidRPr="00281687">
        <w:rPr>
          <w:lang w:val="pt-BR"/>
        </w:rPr>
        <w:t>Uepa</w:t>
      </w:r>
      <w:proofErr w:type="spellEnd"/>
      <w:r w:rsidR="00592E8B" w:rsidRPr="00281687">
        <w:rPr>
          <w:lang w:val="pt-BR"/>
        </w:rPr>
        <w:t xml:space="preserve"> pesquisam PSS e Sustentabilidade, enquanto apenas um dos três grupos da UFRGS não aborda sustentabilidade. Dentre as IES, também é notável que 8 são públicas (6 federais e 2 estaduais) enquanto apenas uma é privada.</w:t>
      </w:r>
    </w:p>
    <w:p w14:paraId="26FE5FDE" w14:textId="07B08B50" w:rsidR="00592E8B" w:rsidRPr="00281687" w:rsidRDefault="00592E8B" w:rsidP="001B7A5E">
      <w:pPr>
        <w:ind w:firstLine="284"/>
        <w:rPr>
          <w:lang w:val="pt-BR"/>
        </w:rPr>
      </w:pPr>
    </w:p>
    <w:p w14:paraId="1ADD305D" w14:textId="2360FC3F" w:rsidR="00592E8B" w:rsidRPr="00281687" w:rsidRDefault="00592E8B" w:rsidP="00592E8B">
      <w:pPr>
        <w:pStyle w:val="ListParagraph"/>
        <w:numPr>
          <w:ilvl w:val="1"/>
          <w:numId w:val="15"/>
        </w:numPr>
        <w:rPr>
          <w:b/>
          <w:bCs/>
          <w:lang w:val="pt-BR"/>
        </w:rPr>
      </w:pPr>
      <w:r w:rsidRPr="00281687">
        <w:rPr>
          <w:b/>
          <w:bCs/>
          <w:lang w:val="pt-BR"/>
        </w:rPr>
        <w:t>Análise por área do conhecimento</w:t>
      </w:r>
    </w:p>
    <w:p w14:paraId="5AB9B5C2" w14:textId="4167DC73" w:rsidR="00DD1865" w:rsidRPr="00281687" w:rsidRDefault="00DD1865" w:rsidP="00DD1865">
      <w:pPr>
        <w:ind w:left="360"/>
        <w:rPr>
          <w:b/>
          <w:bCs/>
          <w:lang w:val="pt-BR"/>
        </w:rPr>
      </w:pPr>
    </w:p>
    <w:p w14:paraId="4880FA7F" w14:textId="11E0B5EB" w:rsidR="00DD1865" w:rsidRPr="00281687" w:rsidRDefault="00DD1865" w:rsidP="00DD1865">
      <w:pPr>
        <w:ind w:firstLine="360"/>
        <w:rPr>
          <w:lang w:val="pt-BR"/>
        </w:rPr>
      </w:pPr>
      <w:r w:rsidRPr="00281687">
        <w:rPr>
          <w:lang w:val="pt-BR"/>
        </w:rPr>
        <w:t>O critério de análise das áreas de conhecimento dos grupos leva em conta as áreas predominantes dos grupos analisados, com a consideração do PSS em qualquer nível de importância. Os resultados estão apresentados na Tabela 3.</w:t>
      </w:r>
    </w:p>
    <w:p w14:paraId="74AFB7D5" w14:textId="142C60D1" w:rsidR="00DD1865" w:rsidRPr="00281687" w:rsidRDefault="00DD1865" w:rsidP="00DD1865">
      <w:pPr>
        <w:ind w:firstLine="360"/>
        <w:rPr>
          <w:lang w:val="pt-BR"/>
        </w:rPr>
      </w:pPr>
    </w:p>
    <w:p w14:paraId="058ADDEA" w14:textId="64224AE3" w:rsidR="00DD1865" w:rsidRPr="00281687" w:rsidRDefault="00DD1865" w:rsidP="00DD1865">
      <w:pPr>
        <w:jc w:val="center"/>
        <w:rPr>
          <w:sz w:val="20"/>
          <w:szCs w:val="16"/>
          <w:lang w:val="pt-BR"/>
        </w:rPr>
      </w:pPr>
      <w:r w:rsidRPr="00281687">
        <w:rPr>
          <w:sz w:val="20"/>
          <w:szCs w:val="16"/>
          <w:lang w:val="pt-BR"/>
        </w:rPr>
        <w:t>Tabela 3: Análise por áreas predominantes.</w:t>
      </w:r>
    </w:p>
    <w:p w14:paraId="129FD104" w14:textId="77777777" w:rsidR="00DD1865" w:rsidRPr="00281687" w:rsidRDefault="00DD1865" w:rsidP="00DD1865">
      <w:pPr>
        <w:jc w:val="center"/>
        <w:rPr>
          <w:sz w:val="20"/>
          <w:szCs w:val="16"/>
          <w:lang w:val="pt-BR"/>
        </w:rPr>
      </w:pPr>
    </w:p>
    <w:tbl>
      <w:tblPr>
        <w:tblW w:w="3332" w:type="dxa"/>
        <w:jc w:val="center"/>
        <w:tblLook w:val="04A0" w:firstRow="1" w:lastRow="0" w:firstColumn="1" w:lastColumn="0" w:noHBand="0" w:noVBand="1"/>
      </w:tblPr>
      <w:tblGrid>
        <w:gridCol w:w="2336"/>
        <w:gridCol w:w="996"/>
      </w:tblGrid>
      <w:tr w:rsidR="00DD1865" w:rsidRPr="00281687" w14:paraId="59CC06AC" w14:textId="77777777" w:rsidTr="00DD1865">
        <w:trPr>
          <w:trHeight w:val="288"/>
          <w:jc w:val="center"/>
        </w:trPr>
        <w:tc>
          <w:tcPr>
            <w:tcW w:w="23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F21F3A5" w14:textId="77777777" w:rsidR="00DD1865" w:rsidRPr="00281687" w:rsidRDefault="00DD1865" w:rsidP="00DD1865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Área do Conhecimento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48CD4C9" w14:textId="77777777" w:rsidR="00DD1865" w:rsidRPr="00281687" w:rsidRDefault="00DD1865" w:rsidP="00DD1865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Grupos</w:t>
            </w:r>
          </w:p>
        </w:tc>
      </w:tr>
      <w:tr w:rsidR="00DD1865" w:rsidRPr="00281687" w14:paraId="3AA2EA3E" w14:textId="77777777" w:rsidTr="00DD1865">
        <w:trPr>
          <w:trHeight w:val="288"/>
          <w:jc w:val="center"/>
        </w:trPr>
        <w:tc>
          <w:tcPr>
            <w:tcW w:w="23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28E4CE" w14:textId="77777777" w:rsidR="00DD1865" w:rsidRPr="00281687" w:rsidRDefault="00DD1865" w:rsidP="00DD1865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Engenharia de Produção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E7107" w14:textId="77777777" w:rsidR="00DD1865" w:rsidRPr="00281687" w:rsidRDefault="00DD1865" w:rsidP="00DD1865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10</w:t>
            </w:r>
          </w:p>
        </w:tc>
      </w:tr>
      <w:tr w:rsidR="00DD1865" w:rsidRPr="00281687" w14:paraId="27595036" w14:textId="77777777" w:rsidTr="00DD1865">
        <w:trPr>
          <w:trHeight w:val="288"/>
          <w:jc w:val="center"/>
        </w:trPr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012F0F" w14:textId="77777777" w:rsidR="00DD1865" w:rsidRPr="00281687" w:rsidRDefault="00DD1865" w:rsidP="00DD1865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Desenho Industrial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770075" w14:textId="77777777" w:rsidR="00DD1865" w:rsidRPr="00281687" w:rsidRDefault="00DD1865" w:rsidP="00DD1865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2</w:t>
            </w:r>
          </w:p>
        </w:tc>
      </w:tr>
      <w:tr w:rsidR="00DD1865" w:rsidRPr="00281687" w14:paraId="00251641" w14:textId="77777777" w:rsidTr="00DD1865">
        <w:trPr>
          <w:trHeight w:val="288"/>
          <w:jc w:val="center"/>
        </w:trPr>
        <w:tc>
          <w:tcPr>
            <w:tcW w:w="23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866FAF0" w14:textId="77777777" w:rsidR="00DD1865" w:rsidRPr="00281687" w:rsidRDefault="00DD1865" w:rsidP="00DD1865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Engenharia Civil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1B5A26E" w14:textId="77777777" w:rsidR="00DD1865" w:rsidRPr="00281687" w:rsidRDefault="00DD1865" w:rsidP="00DD1865">
            <w:pPr>
              <w:jc w:val="center"/>
              <w:rPr>
                <w:color w:val="000000"/>
                <w:sz w:val="20"/>
                <w:lang w:val="pt-BR" w:eastAsia="en-GB"/>
              </w:rPr>
            </w:pPr>
            <w:r w:rsidRPr="00281687">
              <w:rPr>
                <w:color w:val="000000"/>
                <w:sz w:val="20"/>
                <w:lang w:val="pt-BR" w:eastAsia="en-GB"/>
              </w:rPr>
              <w:t>1</w:t>
            </w:r>
          </w:p>
        </w:tc>
      </w:tr>
      <w:tr w:rsidR="00DD1865" w:rsidRPr="00281687" w14:paraId="018F8BDA" w14:textId="77777777" w:rsidTr="00DD1865">
        <w:trPr>
          <w:trHeight w:val="288"/>
          <w:jc w:val="center"/>
        </w:trPr>
        <w:tc>
          <w:tcPr>
            <w:tcW w:w="23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9D3693F" w14:textId="77777777" w:rsidR="00DD1865" w:rsidRPr="00281687" w:rsidRDefault="00DD1865" w:rsidP="00DD1865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Total</w:t>
            </w:r>
          </w:p>
        </w:tc>
        <w:tc>
          <w:tcPr>
            <w:tcW w:w="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E79611E" w14:textId="77777777" w:rsidR="00DD1865" w:rsidRPr="00281687" w:rsidRDefault="00DD1865" w:rsidP="00DD1865">
            <w:pPr>
              <w:jc w:val="center"/>
              <w:rPr>
                <w:b/>
                <w:bCs/>
                <w:color w:val="000000"/>
                <w:sz w:val="20"/>
                <w:lang w:val="pt-BR" w:eastAsia="en-GB"/>
              </w:rPr>
            </w:pPr>
            <w:r w:rsidRPr="00281687">
              <w:rPr>
                <w:b/>
                <w:bCs/>
                <w:color w:val="000000"/>
                <w:sz w:val="20"/>
                <w:lang w:val="pt-BR" w:eastAsia="en-GB"/>
              </w:rPr>
              <w:t>13</w:t>
            </w:r>
          </w:p>
        </w:tc>
      </w:tr>
    </w:tbl>
    <w:p w14:paraId="69D7E70E" w14:textId="77777777" w:rsidR="00DD1865" w:rsidRPr="00281687" w:rsidRDefault="00DD1865" w:rsidP="00DD1865">
      <w:pPr>
        <w:rPr>
          <w:lang w:val="pt-BR"/>
        </w:rPr>
      </w:pPr>
    </w:p>
    <w:p w14:paraId="4B8752EF" w14:textId="01BFD20A" w:rsidR="00667B8C" w:rsidRPr="00281687" w:rsidRDefault="00DD1865" w:rsidP="00667B8C">
      <w:pPr>
        <w:ind w:firstLine="2835"/>
        <w:rPr>
          <w:sz w:val="20"/>
          <w:szCs w:val="16"/>
          <w:lang w:val="pt-BR"/>
        </w:rPr>
      </w:pPr>
      <w:r w:rsidRPr="00281687">
        <w:rPr>
          <w:sz w:val="20"/>
          <w:szCs w:val="16"/>
          <w:lang w:val="pt-BR"/>
        </w:rPr>
        <w:t>Fonte: Autores.</w:t>
      </w:r>
    </w:p>
    <w:p w14:paraId="36E98C18" w14:textId="77777777" w:rsidR="00667B8C" w:rsidRPr="00281687" w:rsidRDefault="00667B8C" w:rsidP="00667B8C">
      <w:pPr>
        <w:ind w:firstLine="2835"/>
        <w:rPr>
          <w:lang w:val="pt-BR"/>
        </w:rPr>
      </w:pPr>
    </w:p>
    <w:p w14:paraId="7C003084" w14:textId="6E0100C2" w:rsidR="00667B8C" w:rsidRPr="00281687" w:rsidRDefault="00667B8C" w:rsidP="00667B8C">
      <w:pPr>
        <w:ind w:firstLine="426"/>
        <w:rPr>
          <w:lang w:val="pt-BR"/>
        </w:rPr>
      </w:pPr>
      <w:r w:rsidRPr="00281687">
        <w:rPr>
          <w:lang w:val="pt-BR"/>
        </w:rPr>
        <w:t xml:space="preserve">A análise da Tabela 3 revela </w:t>
      </w:r>
      <w:r w:rsidR="0090292E" w:rsidRPr="00281687">
        <w:rPr>
          <w:lang w:val="pt-BR"/>
        </w:rPr>
        <w:t>que 77% dos grupos (10) de pesquisa que abordam PSS em qualquer nível de importância estão na Engenharia de Produção</w:t>
      </w:r>
      <w:r w:rsidR="00072C74" w:rsidRPr="00281687">
        <w:rPr>
          <w:lang w:val="pt-BR"/>
        </w:rPr>
        <w:t xml:space="preserve"> (EP)</w:t>
      </w:r>
      <w:r w:rsidR="0090292E" w:rsidRPr="00281687">
        <w:rPr>
          <w:lang w:val="pt-BR"/>
        </w:rPr>
        <w:t>, enquanto apenas 2 estão no Desenho Industrial e 1 na Engenharia Mecânica. Este cenário</w:t>
      </w:r>
      <w:r w:rsidR="00072C74" w:rsidRPr="00281687">
        <w:rPr>
          <w:lang w:val="pt-BR"/>
        </w:rPr>
        <w:t xml:space="preserve"> evidencia a relevância do tema para a EP, o que dentre alguns fatores, pode ser justificado pela possibilidade </w:t>
      </w:r>
      <w:r w:rsidR="0006407E" w:rsidRPr="00281687">
        <w:rPr>
          <w:lang w:val="pt-BR"/>
        </w:rPr>
        <w:t xml:space="preserve">de empresas </w:t>
      </w:r>
      <w:r w:rsidR="0006407E" w:rsidRPr="00281687">
        <w:rPr>
          <w:lang w:val="pt-BR"/>
        </w:rPr>
        <w:lastRenderedPageBreak/>
        <w:t>atuarem próximas aos clientes de forma a obterem informações para poderem suprir necessidades identificadas (TUKKER; TISCHNER, 2006; MONT, 2002</w:t>
      </w:r>
      <w:r w:rsidR="0090292E" w:rsidRPr="00281687">
        <w:rPr>
          <w:lang w:val="pt-BR"/>
        </w:rPr>
        <w:t>)</w:t>
      </w:r>
      <w:r w:rsidR="0006407E" w:rsidRPr="00281687">
        <w:rPr>
          <w:lang w:val="pt-BR"/>
        </w:rPr>
        <w:t>.</w:t>
      </w:r>
    </w:p>
    <w:p w14:paraId="44C919E0" w14:textId="77777777" w:rsidR="00667B8C" w:rsidRPr="00281687" w:rsidRDefault="00667B8C" w:rsidP="00667B8C">
      <w:pPr>
        <w:ind w:firstLine="426"/>
        <w:rPr>
          <w:lang w:val="pt-BR"/>
        </w:rPr>
      </w:pPr>
    </w:p>
    <w:p w14:paraId="289D6DEE" w14:textId="77777777" w:rsidR="00023136" w:rsidRPr="00281687" w:rsidRDefault="00023136" w:rsidP="00023136">
      <w:pPr>
        <w:pStyle w:val="ListParagraph"/>
        <w:numPr>
          <w:ilvl w:val="0"/>
          <w:numId w:val="22"/>
        </w:numPr>
        <w:spacing w:after="120"/>
        <w:rPr>
          <w:b/>
          <w:vanish/>
          <w:szCs w:val="24"/>
          <w:lang w:val="pt-BR"/>
        </w:rPr>
      </w:pPr>
    </w:p>
    <w:p w14:paraId="1E5890AD" w14:textId="77777777" w:rsidR="00023136" w:rsidRPr="00281687" w:rsidRDefault="00023136" w:rsidP="00023136">
      <w:pPr>
        <w:pStyle w:val="ListParagraph"/>
        <w:numPr>
          <w:ilvl w:val="0"/>
          <w:numId w:val="22"/>
        </w:numPr>
        <w:spacing w:after="120"/>
        <w:rPr>
          <w:b/>
          <w:vanish/>
          <w:szCs w:val="24"/>
          <w:lang w:val="pt-BR"/>
        </w:rPr>
      </w:pPr>
    </w:p>
    <w:p w14:paraId="599AD33F" w14:textId="77777777" w:rsidR="00023136" w:rsidRPr="00281687" w:rsidRDefault="00023136" w:rsidP="00023136">
      <w:pPr>
        <w:pStyle w:val="ListParagraph"/>
        <w:numPr>
          <w:ilvl w:val="0"/>
          <w:numId w:val="22"/>
        </w:numPr>
        <w:spacing w:after="120"/>
        <w:rPr>
          <w:b/>
          <w:vanish/>
          <w:szCs w:val="24"/>
          <w:lang w:val="pt-BR"/>
        </w:rPr>
      </w:pPr>
    </w:p>
    <w:p w14:paraId="578E52FD" w14:textId="77777777" w:rsidR="00023136" w:rsidRPr="00281687" w:rsidRDefault="00023136" w:rsidP="00023136">
      <w:pPr>
        <w:pStyle w:val="ListParagraph"/>
        <w:numPr>
          <w:ilvl w:val="1"/>
          <w:numId w:val="22"/>
        </w:numPr>
        <w:spacing w:after="120"/>
        <w:rPr>
          <w:b/>
          <w:vanish/>
          <w:szCs w:val="24"/>
          <w:lang w:val="pt-BR"/>
        </w:rPr>
      </w:pPr>
    </w:p>
    <w:p w14:paraId="088685E1" w14:textId="77777777" w:rsidR="00023136" w:rsidRPr="00281687" w:rsidRDefault="00023136" w:rsidP="00023136">
      <w:pPr>
        <w:pStyle w:val="ListParagraph"/>
        <w:numPr>
          <w:ilvl w:val="1"/>
          <w:numId w:val="22"/>
        </w:numPr>
        <w:spacing w:after="120"/>
        <w:rPr>
          <w:b/>
          <w:vanish/>
          <w:szCs w:val="24"/>
          <w:lang w:val="pt-BR"/>
        </w:rPr>
      </w:pPr>
    </w:p>
    <w:p w14:paraId="199B1310" w14:textId="77777777" w:rsidR="00023136" w:rsidRPr="00281687" w:rsidRDefault="00023136" w:rsidP="00023136">
      <w:pPr>
        <w:pStyle w:val="ListParagraph"/>
        <w:numPr>
          <w:ilvl w:val="1"/>
          <w:numId w:val="22"/>
        </w:numPr>
        <w:spacing w:after="120"/>
        <w:rPr>
          <w:b/>
          <w:vanish/>
          <w:szCs w:val="24"/>
          <w:lang w:val="pt-BR"/>
        </w:rPr>
      </w:pPr>
    </w:p>
    <w:p w14:paraId="748E2BF9" w14:textId="77777777" w:rsidR="00023136" w:rsidRPr="00281687" w:rsidRDefault="00023136" w:rsidP="00023136">
      <w:pPr>
        <w:pStyle w:val="ListParagraph"/>
        <w:numPr>
          <w:ilvl w:val="1"/>
          <w:numId w:val="22"/>
        </w:numPr>
        <w:spacing w:after="120"/>
        <w:rPr>
          <w:b/>
          <w:vanish/>
          <w:szCs w:val="24"/>
          <w:lang w:val="pt-BR"/>
        </w:rPr>
      </w:pPr>
    </w:p>
    <w:p w14:paraId="7795880F" w14:textId="1A7C52A4" w:rsidR="00B63A35" w:rsidRPr="00281687" w:rsidRDefault="00023136" w:rsidP="00023136">
      <w:pPr>
        <w:pStyle w:val="ListParagraph"/>
        <w:numPr>
          <w:ilvl w:val="1"/>
          <w:numId w:val="22"/>
        </w:numPr>
        <w:spacing w:after="120"/>
        <w:rPr>
          <w:b/>
          <w:szCs w:val="24"/>
          <w:lang w:val="pt-BR"/>
        </w:rPr>
      </w:pPr>
      <w:r w:rsidRPr="00281687">
        <w:rPr>
          <w:b/>
          <w:szCs w:val="24"/>
          <w:lang w:val="pt-BR"/>
        </w:rPr>
        <w:t>Longevidade dos grupos</w:t>
      </w:r>
    </w:p>
    <w:p w14:paraId="3E919093" w14:textId="77777777" w:rsidR="00B63A35" w:rsidRPr="00281687" w:rsidRDefault="00B63A35" w:rsidP="00B63A35">
      <w:pPr>
        <w:spacing w:after="120"/>
        <w:rPr>
          <w:color w:val="A6A6A6"/>
          <w:szCs w:val="24"/>
          <w:lang w:val="pt-BR"/>
        </w:rPr>
      </w:pPr>
    </w:p>
    <w:p w14:paraId="71642B3F" w14:textId="20F958E9" w:rsidR="00B63A35" w:rsidRPr="00281687" w:rsidRDefault="00E55170" w:rsidP="00B63A35">
      <w:pPr>
        <w:spacing w:after="120"/>
        <w:ind w:firstLine="284"/>
        <w:rPr>
          <w:szCs w:val="24"/>
          <w:lang w:val="pt-BR"/>
        </w:rPr>
      </w:pPr>
      <w:r w:rsidRPr="00281687">
        <w:rPr>
          <w:szCs w:val="24"/>
          <w:lang w:val="pt-BR"/>
        </w:rPr>
        <w:t>O critério de longevidade está relacionado ao ano de criação dos grupos de pesquisa que estão ativos no momento da busca. É importante destacar que essa análise não tem como objetivo mapear a pioneirismo ou a evolução temporal dos grupos, já que o DGP permite edição nos campos usados como critério na pesquisa (nome do grupo, linhas de pesquisa, palavras-chave da linha de pesquisa e repercussões do grupo) ao longo do tempo, sem indicar exatamente quando essas mudanças ocorreram. Portanto, a análise indica apenas como os grupos se denominam atualmente em relação à sua longevidade, sem refletir ou explicitar quando eles começaram a abordar PSS. Assim, a análise considera apenas a longevidade do grupo em relação à sua descrição atual no cenário de pesquisa.</w:t>
      </w:r>
      <w:r w:rsidR="00890706" w:rsidRPr="00281687">
        <w:rPr>
          <w:szCs w:val="24"/>
          <w:lang w:val="pt-BR"/>
        </w:rPr>
        <w:t xml:space="preserve"> A Figura 3 apresenta uma visão geral do desenvolvimento temporal dos grupos de pesquisa que se referem a PSS em qualquer nível de importância.</w:t>
      </w:r>
    </w:p>
    <w:p w14:paraId="08AE36FD" w14:textId="77777777" w:rsidR="00890706" w:rsidRPr="00281687" w:rsidRDefault="00890706" w:rsidP="00890706">
      <w:pPr>
        <w:keepNext/>
        <w:spacing w:after="120"/>
        <w:rPr>
          <w:lang w:val="pt-BR"/>
        </w:rPr>
      </w:pPr>
      <w:r w:rsidRPr="00281687">
        <w:rPr>
          <w:szCs w:val="24"/>
          <w:lang w:val="pt-BR"/>
        </w:rPr>
        <w:drawing>
          <wp:inline distT="0" distB="0" distL="0" distR="0" wp14:anchorId="157BB496" wp14:editId="0A77EC74">
            <wp:extent cx="5760720" cy="1744345"/>
            <wp:effectExtent l="0" t="0" r="11430" b="825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B94BE95F-305A-1A47-E9C3-7273A559D6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8D4A542" w14:textId="1D7CE84B" w:rsidR="00890706" w:rsidRPr="00281687" w:rsidRDefault="00890706" w:rsidP="00890706">
      <w:pPr>
        <w:pStyle w:val="Caption"/>
        <w:jc w:val="center"/>
        <w:rPr>
          <w:b w:val="0"/>
          <w:bCs w:val="0"/>
          <w:color w:val="000000" w:themeColor="text1"/>
          <w:sz w:val="20"/>
          <w:szCs w:val="28"/>
          <w:lang w:val="pt-BR"/>
        </w:rPr>
      </w:pP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t xml:space="preserve">Figura </w:t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fldChar w:fldCharType="begin"/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instrText xml:space="preserve"> SEQ Figura \* ARABIC </w:instrText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fldChar w:fldCharType="separate"/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t>3</w:t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fldChar w:fldCharType="end"/>
      </w:r>
      <w:r w:rsidRPr="00281687">
        <w:rPr>
          <w:b w:val="0"/>
          <w:bCs w:val="0"/>
          <w:color w:val="000000" w:themeColor="text1"/>
          <w:sz w:val="20"/>
          <w:szCs w:val="20"/>
          <w:lang w:val="pt-BR"/>
        </w:rPr>
        <w:t>: Ano de formação dos grupos que atualmente fazem referência a PSS.</w:t>
      </w:r>
    </w:p>
    <w:p w14:paraId="2ADBF38B" w14:textId="7640B1D1" w:rsidR="0049479C" w:rsidRPr="00281687" w:rsidRDefault="00DC2DE5" w:rsidP="00DC2DE5">
      <w:pPr>
        <w:spacing w:after="120"/>
        <w:ind w:firstLine="284"/>
        <w:rPr>
          <w:szCs w:val="24"/>
          <w:lang w:val="pt-BR"/>
        </w:rPr>
      </w:pPr>
      <w:r w:rsidRPr="00281687">
        <w:rPr>
          <w:szCs w:val="24"/>
          <w:lang w:val="pt-BR"/>
        </w:rPr>
        <w:t>A análise da Figura 3 revela que os primeiros grupos datam de 1994 e 95, e que só após 12 anos um novo grupo foi formado, em 2007. A partir de 2007 novos grupos foram formados</w:t>
      </w:r>
      <w:r w:rsidR="00F26363" w:rsidRPr="00281687">
        <w:rPr>
          <w:szCs w:val="24"/>
          <w:lang w:val="pt-BR"/>
        </w:rPr>
        <w:t xml:space="preserve"> com maior frequência</w:t>
      </w:r>
      <w:r w:rsidRPr="00281687">
        <w:rPr>
          <w:szCs w:val="24"/>
          <w:lang w:val="pt-BR"/>
        </w:rPr>
        <w:t>, com destaque para os anos de 2014 e 2015 quando dois grupos foram formados em cada ano.</w:t>
      </w:r>
    </w:p>
    <w:p w14:paraId="3BAC23DB" w14:textId="77777777" w:rsidR="000A1D20" w:rsidRPr="00281687" w:rsidRDefault="000A1D20" w:rsidP="000A1D20">
      <w:pPr>
        <w:spacing w:after="120"/>
        <w:rPr>
          <w:bCs/>
          <w:szCs w:val="24"/>
          <w:lang w:val="pt-BR"/>
        </w:rPr>
      </w:pPr>
    </w:p>
    <w:p w14:paraId="35C82D33" w14:textId="0A4257DF" w:rsidR="00E544C3" w:rsidRPr="00281687" w:rsidRDefault="00E544C3" w:rsidP="00E544C3">
      <w:pPr>
        <w:pStyle w:val="ListParagraph"/>
        <w:numPr>
          <w:ilvl w:val="0"/>
          <w:numId w:val="15"/>
        </w:numPr>
        <w:spacing w:after="120"/>
        <w:ind w:left="709"/>
        <w:rPr>
          <w:b/>
          <w:szCs w:val="24"/>
          <w:lang w:val="pt-BR"/>
        </w:rPr>
      </w:pPr>
      <w:r w:rsidRPr="00281687">
        <w:rPr>
          <w:b/>
          <w:szCs w:val="24"/>
          <w:lang w:val="pt-BR"/>
        </w:rPr>
        <w:t>Considerações finais</w:t>
      </w:r>
    </w:p>
    <w:p w14:paraId="5B72FE5A" w14:textId="2DB47FB4" w:rsidR="00E544C3" w:rsidRPr="00281687" w:rsidRDefault="00E544C3" w:rsidP="00147537">
      <w:pPr>
        <w:spacing w:after="120"/>
        <w:ind w:left="349"/>
        <w:rPr>
          <w:bCs/>
          <w:szCs w:val="24"/>
          <w:lang w:val="pt-BR"/>
        </w:rPr>
      </w:pPr>
    </w:p>
    <w:p w14:paraId="0093E9F2" w14:textId="2E808FF4" w:rsidR="00147537" w:rsidRPr="00281687" w:rsidRDefault="00147537" w:rsidP="00147537">
      <w:pPr>
        <w:spacing w:after="120"/>
        <w:ind w:firstLine="426"/>
        <w:rPr>
          <w:bCs/>
          <w:szCs w:val="24"/>
          <w:lang w:val="pt-BR"/>
        </w:rPr>
      </w:pPr>
      <w:r w:rsidRPr="00281687">
        <w:rPr>
          <w:bCs/>
          <w:szCs w:val="24"/>
          <w:lang w:val="pt-BR"/>
        </w:rPr>
        <w:t>Este artigo tem um caráter exploratório, com o objetivo de investigar as características dos grupos de pesquisa que abordam o tema de PSS, e dentro deles, que também incluem pesquisas acerca de Sustentabilidade no Brasil.</w:t>
      </w:r>
      <w:r w:rsidR="006E7A27" w:rsidRPr="00281687">
        <w:rPr>
          <w:bCs/>
          <w:szCs w:val="24"/>
          <w:lang w:val="pt-BR"/>
        </w:rPr>
        <w:t xml:space="preserve"> </w:t>
      </w:r>
      <w:r w:rsidR="00B54114" w:rsidRPr="00281687">
        <w:rPr>
          <w:bCs/>
          <w:szCs w:val="24"/>
          <w:lang w:val="pt-BR"/>
        </w:rPr>
        <w:t xml:space="preserve">Todos os resultados obtidos foram retirados da base de dados e não refletem as opiniões dos autores. </w:t>
      </w:r>
      <w:r w:rsidR="006E7A27" w:rsidRPr="00281687">
        <w:rPr>
          <w:bCs/>
          <w:szCs w:val="24"/>
          <w:lang w:val="pt-BR"/>
        </w:rPr>
        <w:t>A escolha do DGP do CNPq como fonte de dados para esta análise, justifica-se pelo fato de ser um registro formal no campo da pesquisa científica no país, uma vez que as autodescrições dos grupos são registradas e validadas por suas instituições.</w:t>
      </w:r>
    </w:p>
    <w:p w14:paraId="634A14FB" w14:textId="52CCC4B1" w:rsidR="006E7A27" w:rsidRPr="00281687" w:rsidRDefault="001A0359" w:rsidP="00147537">
      <w:pPr>
        <w:spacing w:after="120"/>
        <w:ind w:firstLine="426"/>
        <w:rPr>
          <w:bCs/>
          <w:szCs w:val="24"/>
          <w:lang w:val="pt-BR"/>
        </w:rPr>
      </w:pPr>
      <w:r w:rsidRPr="00281687">
        <w:rPr>
          <w:bCs/>
          <w:szCs w:val="24"/>
          <w:lang w:val="pt-BR"/>
        </w:rPr>
        <w:lastRenderedPageBreak/>
        <w:t xml:space="preserve">A disparidade entre regiões do Brasil foi um dos resultados obtidos nesta pesquisa com prevalência de grupos nas regiões sul e sudeste, o que pode ser reflexo de </w:t>
      </w:r>
      <w:r w:rsidR="0084407F" w:rsidRPr="00281687">
        <w:rPr>
          <w:bCs/>
          <w:szCs w:val="24"/>
          <w:lang w:val="pt-BR"/>
        </w:rPr>
        <w:t>como a pesquisa científica se estruturou no país.</w:t>
      </w:r>
    </w:p>
    <w:p w14:paraId="14A28E4C" w14:textId="6734F26C" w:rsidR="00F16217" w:rsidRPr="00281687" w:rsidRDefault="00B35BE1" w:rsidP="00147537">
      <w:pPr>
        <w:spacing w:after="120"/>
        <w:ind w:firstLine="426"/>
        <w:rPr>
          <w:bCs/>
          <w:szCs w:val="24"/>
          <w:lang w:val="pt-BR"/>
        </w:rPr>
      </w:pPr>
      <w:r w:rsidRPr="00281687">
        <w:rPr>
          <w:bCs/>
          <w:szCs w:val="24"/>
          <w:lang w:val="pt-BR"/>
        </w:rPr>
        <w:t xml:space="preserve">Espera-se que, com a identificação dos grupos de pesquisa em PSS no Brasil, novas redes possam se formar a fim de compartilhar e promover conhecimento acerca do tema. </w:t>
      </w:r>
      <w:r w:rsidR="00F16217" w:rsidRPr="00281687">
        <w:rPr>
          <w:bCs/>
          <w:szCs w:val="24"/>
          <w:lang w:val="pt-BR"/>
        </w:rPr>
        <w:t xml:space="preserve">Pesquisas futuras que se aprofundem no detalhamento dos grupos de pesquisa de PSS no DGP poderão contribuir no sentido </w:t>
      </w:r>
      <w:r w:rsidRPr="00281687">
        <w:rPr>
          <w:bCs/>
          <w:szCs w:val="24"/>
          <w:lang w:val="pt-BR"/>
        </w:rPr>
        <w:t>de compreender como cada um relaciona o tema com Sustentabilidade.</w:t>
      </w:r>
    </w:p>
    <w:p w14:paraId="13990AAD" w14:textId="77777777" w:rsidR="00E544C3" w:rsidRPr="00281687" w:rsidRDefault="00E544C3" w:rsidP="00FC4C5C">
      <w:pPr>
        <w:spacing w:after="120"/>
        <w:rPr>
          <w:bCs/>
          <w:szCs w:val="24"/>
          <w:lang w:val="pt-BR"/>
        </w:rPr>
      </w:pPr>
    </w:p>
    <w:p w14:paraId="49E15155" w14:textId="290CA459" w:rsidR="0049479C" w:rsidRPr="00281687" w:rsidRDefault="00FC4C5C" w:rsidP="00F26363">
      <w:pPr>
        <w:pStyle w:val="ListParagraph"/>
        <w:numPr>
          <w:ilvl w:val="0"/>
          <w:numId w:val="15"/>
        </w:numPr>
        <w:spacing w:after="120"/>
        <w:ind w:left="709"/>
        <w:rPr>
          <w:b/>
          <w:szCs w:val="24"/>
          <w:lang w:val="pt-BR"/>
        </w:rPr>
      </w:pPr>
      <w:r w:rsidRPr="00281687">
        <w:rPr>
          <w:b/>
          <w:szCs w:val="24"/>
          <w:lang w:val="pt-BR"/>
        </w:rPr>
        <w:t>Agradecimento</w:t>
      </w:r>
    </w:p>
    <w:p w14:paraId="63F9FA93" w14:textId="77777777" w:rsidR="0049479C" w:rsidRPr="00281687" w:rsidRDefault="0049479C" w:rsidP="0049479C">
      <w:pPr>
        <w:spacing w:after="120"/>
        <w:rPr>
          <w:color w:val="A6A6A6"/>
          <w:szCs w:val="24"/>
          <w:lang w:val="pt-BR"/>
        </w:rPr>
      </w:pPr>
    </w:p>
    <w:p w14:paraId="17F30A5A" w14:textId="7337BFC3" w:rsidR="005B099A" w:rsidRPr="00281687" w:rsidRDefault="00FC4C5C" w:rsidP="001D2A4A">
      <w:pPr>
        <w:spacing w:after="120"/>
        <w:ind w:firstLine="284"/>
        <w:rPr>
          <w:b/>
          <w:szCs w:val="24"/>
          <w:lang w:val="pt-BR"/>
        </w:rPr>
      </w:pPr>
      <w:r w:rsidRPr="00281687">
        <w:rPr>
          <w:szCs w:val="24"/>
          <w:lang w:val="pt-BR"/>
        </w:rPr>
        <w:t>O presente trabalho foi realizado com apoio da Coordenação de Aperfeiçoamento de Pessoal de Nível Superior - Brasil (CAPES) - Código de Financiamento 001.</w:t>
      </w:r>
    </w:p>
    <w:p w14:paraId="61E0CC8D" w14:textId="77777777" w:rsidR="005B099A" w:rsidRPr="00281687" w:rsidRDefault="005B099A" w:rsidP="00E97ED4">
      <w:pPr>
        <w:spacing w:after="120"/>
        <w:rPr>
          <w:b/>
          <w:szCs w:val="24"/>
          <w:lang w:val="pt-BR"/>
        </w:rPr>
      </w:pPr>
    </w:p>
    <w:p w14:paraId="4149BCE6" w14:textId="77777777" w:rsidR="00BE083D" w:rsidRPr="00281687" w:rsidRDefault="004E3765" w:rsidP="00E97ED4">
      <w:pPr>
        <w:spacing w:after="120"/>
        <w:rPr>
          <w:b/>
          <w:szCs w:val="24"/>
          <w:lang w:val="pt-BR"/>
        </w:rPr>
      </w:pPr>
      <w:r w:rsidRPr="00281687">
        <w:rPr>
          <w:b/>
          <w:szCs w:val="24"/>
          <w:lang w:val="pt-BR"/>
        </w:rPr>
        <w:t>Referências</w:t>
      </w:r>
    </w:p>
    <w:p w14:paraId="44E0A3C3" w14:textId="77777777" w:rsidR="00BE083D" w:rsidRPr="00281687" w:rsidRDefault="00BE083D" w:rsidP="00E97ED4">
      <w:pPr>
        <w:spacing w:after="120"/>
        <w:rPr>
          <w:szCs w:val="24"/>
          <w:lang w:val="pt-BR"/>
        </w:rPr>
      </w:pPr>
    </w:p>
    <w:p w14:paraId="6CB23D88" w14:textId="12F06F8E" w:rsidR="0060236E" w:rsidRPr="00281687" w:rsidRDefault="0060236E" w:rsidP="00C13874">
      <w:pPr>
        <w:spacing w:after="120"/>
        <w:jc w:val="left"/>
        <w:rPr>
          <w:szCs w:val="24"/>
          <w:lang w:val="pt-BR"/>
        </w:rPr>
      </w:pPr>
      <w:r w:rsidRPr="00281687">
        <w:rPr>
          <w:szCs w:val="24"/>
          <w:lang w:val="pt-BR"/>
        </w:rPr>
        <w:t xml:space="preserve">BEUREN, F. H., GOMES FERREIRA, M. G., CAUCHICK-MIGUEL, P. A. </w:t>
      </w:r>
      <w:r w:rsidR="00C13874" w:rsidRPr="00281687">
        <w:rPr>
          <w:szCs w:val="24"/>
          <w:lang w:val="pt-BR"/>
        </w:rPr>
        <w:t xml:space="preserve">Product-service systems: A </w:t>
      </w:r>
      <w:proofErr w:type="spellStart"/>
      <w:r w:rsidR="00C13874" w:rsidRPr="00281687">
        <w:rPr>
          <w:szCs w:val="24"/>
          <w:lang w:val="pt-BR"/>
        </w:rPr>
        <w:t>literature</w:t>
      </w:r>
      <w:proofErr w:type="spellEnd"/>
      <w:r w:rsidR="00C13874" w:rsidRPr="00281687">
        <w:rPr>
          <w:szCs w:val="24"/>
          <w:lang w:val="pt-BR"/>
        </w:rPr>
        <w:t xml:space="preserve"> review </w:t>
      </w:r>
      <w:proofErr w:type="spellStart"/>
      <w:r w:rsidR="00C13874" w:rsidRPr="00281687">
        <w:rPr>
          <w:szCs w:val="24"/>
          <w:lang w:val="pt-BR"/>
        </w:rPr>
        <w:t>on</w:t>
      </w:r>
      <w:proofErr w:type="spellEnd"/>
      <w:r w:rsidR="00C13874" w:rsidRPr="00281687">
        <w:rPr>
          <w:szCs w:val="24"/>
          <w:lang w:val="pt-BR"/>
        </w:rPr>
        <w:t xml:space="preserve"> </w:t>
      </w:r>
      <w:proofErr w:type="spellStart"/>
      <w:r w:rsidR="00C13874" w:rsidRPr="00281687">
        <w:rPr>
          <w:szCs w:val="24"/>
          <w:lang w:val="pt-BR"/>
        </w:rPr>
        <w:t>integrated</w:t>
      </w:r>
      <w:proofErr w:type="spellEnd"/>
      <w:r w:rsidR="00C13874" w:rsidRPr="00281687">
        <w:rPr>
          <w:szCs w:val="24"/>
          <w:lang w:val="pt-BR"/>
        </w:rPr>
        <w:t xml:space="preserve"> </w:t>
      </w:r>
      <w:proofErr w:type="spellStart"/>
      <w:r w:rsidR="00C13874" w:rsidRPr="00281687">
        <w:rPr>
          <w:szCs w:val="24"/>
          <w:lang w:val="pt-BR"/>
        </w:rPr>
        <w:t>products</w:t>
      </w:r>
      <w:proofErr w:type="spellEnd"/>
      <w:r w:rsidR="00C13874" w:rsidRPr="00281687">
        <w:rPr>
          <w:szCs w:val="24"/>
          <w:lang w:val="pt-BR"/>
        </w:rPr>
        <w:t xml:space="preserve"> </w:t>
      </w:r>
      <w:proofErr w:type="spellStart"/>
      <w:r w:rsidR="00C13874" w:rsidRPr="00281687">
        <w:rPr>
          <w:szCs w:val="24"/>
          <w:lang w:val="pt-BR"/>
        </w:rPr>
        <w:t>and</w:t>
      </w:r>
      <w:proofErr w:type="spellEnd"/>
      <w:r w:rsidR="00C13874" w:rsidRPr="00281687">
        <w:rPr>
          <w:szCs w:val="24"/>
          <w:lang w:val="pt-BR"/>
        </w:rPr>
        <w:t xml:space="preserve"> </w:t>
      </w:r>
      <w:proofErr w:type="spellStart"/>
      <w:r w:rsidR="00C13874" w:rsidRPr="00281687">
        <w:rPr>
          <w:szCs w:val="24"/>
          <w:lang w:val="pt-BR"/>
        </w:rPr>
        <w:t>services</w:t>
      </w:r>
      <w:proofErr w:type="spellEnd"/>
      <w:r w:rsidR="00C13874" w:rsidRPr="00281687">
        <w:rPr>
          <w:szCs w:val="24"/>
          <w:lang w:val="pt-BR"/>
        </w:rPr>
        <w:t xml:space="preserve">. </w:t>
      </w:r>
      <w:proofErr w:type="spellStart"/>
      <w:r w:rsidR="00C13874" w:rsidRPr="00281687">
        <w:rPr>
          <w:szCs w:val="24"/>
          <w:lang w:val="pt-BR"/>
        </w:rPr>
        <w:t>Journal</w:t>
      </w:r>
      <w:proofErr w:type="spellEnd"/>
      <w:r w:rsidR="00C13874" w:rsidRPr="00281687">
        <w:rPr>
          <w:szCs w:val="24"/>
          <w:lang w:val="pt-BR"/>
        </w:rPr>
        <w:t xml:space="preserve"> </w:t>
      </w:r>
      <w:proofErr w:type="spellStart"/>
      <w:r w:rsidR="00C13874" w:rsidRPr="00281687">
        <w:rPr>
          <w:szCs w:val="24"/>
          <w:lang w:val="pt-BR"/>
        </w:rPr>
        <w:t>of</w:t>
      </w:r>
      <w:proofErr w:type="spellEnd"/>
      <w:r w:rsidR="00C13874" w:rsidRPr="00281687">
        <w:rPr>
          <w:szCs w:val="24"/>
          <w:lang w:val="pt-BR"/>
        </w:rPr>
        <w:t xml:space="preserve"> </w:t>
      </w:r>
      <w:proofErr w:type="spellStart"/>
      <w:r w:rsidR="00C13874" w:rsidRPr="00281687">
        <w:rPr>
          <w:szCs w:val="24"/>
          <w:lang w:val="pt-BR"/>
        </w:rPr>
        <w:t>Cleaner</w:t>
      </w:r>
      <w:proofErr w:type="spellEnd"/>
      <w:r w:rsidR="00C13874" w:rsidRPr="00281687">
        <w:rPr>
          <w:szCs w:val="24"/>
          <w:lang w:val="pt-BR"/>
        </w:rPr>
        <w:t xml:space="preserve"> </w:t>
      </w:r>
      <w:proofErr w:type="spellStart"/>
      <w:r w:rsidR="00C13874" w:rsidRPr="00281687">
        <w:rPr>
          <w:szCs w:val="24"/>
          <w:lang w:val="pt-BR"/>
        </w:rPr>
        <w:t>Production</w:t>
      </w:r>
      <w:proofErr w:type="spellEnd"/>
      <w:r w:rsidR="00C13874" w:rsidRPr="00281687">
        <w:rPr>
          <w:szCs w:val="24"/>
          <w:lang w:val="pt-BR"/>
        </w:rPr>
        <w:t>, 47, pp. 222-231. 2013.</w:t>
      </w:r>
    </w:p>
    <w:p w14:paraId="5126BA97" w14:textId="795FD66E" w:rsidR="0060236E" w:rsidRPr="00281687" w:rsidRDefault="0060236E" w:rsidP="00A17B19">
      <w:pPr>
        <w:spacing w:after="120"/>
        <w:jc w:val="left"/>
        <w:rPr>
          <w:szCs w:val="24"/>
          <w:lang w:val="pt-BR"/>
        </w:rPr>
      </w:pPr>
      <w:r w:rsidRPr="00281687">
        <w:rPr>
          <w:szCs w:val="24"/>
          <w:lang w:val="pt-BR"/>
        </w:rPr>
        <w:t xml:space="preserve">COSTA, N.; PATRÍCIO, L.; MORELLI, N.; MAGEE, C. L. </w:t>
      </w:r>
      <w:proofErr w:type="spellStart"/>
      <w:r w:rsidRPr="00281687">
        <w:rPr>
          <w:szCs w:val="24"/>
          <w:lang w:val="pt-BR"/>
        </w:rPr>
        <w:t>Bringing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service</w:t>
      </w:r>
      <w:proofErr w:type="spellEnd"/>
      <w:r w:rsidRPr="00281687">
        <w:rPr>
          <w:szCs w:val="24"/>
          <w:lang w:val="pt-BR"/>
        </w:rPr>
        <w:t xml:space="preserve"> design </w:t>
      </w:r>
      <w:proofErr w:type="spellStart"/>
      <w:r w:rsidRPr="00281687">
        <w:rPr>
          <w:szCs w:val="24"/>
          <w:lang w:val="pt-BR"/>
        </w:rPr>
        <w:t>to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manufacturing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companies</w:t>
      </w:r>
      <w:proofErr w:type="spellEnd"/>
      <w:r w:rsidRPr="00281687">
        <w:rPr>
          <w:szCs w:val="24"/>
          <w:lang w:val="pt-BR"/>
        </w:rPr>
        <w:t xml:space="preserve">: </w:t>
      </w:r>
      <w:proofErr w:type="spellStart"/>
      <w:r w:rsidRPr="00281687">
        <w:rPr>
          <w:szCs w:val="24"/>
          <w:lang w:val="pt-BR"/>
        </w:rPr>
        <w:t>integrating</w:t>
      </w:r>
      <w:proofErr w:type="spellEnd"/>
      <w:r w:rsidRPr="00281687">
        <w:rPr>
          <w:szCs w:val="24"/>
          <w:lang w:val="pt-BR"/>
        </w:rPr>
        <w:t xml:space="preserve"> PSS </w:t>
      </w:r>
      <w:proofErr w:type="spellStart"/>
      <w:r w:rsidRPr="00281687">
        <w:rPr>
          <w:szCs w:val="24"/>
          <w:lang w:val="pt-BR"/>
        </w:rPr>
        <w:t>and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service</w:t>
      </w:r>
      <w:proofErr w:type="spellEnd"/>
      <w:r w:rsidRPr="00281687">
        <w:rPr>
          <w:szCs w:val="24"/>
          <w:lang w:val="pt-BR"/>
        </w:rPr>
        <w:t xml:space="preserve"> design approaches. Design </w:t>
      </w:r>
      <w:proofErr w:type="spellStart"/>
      <w:r w:rsidRPr="00281687">
        <w:rPr>
          <w:szCs w:val="24"/>
          <w:lang w:val="pt-BR"/>
        </w:rPr>
        <w:t>Studies</w:t>
      </w:r>
      <w:proofErr w:type="spellEnd"/>
      <w:r w:rsidRPr="00281687">
        <w:rPr>
          <w:szCs w:val="24"/>
          <w:lang w:val="pt-BR"/>
        </w:rPr>
        <w:t>, v. 55, p. 112-145, 2018.</w:t>
      </w:r>
    </w:p>
    <w:p w14:paraId="45756F1F" w14:textId="0F1FC71F" w:rsidR="004277D7" w:rsidRPr="00281687" w:rsidRDefault="002229F5" w:rsidP="00A17B19">
      <w:pPr>
        <w:spacing w:after="120"/>
        <w:jc w:val="left"/>
        <w:rPr>
          <w:szCs w:val="24"/>
          <w:lang w:val="pt-BR"/>
        </w:rPr>
      </w:pPr>
      <w:r w:rsidRPr="00281687">
        <w:rPr>
          <w:szCs w:val="24"/>
          <w:lang w:val="pt-BR"/>
        </w:rPr>
        <w:t xml:space="preserve">GERALDI, B.; MAYLOR, H.; WILLIAMS, T. </w:t>
      </w:r>
      <w:proofErr w:type="spellStart"/>
      <w:r w:rsidRPr="00281687">
        <w:rPr>
          <w:szCs w:val="24"/>
          <w:lang w:val="pt-BR"/>
        </w:rPr>
        <w:t>Now</w:t>
      </w:r>
      <w:proofErr w:type="spellEnd"/>
      <w:r w:rsidRPr="00281687">
        <w:rPr>
          <w:szCs w:val="24"/>
          <w:lang w:val="pt-BR"/>
        </w:rPr>
        <w:t xml:space="preserve">, </w:t>
      </w:r>
      <w:proofErr w:type="spellStart"/>
      <w:r w:rsidRPr="00281687">
        <w:rPr>
          <w:szCs w:val="24"/>
          <w:lang w:val="pt-BR"/>
        </w:rPr>
        <w:t>let’s</w:t>
      </w:r>
      <w:proofErr w:type="spellEnd"/>
      <w:r w:rsidRPr="00281687">
        <w:rPr>
          <w:szCs w:val="24"/>
          <w:lang w:val="pt-BR"/>
        </w:rPr>
        <w:t xml:space="preserve"> make it </w:t>
      </w:r>
      <w:proofErr w:type="spellStart"/>
      <w:r w:rsidRPr="00281687">
        <w:rPr>
          <w:szCs w:val="24"/>
          <w:lang w:val="pt-BR"/>
        </w:rPr>
        <w:t>really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complex</w:t>
      </w:r>
      <w:proofErr w:type="spellEnd"/>
      <w:r w:rsidRPr="00281687">
        <w:rPr>
          <w:szCs w:val="24"/>
          <w:lang w:val="pt-BR"/>
        </w:rPr>
        <w:t xml:space="preserve"> (</w:t>
      </w:r>
      <w:proofErr w:type="spellStart"/>
      <w:r w:rsidRPr="00281687">
        <w:rPr>
          <w:szCs w:val="24"/>
          <w:lang w:val="pt-BR"/>
        </w:rPr>
        <w:t>complicated</w:t>
      </w:r>
      <w:proofErr w:type="spellEnd"/>
      <w:r w:rsidRPr="00281687">
        <w:rPr>
          <w:szCs w:val="24"/>
          <w:lang w:val="pt-BR"/>
        </w:rPr>
        <w:t xml:space="preserve">): A </w:t>
      </w:r>
      <w:proofErr w:type="spellStart"/>
      <w:r w:rsidRPr="00281687">
        <w:rPr>
          <w:szCs w:val="24"/>
          <w:lang w:val="pt-BR"/>
        </w:rPr>
        <w:t>systematic</w:t>
      </w:r>
      <w:proofErr w:type="spellEnd"/>
      <w:r w:rsidRPr="00281687">
        <w:rPr>
          <w:szCs w:val="24"/>
          <w:lang w:val="pt-BR"/>
        </w:rPr>
        <w:t xml:space="preserve"> review </w:t>
      </w:r>
      <w:proofErr w:type="spellStart"/>
      <w:r w:rsidRPr="00281687">
        <w:rPr>
          <w:szCs w:val="24"/>
          <w:lang w:val="pt-BR"/>
        </w:rPr>
        <w:t>of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the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complexities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of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projects</w:t>
      </w:r>
      <w:proofErr w:type="spellEnd"/>
      <w:r w:rsidRPr="00281687">
        <w:rPr>
          <w:szCs w:val="24"/>
          <w:lang w:val="pt-BR"/>
        </w:rPr>
        <w:t xml:space="preserve">. </w:t>
      </w:r>
      <w:proofErr w:type="spellStart"/>
      <w:r w:rsidRPr="00281687">
        <w:rPr>
          <w:szCs w:val="24"/>
          <w:lang w:val="pt-BR"/>
        </w:rPr>
        <w:t>International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Journal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of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Operations</w:t>
      </w:r>
      <w:proofErr w:type="spellEnd"/>
      <w:r w:rsidRPr="00281687">
        <w:rPr>
          <w:szCs w:val="24"/>
          <w:lang w:val="pt-BR"/>
        </w:rPr>
        <w:t xml:space="preserve"> &amp; </w:t>
      </w:r>
      <w:proofErr w:type="spellStart"/>
      <w:r w:rsidRPr="00281687">
        <w:rPr>
          <w:szCs w:val="24"/>
          <w:lang w:val="pt-BR"/>
        </w:rPr>
        <w:t>Production</w:t>
      </w:r>
      <w:proofErr w:type="spellEnd"/>
      <w:r w:rsidRPr="00281687">
        <w:rPr>
          <w:szCs w:val="24"/>
          <w:lang w:val="pt-BR"/>
        </w:rPr>
        <w:t xml:space="preserve"> Management, 31(9), pp. 966-990, 2011.</w:t>
      </w:r>
    </w:p>
    <w:p w14:paraId="531DC943" w14:textId="12F3AFC2" w:rsidR="00261D1F" w:rsidRPr="00281687" w:rsidRDefault="00261D1F" w:rsidP="00261D1F">
      <w:pPr>
        <w:spacing w:after="120"/>
        <w:jc w:val="left"/>
        <w:rPr>
          <w:szCs w:val="24"/>
          <w:lang w:val="pt-BR"/>
        </w:rPr>
      </w:pPr>
      <w:r w:rsidRPr="00281687">
        <w:rPr>
          <w:szCs w:val="24"/>
          <w:lang w:val="pt-BR"/>
        </w:rPr>
        <w:t>IBGE, Instituto Brasileiro de Geografia e Estatística. Pesquisa mensal de serviços. 2022</w:t>
      </w:r>
      <w:r w:rsidR="00A464F1" w:rsidRPr="00281687">
        <w:rPr>
          <w:szCs w:val="24"/>
          <w:lang w:val="pt-BR"/>
        </w:rPr>
        <w:t>a</w:t>
      </w:r>
      <w:r w:rsidRPr="00281687">
        <w:rPr>
          <w:szCs w:val="24"/>
          <w:lang w:val="pt-BR"/>
        </w:rPr>
        <w:t>. Disponível em: &lt;https://www.ibge.gov.br/estatisticas/economicas/servicos/9229-pesquisa-mensal-de-servicos.html?=&amp;t=resultados&gt;. Acesso em: 18 fev. 2023.</w:t>
      </w:r>
    </w:p>
    <w:p w14:paraId="38BEE50F" w14:textId="6CC3146E" w:rsidR="00261D1F" w:rsidRPr="00281687" w:rsidRDefault="00261D1F" w:rsidP="00261D1F">
      <w:pPr>
        <w:spacing w:after="120"/>
        <w:jc w:val="left"/>
        <w:rPr>
          <w:szCs w:val="24"/>
          <w:lang w:val="pt-BR"/>
        </w:rPr>
      </w:pPr>
      <w:r w:rsidRPr="00281687">
        <w:rPr>
          <w:szCs w:val="24"/>
          <w:lang w:val="pt-BR"/>
        </w:rPr>
        <w:t>IBGE, Instituto Brasileiro de Geografia e Estatística. Tabela 1 - Indicadores do Volume de Vendas do Comércio Varejista e Comércio Varejista Ampliado, segundo as atividades de divulgação. 2022</w:t>
      </w:r>
      <w:r w:rsidR="00A464F1" w:rsidRPr="00281687">
        <w:rPr>
          <w:szCs w:val="24"/>
          <w:lang w:val="pt-BR"/>
        </w:rPr>
        <w:t>b</w:t>
      </w:r>
      <w:r w:rsidRPr="00281687">
        <w:rPr>
          <w:szCs w:val="24"/>
          <w:lang w:val="pt-BR"/>
        </w:rPr>
        <w:t>. Disponível em: &lt;https://ftp.ibge.gov.br/Comercio_e_Servicos/Pesquisa_Mensal_de_Comercio/Tabelas/2022/pmc_202212_01.xlsx&gt;. Acesso em 18 fev. 2023.</w:t>
      </w:r>
    </w:p>
    <w:p w14:paraId="095DA680" w14:textId="5F4E605D" w:rsidR="007707F8" w:rsidRPr="00281687" w:rsidRDefault="007707F8" w:rsidP="00261D1F">
      <w:pPr>
        <w:spacing w:after="120"/>
        <w:jc w:val="left"/>
        <w:rPr>
          <w:szCs w:val="24"/>
          <w:lang w:val="pt-BR"/>
        </w:rPr>
      </w:pPr>
      <w:r w:rsidRPr="00281687">
        <w:rPr>
          <w:szCs w:val="24"/>
          <w:lang w:val="pt-BR"/>
        </w:rPr>
        <w:t xml:space="preserve">MONT, O. K. </w:t>
      </w:r>
      <w:proofErr w:type="spellStart"/>
      <w:r w:rsidRPr="00281687">
        <w:rPr>
          <w:szCs w:val="24"/>
          <w:lang w:val="pt-BR"/>
        </w:rPr>
        <w:t>Clarifying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the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concept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of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product</w:t>
      </w:r>
      <w:proofErr w:type="spellEnd"/>
      <w:r w:rsidRPr="00281687">
        <w:rPr>
          <w:szCs w:val="24"/>
          <w:lang w:val="pt-BR"/>
        </w:rPr>
        <w:t>–</w:t>
      </w:r>
      <w:proofErr w:type="spellStart"/>
      <w:r w:rsidRPr="00281687">
        <w:rPr>
          <w:szCs w:val="24"/>
          <w:lang w:val="pt-BR"/>
        </w:rPr>
        <w:t>service</w:t>
      </w:r>
      <w:proofErr w:type="spellEnd"/>
      <w:r w:rsidRPr="00281687">
        <w:rPr>
          <w:szCs w:val="24"/>
          <w:lang w:val="pt-BR"/>
        </w:rPr>
        <w:t xml:space="preserve"> system. </w:t>
      </w:r>
      <w:proofErr w:type="spellStart"/>
      <w:r w:rsidRPr="00281687">
        <w:rPr>
          <w:szCs w:val="24"/>
          <w:lang w:val="pt-BR"/>
        </w:rPr>
        <w:t>Journal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of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Cleaner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Production</w:t>
      </w:r>
      <w:proofErr w:type="spellEnd"/>
      <w:r w:rsidRPr="00281687">
        <w:rPr>
          <w:szCs w:val="24"/>
          <w:lang w:val="pt-BR"/>
        </w:rPr>
        <w:t>, 10, pp. 237–245. 2002.</w:t>
      </w:r>
    </w:p>
    <w:p w14:paraId="14B6F62E" w14:textId="221EBDA4" w:rsidR="00A015AB" w:rsidRPr="00281687" w:rsidRDefault="00A015AB" w:rsidP="00261D1F">
      <w:pPr>
        <w:spacing w:after="120"/>
        <w:jc w:val="left"/>
        <w:rPr>
          <w:szCs w:val="24"/>
          <w:lang w:val="pt-BR"/>
        </w:rPr>
      </w:pPr>
      <w:r w:rsidRPr="00281687">
        <w:rPr>
          <w:szCs w:val="24"/>
          <w:lang w:val="pt-BR"/>
        </w:rPr>
        <w:t xml:space="preserve">MONT, O.; TUCKER, A. Product-Service Systems: </w:t>
      </w:r>
      <w:proofErr w:type="spellStart"/>
      <w:r w:rsidRPr="00281687">
        <w:rPr>
          <w:szCs w:val="24"/>
          <w:lang w:val="pt-BR"/>
        </w:rPr>
        <w:t>reviewing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achievements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and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refining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the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research</w:t>
      </w:r>
      <w:proofErr w:type="spellEnd"/>
      <w:r w:rsidRPr="00281687">
        <w:rPr>
          <w:szCs w:val="24"/>
          <w:lang w:val="pt-BR"/>
        </w:rPr>
        <w:t xml:space="preserve"> agenda. </w:t>
      </w:r>
      <w:proofErr w:type="spellStart"/>
      <w:r w:rsidRPr="00281687">
        <w:rPr>
          <w:szCs w:val="24"/>
          <w:lang w:val="pt-BR"/>
        </w:rPr>
        <w:t>Journal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of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Cleaner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Production</w:t>
      </w:r>
      <w:proofErr w:type="spellEnd"/>
      <w:r w:rsidRPr="00281687">
        <w:rPr>
          <w:szCs w:val="24"/>
          <w:lang w:val="pt-BR"/>
        </w:rPr>
        <w:t>, v.14, n.17, p.1451-1454, 2006.</w:t>
      </w:r>
    </w:p>
    <w:p w14:paraId="2F3E145B" w14:textId="6D928B4C" w:rsidR="00A015AB" w:rsidRPr="00281687" w:rsidRDefault="00A015AB" w:rsidP="00261D1F">
      <w:pPr>
        <w:spacing w:after="120"/>
        <w:jc w:val="left"/>
        <w:rPr>
          <w:szCs w:val="24"/>
          <w:lang w:val="pt-BR"/>
        </w:rPr>
      </w:pPr>
      <w:r w:rsidRPr="00281687">
        <w:rPr>
          <w:szCs w:val="24"/>
          <w:lang w:val="pt-BR"/>
        </w:rPr>
        <w:t>ONU, Organização das Nações Unidas. Agenda 2030 para o Desenvolvimento Sustentável. 2015. Disponível em: &lt;https://brasil.un.org/pt-br/91863-agenda-2030-para-o-desenvolvimento-sustentavel&gt;. Acesso em: 18 fev. 2023.</w:t>
      </w:r>
    </w:p>
    <w:p w14:paraId="209ADA80" w14:textId="3787153A" w:rsidR="00662219" w:rsidRPr="00281687" w:rsidRDefault="00CD071D" w:rsidP="00A17B19">
      <w:pPr>
        <w:spacing w:after="120"/>
        <w:jc w:val="left"/>
        <w:rPr>
          <w:szCs w:val="24"/>
          <w:lang w:val="pt-BR"/>
        </w:rPr>
      </w:pPr>
      <w:r w:rsidRPr="00281687">
        <w:rPr>
          <w:szCs w:val="24"/>
          <w:lang w:val="pt-BR"/>
        </w:rPr>
        <w:lastRenderedPageBreak/>
        <w:t xml:space="preserve">THOMÉ, A. M. T.; SCAVARDA, L. F.; SCAVARDA, A. J. </w:t>
      </w:r>
      <w:proofErr w:type="spellStart"/>
      <w:r w:rsidRPr="00281687">
        <w:rPr>
          <w:szCs w:val="24"/>
          <w:lang w:val="pt-BR"/>
        </w:rPr>
        <w:t>Conducting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systematic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literature</w:t>
      </w:r>
      <w:proofErr w:type="spellEnd"/>
      <w:r w:rsidRPr="00281687">
        <w:rPr>
          <w:szCs w:val="24"/>
          <w:lang w:val="pt-BR"/>
        </w:rPr>
        <w:t xml:space="preserve"> review in </w:t>
      </w:r>
      <w:proofErr w:type="spellStart"/>
      <w:r w:rsidRPr="00281687">
        <w:rPr>
          <w:szCs w:val="24"/>
          <w:lang w:val="pt-BR"/>
        </w:rPr>
        <w:t>operations</w:t>
      </w:r>
      <w:proofErr w:type="spellEnd"/>
      <w:r w:rsidRPr="00281687">
        <w:rPr>
          <w:szCs w:val="24"/>
          <w:lang w:val="pt-BR"/>
        </w:rPr>
        <w:t xml:space="preserve"> management. </w:t>
      </w:r>
      <w:proofErr w:type="spellStart"/>
      <w:r w:rsidRPr="00281687">
        <w:rPr>
          <w:szCs w:val="24"/>
          <w:lang w:val="pt-BR"/>
        </w:rPr>
        <w:t>Production</w:t>
      </w:r>
      <w:proofErr w:type="spellEnd"/>
      <w:r w:rsidRPr="00281687">
        <w:rPr>
          <w:szCs w:val="24"/>
          <w:lang w:val="pt-BR"/>
        </w:rPr>
        <w:t xml:space="preserve"> Planning &amp; </w:t>
      </w:r>
      <w:proofErr w:type="spellStart"/>
      <w:r w:rsidRPr="00281687">
        <w:rPr>
          <w:szCs w:val="24"/>
          <w:lang w:val="pt-BR"/>
        </w:rPr>
        <w:t>Control</w:t>
      </w:r>
      <w:proofErr w:type="spellEnd"/>
      <w:r w:rsidRPr="00281687">
        <w:rPr>
          <w:szCs w:val="24"/>
          <w:lang w:val="pt-BR"/>
        </w:rPr>
        <w:t>, v. 27, n. 5, p. 408-420, 2016.</w:t>
      </w:r>
    </w:p>
    <w:p w14:paraId="54462A8F" w14:textId="63B48042" w:rsidR="0006407E" w:rsidRPr="00281687" w:rsidRDefault="0006407E" w:rsidP="007707F8">
      <w:pPr>
        <w:spacing w:after="120"/>
        <w:jc w:val="left"/>
        <w:rPr>
          <w:szCs w:val="24"/>
          <w:lang w:val="pt-BR"/>
        </w:rPr>
      </w:pPr>
      <w:r w:rsidRPr="00281687">
        <w:rPr>
          <w:szCs w:val="24"/>
          <w:lang w:val="pt-BR"/>
        </w:rPr>
        <w:t xml:space="preserve">TUKKER, A.; TISCHNER, </w:t>
      </w:r>
      <w:r w:rsidR="007707F8" w:rsidRPr="00281687">
        <w:rPr>
          <w:szCs w:val="24"/>
          <w:lang w:val="pt-BR"/>
        </w:rPr>
        <w:t xml:space="preserve">U. New Business for </w:t>
      </w:r>
      <w:proofErr w:type="spellStart"/>
      <w:r w:rsidR="007707F8" w:rsidRPr="00281687">
        <w:rPr>
          <w:szCs w:val="24"/>
          <w:lang w:val="pt-BR"/>
        </w:rPr>
        <w:t>Old</w:t>
      </w:r>
      <w:proofErr w:type="spellEnd"/>
      <w:r w:rsidR="007707F8" w:rsidRPr="00281687">
        <w:rPr>
          <w:szCs w:val="24"/>
          <w:lang w:val="pt-BR"/>
        </w:rPr>
        <w:t xml:space="preserve"> </w:t>
      </w:r>
      <w:proofErr w:type="spellStart"/>
      <w:r w:rsidR="007707F8" w:rsidRPr="00281687">
        <w:rPr>
          <w:szCs w:val="24"/>
          <w:lang w:val="pt-BR"/>
        </w:rPr>
        <w:t>Europe</w:t>
      </w:r>
      <w:proofErr w:type="spellEnd"/>
      <w:r w:rsidR="007707F8" w:rsidRPr="00281687">
        <w:rPr>
          <w:szCs w:val="24"/>
          <w:lang w:val="pt-BR"/>
        </w:rPr>
        <w:t xml:space="preserve">: Product-Service </w:t>
      </w:r>
      <w:proofErr w:type="spellStart"/>
      <w:r w:rsidR="007707F8" w:rsidRPr="00281687">
        <w:rPr>
          <w:szCs w:val="24"/>
          <w:lang w:val="pt-BR"/>
        </w:rPr>
        <w:t>Development</w:t>
      </w:r>
      <w:proofErr w:type="spellEnd"/>
      <w:r w:rsidR="007707F8" w:rsidRPr="00281687">
        <w:rPr>
          <w:szCs w:val="24"/>
          <w:lang w:val="pt-BR"/>
        </w:rPr>
        <w:t xml:space="preserve">, </w:t>
      </w:r>
      <w:proofErr w:type="spellStart"/>
      <w:r w:rsidR="007707F8" w:rsidRPr="00281687">
        <w:rPr>
          <w:szCs w:val="24"/>
          <w:lang w:val="pt-BR"/>
        </w:rPr>
        <w:t>Competitiveness</w:t>
      </w:r>
      <w:proofErr w:type="spellEnd"/>
      <w:r w:rsidR="007707F8" w:rsidRPr="00281687">
        <w:rPr>
          <w:szCs w:val="24"/>
          <w:lang w:val="pt-BR"/>
        </w:rPr>
        <w:t xml:space="preserve"> </w:t>
      </w:r>
      <w:proofErr w:type="spellStart"/>
      <w:r w:rsidR="007707F8" w:rsidRPr="00281687">
        <w:rPr>
          <w:szCs w:val="24"/>
          <w:lang w:val="pt-BR"/>
        </w:rPr>
        <w:t>and</w:t>
      </w:r>
      <w:proofErr w:type="spellEnd"/>
      <w:r w:rsidR="007707F8" w:rsidRPr="00281687">
        <w:rPr>
          <w:szCs w:val="24"/>
          <w:lang w:val="pt-BR"/>
        </w:rPr>
        <w:t xml:space="preserve"> Sustainability. </w:t>
      </w:r>
      <w:proofErr w:type="spellStart"/>
      <w:r w:rsidR="007707F8" w:rsidRPr="00281687">
        <w:rPr>
          <w:szCs w:val="24"/>
          <w:lang w:val="pt-BR"/>
        </w:rPr>
        <w:t>Greenlief</w:t>
      </w:r>
      <w:proofErr w:type="spellEnd"/>
      <w:r w:rsidR="007707F8" w:rsidRPr="00281687">
        <w:rPr>
          <w:szCs w:val="24"/>
          <w:lang w:val="pt-BR"/>
        </w:rPr>
        <w:t>, 2006.</w:t>
      </w:r>
    </w:p>
    <w:p w14:paraId="50BFCECC" w14:textId="7DE6A2FF" w:rsidR="00662219" w:rsidRPr="00281687" w:rsidRDefault="003D4E9A" w:rsidP="00854167">
      <w:pPr>
        <w:spacing w:after="120"/>
        <w:jc w:val="left"/>
        <w:rPr>
          <w:szCs w:val="24"/>
          <w:lang w:val="pt-BR"/>
        </w:rPr>
      </w:pPr>
      <w:r w:rsidRPr="00281687">
        <w:rPr>
          <w:szCs w:val="24"/>
          <w:lang w:val="pt-BR"/>
        </w:rPr>
        <w:t xml:space="preserve">WORLD BANK. 4.2 World </w:t>
      </w:r>
      <w:proofErr w:type="spellStart"/>
      <w:r w:rsidRPr="00281687">
        <w:rPr>
          <w:szCs w:val="24"/>
          <w:lang w:val="pt-BR"/>
        </w:rPr>
        <w:t>Development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Indicators</w:t>
      </w:r>
      <w:proofErr w:type="spellEnd"/>
      <w:r w:rsidRPr="00281687">
        <w:rPr>
          <w:szCs w:val="24"/>
          <w:lang w:val="pt-BR"/>
        </w:rPr>
        <w:t xml:space="preserve">: </w:t>
      </w:r>
      <w:proofErr w:type="spellStart"/>
      <w:r w:rsidRPr="00281687">
        <w:rPr>
          <w:szCs w:val="24"/>
          <w:lang w:val="pt-BR"/>
        </w:rPr>
        <w:t>Structure</w:t>
      </w:r>
      <w:proofErr w:type="spellEnd"/>
      <w:r w:rsidRPr="00281687">
        <w:rPr>
          <w:szCs w:val="24"/>
          <w:lang w:val="pt-BR"/>
        </w:rPr>
        <w:t xml:space="preserve"> </w:t>
      </w:r>
      <w:proofErr w:type="spellStart"/>
      <w:r w:rsidRPr="00281687">
        <w:rPr>
          <w:szCs w:val="24"/>
          <w:lang w:val="pt-BR"/>
        </w:rPr>
        <w:t>of</w:t>
      </w:r>
      <w:proofErr w:type="spellEnd"/>
      <w:r w:rsidRPr="00281687">
        <w:rPr>
          <w:szCs w:val="24"/>
          <w:lang w:val="pt-BR"/>
        </w:rPr>
        <w:t xml:space="preserve"> output. Disponível em: &lt;http://wdi.worldbank.org/</w:t>
      </w:r>
      <w:proofErr w:type="spellStart"/>
      <w:r w:rsidRPr="00281687">
        <w:rPr>
          <w:szCs w:val="24"/>
          <w:lang w:val="pt-BR"/>
        </w:rPr>
        <w:t>table</w:t>
      </w:r>
      <w:proofErr w:type="spellEnd"/>
      <w:r w:rsidRPr="00281687">
        <w:rPr>
          <w:szCs w:val="24"/>
          <w:lang w:val="pt-BR"/>
        </w:rPr>
        <w:t>/4.2&gt;. Acesso em: 18 fev. 2023.</w:t>
      </w:r>
    </w:p>
    <w:sectPr w:rsidR="00662219" w:rsidRPr="00281687" w:rsidSect="00575335"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701" w:right="1134" w:bottom="1134" w:left="1701" w:header="425" w:footer="567" w:gutter="0"/>
      <w:pgNumType w:start="41"/>
      <w:cols w:space="284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31CF" w14:textId="77777777" w:rsidR="00850990" w:rsidRDefault="00850990">
      <w:r>
        <w:separator/>
      </w:r>
    </w:p>
  </w:endnote>
  <w:endnote w:type="continuationSeparator" w:id="0">
    <w:p w14:paraId="6748FBDC" w14:textId="77777777" w:rsidR="00850990" w:rsidRDefault="0085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9A96" w14:textId="77777777" w:rsidR="0073688A" w:rsidRDefault="0073688A" w:rsidP="00094DEA">
    <w:pPr>
      <w:pStyle w:val="Footer"/>
      <w:rPr>
        <w:rStyle w:val="PageNumber"/>
      </w:rPr>
    </w:pPr>
  </w:p>
  <w:p w14:paraId="4E0B2D61" w14:textId="77777777" w:rsidR="0073688A" w:rsidRPr="008F75CD" w:rsidRDefault="0073688A" w:rsidP="00094DEA">
    <w:pPr>
      <w:widowControl w:val="0"/>
      <w:rPr>
        <w:sz w:val="22"/>
        <w:szCs w:val="22"/>
        <w:lang w:val="pt-BR"/>
      </w:rPr>
    </w:pPr>
    <w:r>
      <w:rPr>
        <w:rFonts w:ascii="Arial-BoldMT" w:hAnsi="Arial-BoldMT" w:cs="Arial-BoldMT"/>
        <w:b/>
        <w:bCs/>
        <w:sz w:val="18"/>
        <w:szCs w:val="18"/>
        <w:lang w:val="pt-BR" w:eastAsia="en-US" w:bidi="en-US"/>
      </w:rPr>
      <w:t>Estudos em Design</w:t>
    </w:r>
    <w:r w:rsidRPr="00A52804">
      <w:rPr>
        <w:rFonts w:ascii="Arial-BoldMT" w:hAnsi="Arial-BoldMT" w:cs="Arial-BoldMT"/>
        <w:b/>
        <w:bCs/>
        <w:sz w:val="18"/>
        <w:szCs w:val="18"/>
        <w:lang w:val="pt-BR" w:eastAsia="en-US" w:bidi="en-US"/>
      </w:rPr>
      <w:t xml:space="preserve"> </w:t>
    </w:r>
    <w:r w:rsidRPr="00A52804">
      <w:rPr>
        <w:rFonts w:ascii="Arial-BoldMT" w:hAnsi="Arial-BoldMT" w:cs="Arial-BoldMT"/>
        <w:sz w:val="18"/>
        <w:szCs w:val="18"/>
        <w:lang w:val="pt-BR" w:eastAsia="en-US" w:bidi="en-US"/>
      </w:rPr>
      <w:t>| Re</w:t>
    </w:r>
    <w:r>
      <w:rPr>
        <w:rFonts w:ascii="Arial-BoldMT" w:hAnsi="Arial-BoldMT" w:cs="Arial-BoldMT"/>
        <w:sz w:val="18"/>
        <w:szCs w:val="18"/>
        <w:lang w:val="pt-BR" w:eastAsia="en-US" w:bidi="en-US"/>
      </w:rPr>
      <w:t xml:space="preserve">vista (online). Rio de Janeiro: </w:t>
    </w:r>
    <w:r w:rsidRPr="00A52804">
      <w:rPr>
        <w:rFonts w:ascii="Arial-BoldMT" w:hAnsi="Arial-BoldMT" w:cs="Arial-BoldMT"/>
        <w:sz w:val="18"/>
        <w:szCs w:val="18"/>
        <w:lang w:val="pt-BR" w:eastAsia="en-US" w:bidi="en-US"/>
      </w:rPr>
      <w:t xml:space="preserve">v. </w:t>
    </w:r>
    <w:r w:rsidRPr="00A52804">
      <w:rPr>
        <w:rFonts w:ascii="Arial-BoldMT" w:hAnsi="Arial-BoldMT" w:cs="Arial-BoldMT"/>
        <w:color w:val="FF0000"/>
        <w:sz w:val="18"/>
        <w:szCs w:val="18"/>
        <w:lang w:val="pt-BR" w:eastAsia="en-US" w:bidi="en-US"/>
      </w:rPr>
      <w:t>X</w:t>
    </w:r>
    <w:r w:rsidRPr="00A52804">
      <w:rPr>
        <w:rFonts w:ascii="Arial-BoldMT" w:hAnsi="Arial-BoldMT" w:cs="Arial-BoldMT"/>
        <w:sz w:val="18"/>
        <w:szCs w:val="18"/>
        <w:lang w:val="pt-BR" w:eastAsia="en-US" w:bidi="en-US"/>
      </w:rPr>
      <w:t xml:space="preserve"> | n. </w:t>
    </w:r>
    <w:r w:rsidRPr="00A52804">
      <w:rPr>
        <w:rFonts w:ascii="Arial-BoldMT" w:hAnsi="Arial-BoldMT" w:cs="Arial-BoldMT"/>
        <w:color w:val="FF0000"/>
        <w:sz w:val="18"/>
        <w:szCs w:val="18"/>
        <w:lang w:val="pt-BR" w:eastAsia="en-US" w:bidi="en-US"/>
      </w:rPr>
      <w:t>X</w:t>
    </w:r>
    <w:r w:rsidRPr="00A52804">
      <w:rPr>
        <w:rFonts w:ascii="Arial-BoldMT" w:hAnsi="Arial-BoldMT" w:cs="Arial-BoldMT"/>
        <w:sz w:val="18"/>
        <w:szCs w:val="18"/>
        <w:lang w:val="pt-BR" w:eastAsia="en-US" w:bidi="en-US"/>
      </w:rPr>
      <w:t xml:space="preserve"> [</w:t>
    </w:r>
    <w:r w:rsidRPr="00A52804">
      <w:rPr>
        <w:rFonts w:ascii="Arial-BoldMT" w:hAnsi="Arial-BoldMT" w:cs="Arial-BoldMT"/>
        <w:color w:val="FF0000"/>
        <w:sz w:val="18"/>
        <w:szCs w:val="18"/>
        <w:lang w:val="pt-BR" w:eastAsia="en-US" w:bidi="en-US"/>
      </w:rPr>
      <w:t>ANO</w:t>
    </w:r>
    <w:r w:rsidRPr="00A52804">
      <w:rPr>
        <w:rFonts w:ascii="Arial-BoldMT" w:hAnsi="Arial-BoldMT" w:cs="Arial-BoldMT"/>
        <w:sz w:val="18"/>
        <w:szCs w:val="18"/>
        <w:lang w:val="pt-BR" w:eastAsia="en-US" w:bidi="en-US"/>
      </w:rPr>
      <w:t xml:space="preserve">], p. </w:t>
    </w:r>
    <w:r w:rsidRPr="00A52804">
      <w:rPr>
        <w:rFonts w:ascii="Arial-BoldMT" w:hAnsi="Arial-BoldMT" w:cs="Arial-BoldMT"/>
        <w:color w:val="FF0000"/>
        <w:sz w:val="18"/>
        <w:szCs w:val="18"/>
        <w:lang w:val="pt-BR" w:eastAsia="en-US" w:bidi="en-US"/>
      </w:rPr>
      <w:t>X – X</w:t>
    </w:r>
    <w:r>
      <w:rPr>
        <w:rFonts w:ascii="Arial-BoldMT" w:hAnsi="Arial-BoldMT" w:cs="Arial-BoldMT"/>
        <w:sz w:val="18"/>
        <w:szCs w:val="18"/>
        <w:lang w:val="pt-BR" w:eastAsia="en-US" w:bidi="en-US"/>
      </w:rPr>
      <w:t xml:space="preserve"> | ISSN </w:t>
    </w:r>
    <w:r w:rsidRPr="00A52804">
      <w:rPr>
        <w:rStyle w:val="apple-style-span"/>
        <w:rFonts w:ascii="Verdana" w:hAnsi="Verdana"/>
        <w:sz w:val="17"/>
        <w:szCs w:val="17"/>
        <w:lang w:val="pt-BR"/>
      </w:rPr>
      <w:t>1983-196X</w:t>
    </w:r>
  </w:p>
  <w:p w14:paraId="1DD8C79E" w14:textId="77777777" w:rsidR="0073688A" w:rsidRPr="008F75CD" w:rsidRDefault="0073688A" w:rsidP="00094DEA">
    <w:pPr>
      <w:pStyle w:val="Footer"/>
      <w:rPr>
        <w:lang w:val="pt-BR"/>
      </w:rPr>
    </w:pPr>
  </w:p>
  <w:p w14:paraId="206EC906" w14:textId="77777777" w:rsidR="0073688A" w:rsidRPr="008F75CD" w:rsidRDefault="0073688A" w:rsidP="00094DEA">
    <w:pPr>
      <w:pStyle w:val="Footer"/>
      <w:rPr>
        <w:rStyle w:val="PageNumber"/>
        <w:lang w:val="pt-BR"/>
      </w:rPr>
    </w:pPr>
  </w:p>
  <w:p w14:paraId="5522AFBD" w14:textId="77777777" w:rsidR="0073688A" w:rsidRPr="008F75CD" w:rsidRDefault="0073688A" w:rsidP="00094DEA">
    <w:pPr>
      <w:pStyle w:val="Footer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75DB" w14:textId="77777777" w:rsidR="0073688A" w:rsidRPr="008F75CD" w:rsidRDefault="0073688A" w:rsidP="00094DEA">
    <w:pPr>
      <w:widowControl w:val="0"/>
      <w:rPr>
        <w:sz w:val="22"/>
        <w:szCs w:val="22"/>
        <w:lang w:val="pt-BR"/>
      </w:rPr>
    </w:pPr>
  </w:p>
  <w:p w14:paraId="203D031D" w14:textId="2F835550" w:rsidR="0073688A" w:rsidRPr="00A94F5C" w:rsidRDefault="0073688A" w:rsidP="00E8108A">
    <w:pPr>
      <w:widowControl w:val="0"/>
      <w:autoSpaceDE w:val="0"/>
      <w:autoSpaceDN w:val="0"/>
      <w:adjustRightInd w:val="0"/>
      <w:rPr>
        <w:sz w:val="17"/>
        <w:szCs w:val="17"/>
        <w:lang w:val="pt-BR"/>
      </w:rPr>
    </w:pPr>
    <w:r w:rsidRPr="00A94F5C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>ENSUS</w:t>
    </w:r>
    <w:r w:rsidR="00A94F5C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 xml:space="preserve"> 202</w:t>
    </w:r>
    <w:r w:rsidR="000F5CC4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>3</w:t>
    </w:r>
    <w:r w:rsidRPr="00A94F5C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 xml:space="preserve"> – </w:t>
    </w:r>
    <w:r w:rsidR="00A94F5C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>X</w:t>
    </w:r>
    <w:r w:rsidR="000F5CC4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>I</w:t>
    </w:r>
    <w:r w:rsidR="00A94F5C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 xml:space="preserve"> </w:t>
    </w:r>
    <w:r w:rsidRPr="00A94F5C">
      <w:rPr>
        <w:rFonts w:ascii="Arial" w:hAnsi="Arial" w:cs="Arial"/>
        <w:b/>
        <w:bCs/>
        <w:color w:val="7F7F7F"/>
        <w:sz w:val="17"/>
        <w:szCs w:val="17"/>
        <w:lang w:val="pt-BR" w:eastAsia="en-US" w:bidi="en-US"/>
      </w:rPr>
      <w:t xml:space="preserve">Encontro de Sustentabilidade em Projeto – </w:t>
    </w:r>
    <w:r w:rsidR="00A94F5C"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U</w:t>
    </w:r>
    <w:r w:rsidR="000F5CC4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FSC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–</w:t>
    </w:r>
    <w:r w:rsidR="000F5CC4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Florianópolis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– </w:t>
    </w:r>
    <w:r w:rsidR="000F5CC4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0</w:t>
    </w:r>
    <w:r w:rsidR="00281687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5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a </w:t>
    </w:r>
    <w:r w:rsidR="000F5CC4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0</w:t>
    </w:r>
    <w:r w:rsidR="00281687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7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de </w:t>
    </w:r>
    <w:proofErr w:type="gramStart"/>
    <w:r w:rsidR="000F5CC4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Junho</w:t>
    </w:r>
    <w:proofErr w:type="gramEnd"/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 xml:space="preserve"> de 202</w:t>
    </w:r>
    <w:r w:rsidR="000F5CC4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3</w:t>
    </w:r>
    <w:r w:rsidRPr="00A94F5C">
      <w:rPr>
        <w:rFonts w:ascii="Arial" w:hAnsi="Arial" w:cs="Arial"/>
        <w:bCs/>
        <w:color w:val="7F7F7F"/>
        <w:sz w:val="17"/>
        <w:szCs w:val="17"/>
        <w:lang w:val="pt-BR" w:eastAsia="en-US" w:bidi="en-US"/>
      </w:rPr>
      <w:t>.</w:t>
    </w:r>
  </w:p>
  <w:p w14:paraId="5FAD3DFC" w14:textId="77777777" w:rsidR="0073688A" w:rsidRPr="006D00BB" w:rsidRDefault="0073688A" w:rsidP="006D00BB">
    <w:pPr>
      <w:widowControl w:val="0"/>
      <w:autoSpaceDE w:val="0"/>
      <w:autoSpaceDN w:val="0"/>
      <w:adjustRightInd w:val="0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29DF" w14:textId="77777777" w:rsidR="0073688A" w:rsidRPr="000275EB" w:rsidRDefault="0073688A" w:rsidP="00342D36">
    <w:pPr>
      <w:widowControl w:val="0"/>
      <w:autoSpaceDE w:val="0"/>
      <w:autoSpaceDN w:val="0"/>
      <w:adjustRightInd w:val="0"/>
      <w:rPr>
        <w:rFonts w:ascii="Arial" w:hAnsi="Arial" w:cs="Arial"/>
        <w:color w:val="7F7F7F"/>
        <w:sz w:val="18"/>
        <w:szCs w:val="18"/>
        <w:lang w:val="pt-BR" w:eastAsia="en-US" w:bidi="en-US"/>
      </w:rPr>
    </w:pPr>
    <w:r w:rsidRPr="000275EB">
      <w:rPr>
        <w:rFonts w:ascii="Arial" w:hAnsi="Arial" w:cs="Arial"/>
        <w:b/>
        <w:bCs/>
        <w:color w:val="7F7F7F"/>
        <w:sz w:val="18"/>
        <w:szCs w:val="18"/>
        <w:lang w:val="pt-BR" w:eastAsia="en-US" w:bidi="en-US"/>
      </w:rPr>
      <w:t>Estudos em Design</w:t>
    </w:r>
    <w:r w:rsidRPr="000275EB">
      <w:rPr>
        <w:rFonts w:ascii="Arial" w:hAnsi="Arial" w:cs="Arial"/>
        <w:bCs/>
        <w:color w:val="7F7F7F"/>
        <w:sz w:val="18"/>
        <w:szCs w:val="18"/>
        <w:lang w:val="pt-BR" w:eastAsia="en-US" w:bidi="en-US"/>
      </w:rPr>
      <w:t xml:space="preserve"> </w:t>
    </w:r>
    <w:r w:rsidRPr="000275EB">
      <w:rPr>
        <w:rFonts w:ascii="Arial" w:hAnsi="Arial" w:cs="Arial"/>
        <w:color w:val="7F7F7F"/>
        <w:sz w:val="18"/>
        <w:szCs w:val="18"/>
        <w:lang w:val="pt-BR" w:eastAsia="en-US" w:bidi="en-US"/>
      </w:rPr>
      <w:t xml:space="preserve">| Revista (online). Rio de Janeiro: v. X | n. X [ANO], p. X – X | ISSN </w:t>
    </w:r>
    <w:r w:rsidRPr="000275EB">
      <w:rPr>
        <w:rStyle w:val="apple-style-span"/>
        <w:rFonts w:ascii="Arial" w:hAnsi="Arial" w:cs="Arial"/>
        <w:color w:val="7F7F7F"/>
        <w:sz w:val="17"/>
        <w:szCs w:val="17"/>
        <w:lang w:val="pt-BR"/>
      </w:rPr>
      <w:t>1983-196X</w:t>
    </w:r>
  </w:p>
  <w:p w14:paraId="1AB30BA8" w14:textId="77777777" w:rsidR="0073688A" w:rsidRPr="00B745D0" w:rsidRDefault="0073688A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B21C" w14:textId="77777777" w:rsidR="00850990" w:rsidRDefault="00850990">
      <w:bookmarkStart w:id="0" w:name="_Hlk524516655"/>
      <w:bookmarkEnd w:id="0"/>
      <w:r>
        <w:separator/>
      </w:r>
    </w:p>
  </w:footnote>
  <w:footnote w:type="continuationSeparator" w:id="0">
    <w:p w14:paraId="5AA30148" w14:textId="77777777" w:rsidR="00850990" w:rsidRDefault="00850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FC94" w14:textId="77777777" w:rsidR="000F5CC4" w:rsidRDefault="000F5CC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0F5CC4" w14:paraId="09D33C61" w14:textId="77777777" w:rsidTr="000F5CC4">
      <w:tc>
        <w:tcPr>
          <w:tcW w:w="3020" w:type="dxa"/>
        </w:tcPr>
        <w:p w14:paraId="18FB8D8D" w14:textId="68E1763C" w:rsidR="000F5CC4" w:rsidRDefault="004E3CEF" w:rsidP="006B150E">
          <w:pPr>
            <w:rPr>
              <w:noProof/>
            </w:rPr>
          </w:pPr>
          <w:r>
            <w:rPr>
              <w:noProof/>
              <w:lang w:val="pt-BR"/>
            </w:rPr>
            <w:drawing>
              <wp:inline distT="0" distB="0" distL="0" distR="0" wp14:anchorId="1CADDD18" wp14:editId="26CC99BB">
                <wp:extent cx="1074420" cy="107442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sus-202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420" cy="1074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05721545" w14:textId="0B18B23D" w:rsidR="000F5CC4" w:rsidRDefault="004E3CEF" w:rsidP="006B150E">
          <w:pPr>
            <w:rPr>
              <w:noProof/>
            </w:rPr>
          </w:pPr>
          <w:r>
            <w:rPr>
              <w:noProof/>
              <w:lang w:val="pt-BR"/>
            </w:rPr>
            <w:drawing>
              <wp:inline distT="0" distB="0" distL="0" distR="0" wp14:anchorId="4D7A8442" wp14:editId="7BCF082D">
                <wp:extent cx="1411049" cy="8572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virtuha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521" cy="859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04A6B0A4" w14:textId="6772AFE5" w:rsidR="000F5CC4" w:rsidRDefault="004E3CEF" w:rsidP="004E3CEF">
          <w:pPr>
            <w:ind w:firstLine="708"/>
            <w:rPr>
              <w:noProof/>
            </w:rPr>
          </w:pPr>
          <w:r>
            <w:rPr>
              <w:noProof/>
              <w:lang w:val="pt-BR"/>
            </w:rPr>
            <w:drawing>
              <wp:inline distT="0" distB="0" distL="0" distR="0" wp14:anchorId="35D2E405" wp14:editId="7B57CAFA">
                <wp:extent cx="764699" cy="105696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FSC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72198" cy="1067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7DE6D1" w14:textId="00A1BA8C" w:rsidR="0073688A" w:rsidRDefault="0073688A" w:rsidP="006B150E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7FB"/>
    <w:multiLevelType w:val="hybridMultilevel"/>
    <w:tmpl w:val="8DCE85DA"/>
    <w:lvl w:ilvl="0" w:tplc="7A80267A">
      <w:start w:val="1"/>
      <w:numFmt w:val="decimal"/>
      <w:pStyle w:val="Subtitle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3577"/>
    <w:multiLevelType w:val="hybridMultilevel"/>
    <w:tmpl w:val="47108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EEE"/>
    <w:multiLevelType w:val="multilevel"/>
    <w:tmpl w:val="0809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C156C8"/>
    <w:multiLevelType w:val="hybridMultilevel"/>
    <w:tmpl w:val="20222CF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4319B2"/>
    <w:multiLevelType w:val="multilevel"/>
    <w:tmpl w:val="0809001F"/>
    <w:numStyleLink w:val="Style1"/>
  </w:abstractNum>
  <w:abstractNum w:abstractNumId="5" w15:restartNumberingAfterBreak="0">
    <w:nsid w:val="272A1F14"/>
    <w:multiLevelType w:val="hybridMultilevel"/>
    <w:tmpl w:val="D5A4A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0923"/>
    <w:multiLevelType w:val="hybridMultilevel"/>
    <w:tmpl w:val="850C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77C57"/>
    <w:multiLevelType w:val="hybridMultilevel"/>
    <w:tmpl w:val="484052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B3A78"/>
    <w:multiLevelType w:val="hybridMultilevel"/>
    <w:tmpl w:val="B84E1B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596C19"/>
    <w:multiLevelType w:val="hybridMultilevel"/>
    <w:tmpl w:val="C820F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80044"/>
    <w:multiLevelType w:val="multilevel"/>
    <w:tmpl w:val="0809001D"/>
    <w:numStyleLink w:val="Style2"/>
  </w:abstractNum>
  <w:abstractNum w:abstractNumId="11" w15:restartNumberingAfterBreak="0">
    <w:nsid w:val="4AA43908"/>
    <w:multiLevelType w:val="multilevel"/>
    <w:tmpl w:val="9BB86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E136315"/>
    <w:multiLevelType w:val="hybridMultilevel"/>
    <w:tmpl w:val="CF466CF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2F723A"/>
    <w:multiLevelType w:val="hybridMultilevel"/>
    <w:tmpl w:val="FEE66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E4C1B"/>
    <w:multiLevelType w:val="multilevel"/>
    <w:tmpl w:val="0809001F"/>
    <w:numStyleLink w:val="Style1"/>
  </w:abstractNum>
  <w:abstractNum w:abstractNumId="15" w15:restartNumberingAfterBreak="0">
    <w:nsid w:val="522C2B70"/>
    <w:multiLevelType w:val="hybridMultilevel"/>
    <w:tmpl w:val="48405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5443A"/>
    <w:multiLevelType w:val="multilevel"/>
    <w:tmpl w:val="13D2E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90C7803"/>
    <w:multiLevelType w:val="hybridMultilevel"/>
    <w:tmpl w:val="B130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56E54"/>
    <w:multiLevelType w:val="multilevel"/>
    <w:tmpl w:val="0809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9EE2902"/>
    <w:multiLevelType w:val="multilevel"/>
    <w:tmpl w:val="0809001D"/>
    <w:styleLink w:val="Style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DBB6E6B"/>
    <w:multiLevelType w:val="hybridMultilevel"/>
    <w:tmpl w:val="D5A4A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6168C"/>
    <w:multiLevelType w:val="multilevel"/>
    <w:tmpl w:val="0809001F"/>
    <w:numStyleLink w:val="Style1"/>
  </w:abstractNum>
  <w:abstractNum w:abstractNumId="22" w15:restartNumberingAfterBreak="0">
    <w:nsid w:val="7E820248"/>
    <w:multiLevelType w:val="hybridMultilevel"/>
    <w:tmpl w:val="C9A65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02083">
    <w:abstractNumId w:val="6"/>
  </w:num>
  <w:num w:numId="2" w16cid:durableId="614675435">
    <w:abstractNumId w:val="8"/>
  </w:num>
  <w:num w:numId="3" w16cid:durableId="2013802011">
    <w:abstractNumId w:val="17"/>
  </w:num>
  <w:num w:numId="4" w16cid:durableId="602227263">
    <w:abstractNumId w:val="3"/>
  </w:num>
  <w:num w:numId="5" w16cid:durableId="815607704">
    <w:abstractNumId w:val="5"/>
  </w:num>
  <w:num w:numId="6" w16cid:durableId="219875372">
    <w:abstractNumId w:val="7"/>
  </w:num>
  <w:num w:numId="7" w16cid:durableId="270161910">
    <w:abstractNumId w:val="15"/>
  </w:num>
  <w:num w:numId="8" w16cid:durableId="1377971981">
    <w:abstractNumId w:val="22"/>
  </w:num>
  <w:num w:numId="9" w16cid:durableId="731806690">
    <w:abstractNumId w:val="1"/>
  </w:num>
  <w:num w:numId="10" w16cid:durableId="418525873">
    <w:abstractNumId w:val="0"/>
  </w:num>
  <w:num w:numId="11" w16cid:durableId="636378173">
    <w:abstractNumId w:val="9"/>
  </w:num>
  <w:num w:numId="12" w16cid:durableId="1347831947">
    <w:abstractNumId w:val="20"/>
  </w:num>
  <w:num w:numId="13" w16cid:durableId="1247032755">
    <w:abstractNumId w:val="16"/>
  </w:num>
  <w:num w:numId="14" w16cid:durableId="1181120496">
    <w:abstractNumId w:val="13"/>
  </w:num>
  <w:num w:numId="15" w16cid:durableId="909774389">
    <w:abstractNumId w:val="11"/>
  </w:num>
  <w:num w:numId="16" w16cid:durableId="493182316">
    <w:abstractNumId w:val="2"/>
  </w:num>
  <w:num w:numId="17" w16cid:durableId="1752198630">
    <w:abstractNumId w:val="14"/>
  </w:num>
  <w:num w:numId="18" w16cid:durableId="1993942564">
    <w:abstractNumId w:val="19"/>
  </w:num>
  <w:num w:numId="19" w16cid:durableId="1072586126">
    <w:abstractNumId w:val="10"/>
  </w:num>
  <w:num w:numId="20" w16cid:durableId="2081365288">
    <w:abstractNumId w:val="12"/>
  </w:num>
  <w:num w:numId="21" w16cid:durableId="2139716603">
    <w:abstractNumId w:val="4"/>
  </w:num>
  <w:num w:numId="22" w16cid:durableId="2126804368">
    <w:abstractNumId w:val="18"/>
  </w:num>
  <w:num w:numId="23" w16cid:durableId="10537743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39"/>
    <w:rsid w:val="00004103"/>
    <w:rsid w:val="000045FB"/>
    <w:rsid w:val="000058E4"/>
    <w:rsid w:val="000107BD"/>
    <w:rsid w:val="00023136"/>
    <w:rsid w:val="00026F91"/>
    <w:rsid w:val="000275EB"/>
    <w:rsid w:val="000365F9"/>
    <w:rsid w:val="00041AB9"/>
    <w:rsid w:val="000465E8"/>
    <w:rsid w:val="00054581"/>
    <w:rsid w:val="0006407E"/>
    <w:rsid w:val="0007099C"/>
    <w:rsid w:val="000711EF"/>
    <w:rsid w:val="00072C74"/>
    <w:rsid w:val="0007744C"/>
    <w:rsid w:val="00084121"/>
    <w:rsid w:val="00094DEA"/>
    <w:rsid w:val="000A0634"/>
    <w:rsid w:val="000A1D20"/>
    <w:rsid w:val="000B088E"/>
    <w:rsid w:val="000B53D4"/>
    <w:rsid w:val="000E39C5"/>
    <w:rsid w:val="000F3C6B"/>
    <w:rsid w:val="000F5978"/>
    <w:rsid w:val="000F5CC4"/>
    <w:rsid w:val="00123B81"/>
    <w:rsid w:val="00125814"/>
    <w:rsid w:val="001268E8"/>
    <w:rsid w:val="001319A4"/>
    <w:rsid w:val="00137DAE"/>
    <w:rsid w:val="00141364"/>
    <w:rsid w:val="00143596"/>
    <w:rsid w:val="001464DE"/>
    <w:rsid w:val="00147537"/>
    <w:rsid w:val="00150A7B"/>
    <w:rsid w:val="0015121C"/>
    <w:rsid w:val="00152FAD"/>
    <w:rsid w:val="00154F6A"/>
    <w:rsid w:val="00156B94"/>
    <w:rsid w:val="00157C88"/>
    <w:rsid w:val="00157CE6"/>
    <w:rsid w:val="0016002D"/>
    <w:rsid w:val="001632CD"/>
    <w:rsid w:val="00166961"/>
    <w:rsid w:val="00167D4E"/>
    <w:rsid w:val="00170328"/>
    <w:rsid w:val="001841C3"/>
    <w:rsid w:val="00187695"/>
    <w:rsid w:val="001A02AA"/>
    <w:rsid w:val="001A0359"/>
    <w:rsid w:val="001A141A"/>
    <w:rsid w:val="001A6C40"/>
    <w:rsid w:val="001B1B25"/>
    <w:rsid w:val="001B7A5E"/>
    <w:rsid w:val="001C1A97"/>
    <w:rsid w:val="001C1ECB"/>
    <w:rsid w:val="001C4D03"/>
    <w:rsid w:val="001D2A4A"/>
    <w:rsid w:val="001E0F6F"/>
    <w:rsid w:val="001E57A8"/>
    <w:rsid w:val="001F15C2"/>
    <w:rsid w:val="00201C0B"/>
    <w:rsid w:val="00204E5B"/>
    <w:rsid w:val="002156E9"/>
    <w:rsid w:val="002229F5"/>
    <w:rsid w:val="0023063E"/>
    <w:rsid w:val="002309C5"/>
    <w:rsid w:val="00242B23"/>
    <w:rsid w:val="00251B8B"/>
    <w:rsid w:val="00255E26"/>
    <w:rsid w:val="00256808"/>
    <w:rsid w:val="00261D1F"/>
    <w:rsid w:val="00266710"/>
    <w:rsid w:val="00276E65"/>
    <w:rsid w:val="00281687"/>
    <w:rsid w:val="00285131"/>
    <w:rsid w:val="0029220F"/>
    <w:rsid w:val="00293CA2"/>
    <w:rsid w:val="002958D4"/>
    <w:rsid w:val="002A3CB7"/>
    <w:rsid w:val="002A4463"/>
    <w:rsid w:val="002A64FD"/>
    <w:rsid w:val="002A70ED"/>
    <w:rsid w:val="002B2FA4"/>
    <w:rsid w:val="002D2F27"/>
    <w:rsid w:val="002D31EF"/>
    <w:rsid w:val="002E0F40"/>
    <w:rsid w:val="002E55CE"/>
    <w:rsid w:val="002F0E3F"/>
    <w:rsid w:val="002F266B"/>
    <w:rsid w:val="002F457F"/>
    <w:rsid w:val="0030425A"/>
    <w:rsid w:val="00304794"/>
    <w:rsid w:val="00321E9E"/>
    <w:rsid w:val="0033475A"/>
    <w:rsid w:val="00334C11"/>
    <w:rsid w:val="00342D36"/>
    <w:rsid w:val="00345FFD"/>
    <w:rsid w:val="0035152E"/>
    <w:rsid w:val="00356CD1"/>
    <w:rsid w:val="00375F35"/>
    <w:rsid w:val="00376B0A"/>
    <w:rsid w:val="0038005D"/>
    <w:rsid w:val="00384F40"/>
    <w:rsid w:val="003A2221"/>
    <w:rsid w:val="003B5A1C"/>
    <w:rsid w:val="003C2C5E"/>
    <w:rsid w:val="003C7A9D"/>
    <w:rsid w:val="003D2767"/>
    <w:rsid w:val="003D4E9A"/>
    <w:rsid w:val="003D7902"/>
    <w:rsid w:val="003E42AE"/>
    <w:rsid w:val="003E6576"/>
    <w:rsid w:val="003F4912"/>
    <w:rsid w:val="0040305B"/>
    <w:rsid w:val="004039D0"/>
    <w:rsid w:val="004146A8"/>
    <w:rsid w:val="004245F7"/>
    <w:rsid w:val="004277D7"/>
    <w:rsid w:val="00450040"/>
    <w:rsid w:val="00461BFF"/>
    <w:rsid w:val="00461CAB"/>
    <w:rsid w:val="004737C6"/>
    <w:rsid w:val="004871A4"/>
    <w:rsid w:val="0048781A"/>
    <w:rsid w:val="0049479C"/>
    <w:rsid w:val="004A53F6"/>
    <w:rsid w:val="004A6450"/>
    <w:rsid w:val="004A6B7A"/>
    <w:rsid w:val="004B3FDF"/>
    <w:rsid w:val="004B6535"/>
    <w:rsid w:val="004B7146"/>
    <w:rsid w:val="004C5D2C"/>
    <w:rsid w:val="004D2749"/>
    <w:rsid w:val="004D7EBA"/>
    <w:rsid w:val="004D7FB8"/>
    <w:rsid w:val="004E2C7A"/>
    <w:rsid w:val="004E3765"/>
    <w:rsid w:val="004E3CEF"/>
    <w:rsid w:val="004E7D4E"/>
    <w:rsid w:val="004F74BE"/>
    <w:rsid w:val="00500355"/>
    <w:rsid w:val="00504B12"/>
    <w:rsid w:val="00533E0F"/>
    <w:rsid w:val="005360D9"/>
    <w:rsid w:val="005461D9"/>
    <w:rsid w:val="0054638C"/>
    <w:rsid w:val="00556097"/>
    <w:rsid w:val="0055714B"/>
    <w:rsid w:val="00562A47"/>
    <w:rsid w:val="00573743"/>
    <w:rsid w:val="00575335"/>
    <w:rsid w:val="00576E8A"/>
    <w:rsid w:val="00580435"/>
    <w:rsid w:val="00591168"/>
    <w:rsid w:val="00592E8B"/>
    <w:rsid w:val="005B099A"/>
    <w:rsid w:val="005B4172"/>
    <w:rsid w:val="005D0632"/>
    <w:rsid w:val="005D0B9A"/>
    <w:rsid w:val="005D5236"/>
    <w:rsid w:val="005E4971"/>
    <w:rsid w:val="0060236E"/>
    <w:rsid w:val="0062033A"/>
    <w:rsid w:val="00622471"/>
    <w:rsid w:val="006321C7"/>
    <w:rsid w:val="00632F8F"/>
    <w:rsid w:val="00641E68"/>
    <w:rsid w:val="00653ED8"/>
    <w:rsid w:val="00654482"/>
    <w:rsid w:val="00655F57"/>
    <w:rsid w:val="00662219"/>
    <w:rsid w:val="006652EE"/>
    <w:rsid w:val="00667B8C"/>
    <w:rsid w:val="006726F2"/>
    <w:rsid w:val="006738AA"/>
    <w:rsid w:val="00684958"/>
    <w:rsid w:val="006868E2"/>
    <w:rsid w:val="00696034"/>
    <w:rsid w:val="006A141B"/>
    <w:rsid w:val="006A4261"/>
    <w:rsid w:val="006A6CEF"/>
    <w:rsid w:val="006B150E"/>
    <w:rsid w:val="006B1F34"/>
    <w:rsid w:val="006B3F55"/>
    <w:rsid w:val="006C6129"/>
    <w:rsid w:val="006D00BB"/>
    <w:rsid w:val="006D760B"/>
    <w:rsid w:val="006E367A"/>
    <w:rsid w:val="006E39EE"/>
    <w:rsid w:val="006E5204"/>
    <w:rsid w:val="006E7A27"/>
    <w:rsid w:val="00712980"/>
    <w:rsid w:val="00726E56"/>
    <w:rsid w:val="0073688A"/>
    <w:rsid w:val="00736F9D"/>
    <w:rsid w:val="00744CC9"/>
    <w:rsid w:val="00750318"/>
    <w:rsid w:val="00751F70"/>
    <w:rsid w:val="00753B8D"/>
    <w:rsid w:val="00754757"/>
    <w:rsid w:val="00755FC1"/>
    <w:rsid w:val="007628A1"/>
    <w:rsid w:val="007707F8"/>
    <w:rsid w:val="00771898"/>
    <w:rsid w:val="00777D35"/>
    <w:rsid w:val="0078001B"/>
    <w:rsid w:val="0078480C"/>
    <w:rsid w:val="007959DA"/>
    <w:rsid w:val="007A21A2"/>
    <w:rsid w:val="007A5FA8"/>
    <w:rsid w:val="007B09B1"/>
    <w:rsid w:val="007B791F"/>
    <w:rsid w:val="007C087F"/>
    <w:rsid w:val="007C1FB8"/>
    <w:rsid w:val="007C32C5"/>
    <w:rsid w:val="007D38EB"/>
    <w:rsid w:val="007E0E40"/>
    <w:rsid w:val="007E381B"/>
    <w:rsid w:val="007F3178"/>
    <w:rsid w:val="007F4A6D"/>
    <w:rsid w:val="007F6A0B"/>
    <w:rsid w:val="00805184"/>
    <w:rsid w:val="00811FAF"/>
    <w:rsid w:val="00812BDC"/>
    <w:rsid w:val="008143E9"/>
    <w:rsid w:val="0082378A"/>
    <w:rsid w:val="00827839"/>
    <w:rsid w:val="008339F5"/>
    <w:rsid w:val="00834AB2"/>
    <w:rsid w:val="0083691D"/>
    <w:rsid w:val="0084407F"/>
    <w:rsid w:val="00850990"/>
    <w:rsid w:val="00854167"/>
    <w:rsid w:val="00887FC9"/>
    <w:rsid w:val="00890706"/>
    <w:rsid w:val="00892EA4"/>
    <w:rsid w:val="00897F56"/>
    <w:rsid w:val="008A1C35"/>
    <w:rsid w:val="008A44E8"/>
    <w:rsid w:val="008B31BB"/>
    <w:rsid w:val="008C4D7D"/>
    <w:rsid w:val="008C60BC"/>
    <w:rsid w:val="008D3550"/>
    <w:rsid w:val="008F6569"/>
    <w:rsid w:val="0090292E"/>
    <w:rsid w:val="0091392E"/>
    <w:rsid w:val="00923704"/>
    <w:rsid w:val="00930259"/>
    <w:rsid w:val="00933433"/>
    <w:rsid w:val="00936492"/>
    <w:rsid w:val="00936AB7"/>
    <w:rsid w:val="00940846"/>
    <w:rsid w:val="009470FB"/>
    <w:rsid w:val="009673E6"/>
    <w:rsid w:val="00970859"/>
    <w:rsid w:val="00982670"/>
    <w:rsid w:val="00983012"/>
    <w:rsid w:val="00983CCA"/>
    <w:rsid w:val="00985C2D"/>
    <w:rsid w:val="00994C0F"/>
    <w:rsid w:val="009A3A47"/>
    <w:rsid w:val="009A3F66"/>
    <w:rsid w:val="009B1153"/>
    <w:rsid w:val="009B2EF9"/>
    <w:rsid w:val="009E0822"/>
    <w:rsid w:val="009E1C02"/>
    <w:rsid w:val="009E32B0"/>
    <w:rsid w:val="009E6C4A"/>
    <w:rsid w:val="009F1B7B"/>
    <w:rsid w:val="009F2905"/>
    <w:rsid w:val="00A00800"/>
    <w:rsid w:val="00A015AB"/>
    <w:rsid w:val="00A01B71"/>
    <w:rsid w:val="00A056D4"/>
    <w:rsid w:val="00A16C65"/>
    <w:rsid w:val="00A17B19"/>
    <w:rsid w:val="00A20A2F"/>
    <w:rsid w:val="00A2134F"/>
    <w:rsid w:val="00A31429"/>
    <w:rsid w:val="00A464F1"/>
    <w:rsid w:val="00A475A7"/>
    <w:rsid w:val="00A610B4"/>
    <w:rsid w:val="00A6184A"/>
    <w:rsid w:val="00A628E3"/>
    <w:rsid w:val="00A6747E"/>
    <w:rsid w:val="00A676F4"/>
    <w:rsid w:val="00A70836"/>
    <w:rsid w:val="00A77C6A"/>
    <w:rsid w:val="00A77D24"/>
    <w:rsid w:val="00A81A17"/>
    <w:rsid w:val="00A838AC"/>
    <w:rsid w:val="00A84CEA"/>
    <w:rsid w:val="00A87F10"/>
    <w:rsid w:val="00A94282"/>
    <w:rsid w:val="00A9449D"/>
    <w:rsid w:val="00A94F5C"/>
    <w:rsid w:val="00AA37F5"/>
    <w:rsid w:val="00AA7B0C"/>
    <w:rsid w:val="00AD0872"/>
    <w:rsid w:val="00AD61A3"/>
    <w:rsid w:val="00AE4CD3"/>
    <w:rsid w:val="00AE6B8F"/>
    <w:rsid w:val="00B03026"/>
    <w:rsid w:val="00B04638"/>
    <w:rsid w:val="00B05980"/>
    <w:rsid w:val="00B10BFE"/>
    <w:rsid w:val="00B24BFB"/>
    <w:rsid w:val="00B24D78"/>
    <w:rsid w:val="00B35BE1"/>
    <w:rsid w:val="00B36DB0"/>
    <w:rsid w:val="00B40F1C"/>
    <w:rsid w:val="00B418BD"/>
    <w:rsid w:val="00B47683"/>
    <w:rsid w:val="00B54114"/>
    <w:rsid w:val="00B55936"/>
    <w:rsid w:val="00B5730F"/>
    <w:rsid w:val="00B6020C"/>
    <w:rsid w:val="00B63A35"/>
    <w:rsid w:val="00B745D0"/>
    <w:rsid w:val="00B81D99"/>
    <w:rsid w:val="00B87AB8"/>
    <w:rsid w:val="00BA206D"/>
    <w:rsid w:val="00BA5956"/>
    <w:rsid w:val="00BB11DF"/>
    <w:rsid w:val="00BB5C67"/>
    <w:rsid w:val="00BD4CFD"/>
    <w:rsid w:val="00BD633E"/>
    <w:rsid w:val="00BE083D"/>
    <w:rsid w:val="00BF0F76"/>
    <w:rsid w:val="00C03892"/>
    <w:rsid w:val="00C10C19"/>
    <w:rsid w:val="00C13874"/>
    <w:rsid w:val="00C16760"/>
    <w:rsid w:val="00C17C16"/>
    <w:rsid w:val="00C210B0"/>
    <w:rsid w:val="00C22CD4"/>
    <w:rsid w:val="00C30786"/>
    <w:rsid w:val="00C41F4B"/>
    <w:rsid w:val="00C62B59"/>
    <w:rsid w:val="00C63DEF"/>
    <w:rsid w:val="00C77308"/>
    <w:rsid w:val="00C81752"/>
    <w:rsid w:val="00C86D62"/>
    <w:rsid w:val="00C86F4E"/>
    <w:rsid w:val="00C91957"/>
    <w:rsid w:val="00C93DCE"/>
    <w:rsid w:val="00C95658"/>
    <w:rsid w:val="00C95BF6"/>
    <w:rsid w:val="00CA2449"/>
    <w:rsid w:val="00CA2E59"/>
    <w:rsid w:val="00CD071D"/>
    <w:rsid w:val="00CD3CC5"/>
    <w:rsid w:val="00CE76F9"/>
    <w:rsid w:val="00CF033F"/>
    <w:rsid w:val="00CF25BE"/>
    <w:rsid w:val="00D10C99"/>
    <w:rsid w:val="00D17099"/>
    <w:rsid w:val="00D1799A"/>
    <w:rsid w:val="00D2598F"/>
    <w:rsid w:val="00D349A6"/>
    <w:rsid w:val="00D429A6"/>
    <w:rsid w:val="00D44EAF"/>
    <w:rsid w:val="00D62259"/>
    <w:rsid w:val="00D708BB"/>
    <w:rsid w:val="00D7609D"/>
    <w:rsid w:val="00D86A15"/>
    <w:rsid w:val="00D8734D"/>
    <w:rsid w:val="00D91C4E"/>
    <w:rsid w:val="00D920B4"/>
    <w:rsid w:val="00D95AAA"/>
    <w:rsid w:val="00DA6F7D"/>
    <w:rsid w:val="00DC00CA"/>
    <w:rsid w:val="00DC0BB8"/>
    <w:rsid w:val="00DC2DE5"/>
    <w:rsid w:val="00DC3C3C"/>
    <w:rsid w:val="00DD012A"/>
    <w:rsid w:val="00DD124B"/>
    <w:rsid w:val="00DD1865"/>
    <w:rsid w:val="00DE1749"/>
    <w:rsid w:val="00DE225F"/>
    <w:rsid w:val="00DE490F"/>
    <w:rsid w:val="00DF1010"/>
    <w:rsid w:val="00DF3E76"/>
    <w:rsid w:val="00DF74B6"/>
    <w:rsid w:val="00E34205"/>
    <w:rsid w:val="00E46824"/>
    <w:rsid w:val="00E5275E"/>
    <w:rsid w:val="00E54258"/>
    <w:rsid w:val="00E544C3"/>
    <w:rsid w:val="00E55170"/>
    <w:rsid w:val="00E61DE3"/>
    <w:rsid w:val="00E65D3B"/>
    <w:rsid w:val="00E76F53"/>
    <w:rsid w:val="00E8108A"/>
    <w:rsid w:val="00E81239"/>
    <w:rsid w:val="00E850FD"/>
    <w:rsid w:val="00E94C7B"/>
    <w:rsid w:val="00E97ED4"/>
    <w:rsid w:val="00EA0A82"/>
    <w:rsid w:val="00EA33C3"/>
    <w:rsid w:val="00EB4594"/>
    <w:rsid w:val="00EB52FE"/>
    <w:rsid w:val="00EC50A1"/>
    <w:rsid w:val="00ED2BA5"/>
    <w:rsid w:val="00ED34E9"/>
    <w:rsid w:val="00EE101A"/>
    <w:rsid w:val="00EE28A9"/>
    <w:rsid w:val="00EE63D7"/>
    <w:rsid w:val="00EF1CF0"/>
    <w:rsid w:val="00F004DC"/>
    <w:rsid w:val="00F03A11"/>
    <w:rsid w:val="00F16217"/>
    <w:rsid w:val="00F21165"/>
    <w:rsid w:val="00F2271C"/>
    <w:rsid w:val="00F23BE3"/>
    <w:rsid w:val="00F23FF2"/>
    <w:rsid w:val="00F25AC0"/>
    <w:rsid w:val="00F26363"/>
    <w:rsid w:val="00F300F7"/>
    <w:rsid w:val="00F301BC"/>
    <w:rsid w:val="00F415DF"/>
    <w:rsid w:val="00F64475"/>
    <w:rsid w:val="00F754B0"/>
    <w:rsid w:val="00F75D73"/>
    <w:rsid w:val="00F76457"/>
    <w:rsid w:val="00F95939"/>
    <w:rsid w:val="00FA4B16"/>
    <w:rsid w:val="00FB7EA5"/>
    <w:rsid w:val="00FC4C5C"/>
    <w:rsid w:val="00FC5374"/>
    <w:rsid w:val="00FC5614"/>
    <w:rsid w:val="00FC79FF"/>
    <w:rsid w:val="00FE3383"/>
    <w:rsid w:val="00FF2B6C"/>
    <w:rsid w:val="00FF365B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295866"/>
  <w15:docId w15:val="{2F459603-FA66-47D8-B254-DEBD9E9B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39"/>
    <w:pPr>
      <w:jc w:val="both"/>
    </w:pPr>
    <w:rPr>
      <w:rFonts w:ascii="Times New Roman" w:eastAsia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278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27839"/>
    <w:rPr>
      <w:rFonts w:ascii="Arial" w:eastAsia="Times New Roman" w:hAnsi="Arial" w:cs="Times New Roman"/>
      <w:b/>
      <w:kern w:val="28"/>
      <w:sz w:val="28"/>
      <w:szCs w:val="20"/>
      <w:lang w:val="en-US" w:eastAsia="pt-BR"/>
    </w:rPr>
  </w:style>
  <w:style w:type="paragraph" w:styleId="Footer">
    <w:name w:val="footer"/>
    <w:basedOn w:val="Normal"/>
    <w:link w:val="FooterChar"/>
    <w:autoRedefine/>
    <w:semiHidden/>
    <w:rsid w:val="00827839"/>
    <w:pPr>
      <w:tabs>
        <w:tab w:val="center" w:pos="4320"/>
        <w:tab w:val="right" w:pos="8640"/>
      </w:tabs>
      <w:ind w:left="567" w:right="360"/>
    </w:pPr>
    <w:rPr>
      <w:rFonts w:ascii="Verdana" w:hAnsi="Verdana"/>
      <w:smallCaps/>
      <w:sz w:val="10"/>
    </w:rPr>
  </w:style>
  <w:style w:type="character" w:customStyle="1" w:styleId="FooterChar">
    <w:name w:val="Footer Char"/>
    <w:link w:val="Footer"/>
    <w:semiHidden/>
    <w:rsid w:val="00827839"/>
    <w:rPr>
      <w:rFonts w:ascii="Verdana" w:eastAsia="Times New Roman" w:hAnsi="Verdana" w:cs="Times New Roman"/>
      <w:smallCaps/>
      <w:sz w:val="10"/>
      <w:szCs w:val="20"/>
      <w:lang w:val="en-US" w:eastAsia="pt-BR"/>
    </w:rPr>
  </w:style>
  <w:style w:type="character" w:styleId="PageNumber">
    <w:name w:val="page number"/>
    <w:semiHidden/>
    <w:rsid w:val="00827839"/>
    <w:rPr>
      <w:rFonts w:ascii="Verdana" w:hAnsi="Verdana"/>
      <w:sz w:val="24"/>
    </w:rPr>
  </w:style>
  <w:style w:type="character" w:styleId="Hyperlink">
    <w:name w:val="Hyperlink"/>
    <w:uiPriority w:val="99"/>
    <w:unhideWhenUsed/>
    <w:rsid w:val="00827839"/>
    <w:rPr>
      <w:color w:val="0000FF"/>
      <w:u w:val="single"/>
    </w:rPr>
  </w:style>
  <w:style w:type="character" w:customStyle="1" w:styleId="apple-style-span">
    <w:name w:val="apple-style-span"/>
    <w:rsid w:val="00827839"/>
  </w:style>
  <w:style w:type="paragraph" w:styleId="ListParagraph">
    <w:name w:val="List Paragraph"/>
    <w:basedOn w:val="Normal"/>
    <w:uiPriority w:val="34"/>
    <w:qFormat/>
    <w:rsid w:val="005D0B9A"/>
    <w:pPr>
      <w:ind w:left="720"/>
      <w:contextualSpacing/>
    </w:pPr>
  </w:style>
  <w:style w:type="paragraph" w:customStyle="1" w:styleId="IDpaper-Text">
    <w:name w:val="IDpaper-Text"/>
    <w:basedOn w:val="Normal"/>
    <w:rsid w:val="00DF1010"/>
    <w:pPr>
      <w:widowControl w:val="0"/>
      <w:tabs>
        <w:tab w:val="left" w:pos="284"/>
      </w:tabs>
      <w:spacing w:after="120"/>
      <w:jc w:val="left"/>
    </w:pPr>
    <w:rPr>
      <w:rFonts w:ascii="Arial" w:hAnsi="Arial" w:cs="Arial"/>
      <w:kern w:val="16"/>
      <w:sz w:val="20"/>
      <w:lang w:val="en-GB" w:eastAsia="en-US"/>
    </w:rPr>
  </w:style>
  <w:style w:type="paragraph" w:customStyle="1" w:styleId="IDpaper-heading2">
    <w:name w:val="IDpaper-heading2"/>
    <w:basedOn w:val="Normal"/>
    <w:rsid w:val="00DF1010"/>
    <w:pPr>
      <w:widowControl w:val="0"/>
      <w:tabs>
        <w:tab w:val="left" w:pos="284"/>
      </w:tabs>
      <w:spacing w:before="240" w:after="120"/>
      <w:jc w:val="left"/>
    </w:pPr>
    <w:rPr>
      <w:rFonts w:ascii="Arial" w:hAnsi="Arial" w:cs="Arial"/>
      <w:b/>
      <w:bCs/>
      <w:kern w:val="16"/>
      <w:sz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6C65"/>
    <w:rPr>
      <w:rFonts w:ascii="Lucida Grande" w:eastAsia="Times New Roman" w:hAnsi="Lucida Grande" w:cs="Lucida Grande"/>
      <w:sz w:val="18"/>
      <w:szCs w:val="18"/>
      <w:lang w:val="en-US" w:eastAsia="pt-BR"/>
    </w:rPr>
  </w:style>
  <w:style w:type="paragraph" w:styleId="Caption">
    <w:name w:val="caption"/>
    <w:basedOn w:val="Normal"/>
    <w:next w:val="Normal"/>
    <w:uiPriority w:val="35"/>
    <w:unhideWhenUsed/>
    <w:qFormat/>
    <w:rsid w:val="00C210B0"/>
    <w:pPr>
      <w:spacing w:after="200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7D3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77D35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FootnoteText">
    <w:name w:val="footnote text"/>
    <w:basedOn w:val="Normal"/>
    <w:link w:val="FootnoteTextChar"/>
    <w:uiPriority w:val="99"/>
    <w:unhideWhenUsed/>
    <w:rsid w:val="00777D35"/>
    <w:rPr>
      <w:szCs w:val="24"/>
    </w:rPr>
  </w:style>
  <w:style w:type="character" w:customStyle="1" w:styleId="FootnoteTextChar">
    <w:name w:val="Footnote Text Char"/>
    <w:link w:val="FootnoteText"/>
    <w:uiPriority w:val="99"/>
    <w:rsid w:val="00777D35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styleId="FootnoteReference">
    <w:name w:val="footnote reference"/>
    <w:uiPriority w:val="99"/>
    <w:unhideWhenUsed/>
    <w:rsid w:val="00777D35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2D36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342D36"/>
    <w:rPr>
      <w:rFonts w:ascii="Lucida Grande" w:eastAsia="Times New Roman" w:hAnsi="Lucida Grande" w:cs="Lucida Grande"/>
      <w:sz w:val="24"/>
      <w:szCs w:val="24"/>
      <w:lang w:val="en-US" w:eastAsia="pt-BR"/>
    </w:rPr>
  </w:style>
  <w:style w:type="paragraph" w:styleId="Revision">
    <w:name w:val="Revision"/>
    <w:hidden/>
    <w:uiPriority w:val="99"/>
    <w:semiHidden/>
    <w:rsid w:val="00342D36"/>
    <w:rPr>
      <w:rFonts w:ascii="Times New Roman" w:eastAsia="Times New Roman" w:hAnsi="Times New Roman"/>
      <w:sz w:val="24"/>
      <w:lang w:val="en-US"/>
    </w:rPr>
  </w:style>
  <w:style w:type="table" w:styleId="TableGrid">
    <w:name w:val="Table Grid"/>
    <w:basedOn w:val="TableNormal"/>
    <w:uiPriority w:val="59"/>
    <w:rsid w:val="00B7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628A1"/>
    <w:pPr>
      <w:jc w:val="center"/>
    </w:pPr>
    <w:rPr>
      <w:rFonts w:ascii="Tahoma" w:hAnsi="Tahoma" w:cs="Tahoma"/>
      <w:b/>
      <w:bCs/>
      <w:color w:val="0066FF"/>
      <w:sz w:val="28"/>
      <w:szCs w:val="28"/>
      <w:lang w:val="pt-BR"/>
    </w:rPr>
  </w:style>
  <w:style w:type="character" w:customStyle="1" w:styleId="TitleChar">
    <w:name w:val="Title Char"/>
    <w:link w:val="Title"/>
    <w:rsid w:val="007628A1"/>
    <w:rPr>
      <w:rFonts w:ascii="Tahoma" w:eastAsia="Times New Roman" w:hAnsi="Tahoma" w:cs="Tahoma"/>
      <w:b/>
      <w:bCs/>
      <w:color w:val="0066FF"/>
      <w:sz w:val="28"/>
      <w:szCs w:val="28"/>
      <w:lang w:eastAsia="pt-BR"/>
    </w:rPr>
  </w:style>
  <w:style w:type="table" w:styleId="PlainTable4">
    <w:name w:val="Plain Table 4"/>
    <w:basedOn w:val="TableNormal"/>
    <w:uiPriority w:val="44"/>
    <w:rsid w:val="008369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75335"/>
    <w:pPr>
      <w:numPr>
        <w:numId w:val="10"/>
      </w:numPr>
      <w:spacing w:before="240" w:after="120"/>
      <w:ind w:left="357" w:hanging="357"/>
    </w:pPr>
    <w:rPr>
      <w:rFonts w:ascii="Arial" w:hAnsi="Arial"/>
      <w:b/>
      <w:spacing w:val="15"/>
      <w:szCs w:val="22"/>
      <w:lang w:val="pt-BR" w:eastAsia="en-US"/>
    </w:rPr>
  </w:style>
  <w:style w:type="character" w:customStyle="1" w:styleId="SubtitleChar">
    <w:name w:val="Subtitle Char"/>
    <w:link w:val="Subtitle"/>
    <w:uiPriority w:val="11"/>
    <w:rsid w:val="00575335"/>
    <w:rPr>
      <w:rFonts w:ascii="Arial" w:eastAsia="Times New Roman" w:hAnsi="Arial"/>
      <w:b/>
      <w:spacing w:val="15"/>
      <w:sz w:val="24"/>
      <w:szCs w:val="22"/>
      <w:lang w:eastAsia="en-US"/>
    </w:rPr>
  </w:style>
  <w:style w:type="numbering" w:customStyle="1" w:styleId="Style1">
    <w:name w:val="Style1"/>
    <w:uiPriority w:val="99"/>
    <w:rsid w:val="00204E5B"/>
    <w:pPr>
      <w:numPr>
        <w:numId w:val="16"/>
      </w:numPr>
    </w:pPr>
  </w:style>
  <w:style w:type="numbering" w:customStyle="1" w:styleId="Style2">
    <w:name w:val="Style2"/>
    <w:uiPriority w:val="99"/>
    <w:rsid w:val="009A3A47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6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eus.ventura@coppe.ufrj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Sheet1!$C$1</c:f>
              <c:strCache>
                <c:ptCount val="1"/>
                <c:pt idx="0">
                  <c:v>Sustentabilidade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rgbClr val="001642"/>
              </a:solidFill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Unifal</c:v>
                </c:pt>
                <c:pt idx="1">
                  <c:v>UFSC</c:v>
                </c:pt>
                <c:pt idx="2">
                  <c:v>UFSCar</c:v>
                </c:pt>
                <c:pt idx="3">
                  <c:v>Uepa</c:v>
                </c:pt>
                <c:pt idx="4">
                  <c:v>UFRJ</c:v>
                </c:pt>
                <c:pt idx="5">
                  <c:v>Unip</c:v>
                </c:pt>
                <c:pt idx="6">
                  <c:v>UFPE</c:v>
                </c:pt>
                <c:pt idx="7">
                  <c:v>Udesc</c:v>
                </c:pt>
                <c:pt idx="8">
                  <c:v>UFRGS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2E-4DF6-9791-56F976B2548E}"/>
            </c:ext>
          </c:extLst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PSS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solidFill>
                <a:schemeClr val="accent5">
                  <a:lumMod val="75000"/>
                  <a:alpha val="97000"/>
                </a:schemeClr>
              </a:solidFill>
            </a:ln>
            <a:effectLst/>
          </c:spPr>
          <c:invertIfNegative val="0"/>
          <c:cat>
            <c:strRef>
              <c:f>Sheet1!$A$2:$A$10</c:f>
              <c:strCache>
                <c:ptCount val="9"/>
                <c:pt idx="0">
                  <c:v>Unifal</c:v>
                </c:pt>
                <c:pt idx="1">
                  <c:v>UFSC</c:v>
                </c:pt>
                <c:pt idx="2">
                  <c:v>UFSCar</c:v>
                </c:pt>
                <c:pt idx="3">
                  <c:v>Uepa</c:v>
                </c:pt>
                <c:pt idx="4">
                  <c:v>UFRJ</c:v>
                </c:pt>
                <c:pt idx="5">
                  <c:v>Unip</c:v>
                </c:pt>
                <c:pt idx="6">
                  <c:v>UFPE</c:v>
                </c:pt>
                <c:pt idx="7">
                  <c:v>Udesc</c:v>
                </c:pt>
                <c:pt idx="8">
                  <c:v>UFRGS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2E-4DF6-9791-56F976B25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axId val="996106831"/>
        <c:axId val="996112239"/>
      </c:barChart>
      <c:catAx>
        <c:axId val="9961068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96112239"/>
        <c:crosses val="autoZero"/>
        <c:auto val="1"/>
        <c:lblAlgn val="ctr"/>
        <c:lblOffset val="100"/>
        <c:noMultiLvlLbl val="0"/>
      </c:catAx>
      <c:valAx>
        <c:axId val="996112239"/>
        <c:scaling>
          <c:orientation val="minMax"/>
          <c:max val="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96106831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Grupos formados</c:v>
                </c:pt>
              </c:strCache>
            </c:strRef>
          </c:tx>
          <c:spPr>
            <a:ln w="38100" cap="rnd">
              <a:solidFill>
                <a:schemeClr val="tx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2">
                  <a:lumMod val="75000"/>
                </a:schemeClr>
              </a:solidFill>
              <a:ln w="15875">
                <a:solidFill>
                  <a:schemeClr val="tx2">
                    <a:lumMod val="75000"/>
                  </a:schemeClr>
                </a:solidFill>
              </a:ln>
              <a:effectLst/>
            </c:spPr>
          </c:marker>
          <c:cat>
            <c:numRef>
              <c:f>Sheet1!$A$2:$A$28</c:f>
              <c:numCache>
                <c:formatCode>General</c:formatCode>
                <c:ptCount val="27"/>
                <c:pt idx="0">
                  <c:v>1994</c:v>
                </c:pt>
                <c:pt idx="1">
                  <c:v>1995</c:v>
                </c:pt>
                <c:pt idx="2">
                  <c:v>1996</c:v>
                </c:pt>
                <c:pt idx="3">
                  <c:v>1997</c:v>
                </c:pt>
                <c:pt idx="4">
                  <c:v>1998</c:v>
                </c:pt>
                <c:pt idx="5">
                  <c:v>1999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2010</c:v>
                </c:pt>
                <c:pt idx="17">
                  <c:v>2011</c:v>
                </c:pt>
                <c:pt idx="18">
                  <c:v>2012</c:v>
                </c:pt>
                <c:pt idx="19">
                  <c:v>2013</c:v>
                </c:pt>
                <c:pt idx="20">
                  <c:v>2014</c:v>
                </c:pt>
                <c:pt idx="21">
                  <c:v>2015</c:v>
                </c:pt>
                <c:pt idx="22">
                  <c:v>2016</c:v>
                </c:pt>
                <c:pt idx="23">
                  <c:v>2017</c:v>
                </c:pt>
                <c:pt idx="24">
                  <c:v>2018</c:v>
                </c:pt>
                <c:pt idx="25">
                  <c:v>2019</c:v>
                </c:pt>
                <c:pt idx="26">
                  <c:v>2020</c:v>
                </c:pt>
              </c:numCache>
            </c:numRef>
          </c:cat>
          <c:val>
            <c:numRef>
              <c:f>Sheet1!$B$2:$B$28</c:f>
              <c:numCache>
                <c:formatCode>General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  <c:pt idx="18">
                  <c:v>1</c:v>
                </c:pt>
                <c:pt idx="19">
                  <c:v>0</c:v>
                </c:pt>
                <c:pt idx="20">
                  <c:v>2</c:v>
                </c:pt>
                <c:pt idx="21">
                  <c:v>2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52-4C4C-A30B-AD9DFFA19F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4779855"/>
        <c:axId val="784780687"/>
      </c:lineChart>
      <c:catAx>
        <c:axId val="784779855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84780687"/>
        <c:crosses val="autoZero"/>
        <c:auto val="1"/>
        <c:lblAlgn val="ctr"/>
        <c:lblOffset val="100"/>
        <c:noMultiLvlLbl val="0"/>
      </c:catAx>
      <c:valAx>
        <c:axId val="784780687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84779855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DAF562-5D99-4503-9DF9-B00A9992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2663</Words>
  <Characters>15183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Authors</dc:creator>
  <cp:keywords/>
  <dc:description/>
  <cp:lastModifiedBy>Matheus Ventura</cp:lastModifiedBy>
  <cp:revision>4</cp:revision>
  <cp:lastPrinted>2014-09-05T00:41:00Z</cp:lastPrinted>
  <dcterms:created xsi:type="dcterms:W3CDTF">2023-02-28T01:42:00Z</dcterms:created>
  <dcterms:modified xsi:type="dcterms:W3CDTF">2023-04-01T21:41:00Z</dcterms:modified>
</cp:coreProperties>
</file>