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23D654" w14:textId="77777777" w:rsidR="00702466" w:rsidRDefault="00702466">
      <w:pPr>
        <w:widowControl w:val="0"/>
        <w:pBdr>
          <w:top w:val="nil"/>
          <w:left w:val="nil"/>
          <w:bottom w:val="nil"/>
          <w:right w:val="nil"/>
          <w:between w:val="nil"/>
        </w:pBdr>
        <w:spacing w:line="276" w:lineRule="auto"/>
        <w:jc w:val="left"/>
      </w:pPr>
    </w:p>
    <w:p w14:paraId="2BE23EC4" w14:textId="3D31B349" w:rsidR="00702466" w:rsidRPr="005D2B08" w:rsidRDefault="0077271C">
      <w:pPr>
        <w:spacing w:after="120"/>
        <w:jc w:val="center"/>
        <w:rPr>
          <w:sz w:val="20"/>
          <w:szCs w:val="20"/>
          <w:lang w:val="pt-BR"/>
        </w:rPr>
      </w:pPr>
      <w:r w:rsidRPr="005D2B08">
        <w:rPr>
          <w:b/>
          <w:sz w:val="28"/>
          <w:szCs w:val="28"/>
          <w:lang w:val="pt-BR"/>
        </w:rPr>
        <w:t>Influência da cal na absorção por capilaridade em adobes produzido</w:t>
      </w:r>
      <w:r w:rsidR="006C752C">
        <w:rPr>
          <w:b/>
          <w:sz w:val="28"/>
          <w:szCs w:val="28"/>
          <w:lang w:val="pt-BR"/>
        </w:rPr>
        <w:t>s</w:t>
      </w:r>
      <w:r w:rsidRPr="005D2B08">
        <w:rPr>
          <w:b/>
          <w:sz w:val="28"/>
          <w:szCs w:val="28"/>
          <w:lang w:val="pt-BR"/>
        </w:rPr>
        <w:t xml:space="preserve"> com sedimento de RMF</w:t>
      </w:r>
    </w:p>
    <w:p w14:paraId="218EAE69" w14:textId="77777777" w:rsidR="00702466" w:rsidRPr="005D2B08" w:rsidRDefault="00702466">
      <w:pPr>
        <w:spacing w:after="120"/>
        <w:jc w:val="center"/>
        <w:rPr>
          <w:color w:val="A6A6A6"/>
          <w:sz w:val="28"/>
          <w:szCs w:val="28"/>
          <w:lang w:val="pt-BR"/>
        </w:rPr>
      </w:pPr>
    </w:p>
    <w:p w14:paraId="79C5B760" w14:textId="77777777" w:rsidR="00702466" w:rsidRPr="005D2B08" w:rsidRDefault="00702466">
      <w:pPr>
        <w:spacing w:after="120"/>
        <w:jc w:val="center"/>
        <w:rPr>
          <w:b/>
          <w:sz w:val="28"/>
          <w:szCs w:val="28"/>
          <w:lang w:val="pt-BR"/>
        </w:rPr>
      </w:pPr>
    </w:p>
    <w:p w14:paraId="3118D7C9" w14:textId="40C4352C" w:rsidR="00702466" w:rsidRDefault="0077271C">
      <w:pPr>
        <w:spacing w:after="120"/>
        <w:jc w:val="center"/>
        <w:rPr>
          <w:b/>
          <w:i/>
          <w:sz w:val="28"/>
          <w:szCs w:val="28"/>
        </w:rPr>
      </w:pPr>
      <w:r>
        <w:rPr>
          <w:b/>
          <w:i/>
          <w:sz w:val="28"/>
          <w:szCs w:val="28"/>
        </w:rPr>
        <w:t>Influence of lime on capillar</w:t>
      </w:r>
      <w:r w:rsidR="006C752C">
        <w:rPr>
          <w:b/>
          <w:i/>
          <w:sz w:val="28"/>
          <w:szCs w:val="28"/>
        </w:rPr>
        <w:t>it</w:t>
      </w:r>
      <w:r>
        <w:rPr>
          <w:b/>
          <w:i/>
          <w:sz w:val="28"/>
          <w:szCs w:val="28"/>
        </w:rPr>
        <w:t xml:space="preserve">y absorption of adobes produced with IOT </w:t>
      </w:r>
      <w:proofErr w:type="gramStart"/>
      <w:r>
        <w:rPr>
          <w:b/>
          <w:i/>
          <w:sz w:val="28"/>
          <w:szCs w:val="28"/>
        </w:rPr>
        <w:t>sediment</w:t>
      </w:r>
      <w:proofErr w:type="gramEnd"/>
    </w:p>
    <w:p w14:paraId="5C1172E1" w14:textId="77777777" w:rsidR="00243B5E" w:rsidRDefault="00243B5E">
      <w:pPr>
        <w:spacing w:after="120"/>
        <w:jc w:val="center"/>
        <w:rPr>
          <w:b/>
          <w:i/>
          <w:sz w:val="28"/>
          <w:szCs w:val="28"/>
        </w:rPr>
      </w:pPr>
    </w:p>
    <w:p w14:paraId="5E4303BB" w14:textId="77777777" w:rsidR="00243B5E" w:rsidRDefault="00243B5E">
      <w:pPr>
        <w:spacing w:after="120"/>
        <w:jc w:val="center"/>
        <w:rPr>
          <w:b/>
          <w:i/>
          <w:sz w:val="28"/>
          <w:szCs w:val="28"/>
        </w:rPr>
      </w:pPr>
    </w:p>
    <w:p w14:paraId="0B13B3E6" w14:textId="74B1AD51" w:rsidR="00243B5E" w:rsidRPr="0049479C" w:rsidRDefault="00243B5E" w:rsidP="00243B5E">
      <w:pPr>
        <w:spacing w:after="120"/>
        <w:jc w:val="left"/>
        <w:rPr>
          <w:lang w:val="pt-BR"/>
        </w:rPr>
      </w:pPr>
      <w:r>
        <w:rPr>
          <w:b/>
          <w:lang w:val="pt-BR"/>
        </w:rPr>
        <w:t xml:space="preserve">Jhade </w:t>
      </w:r>
      <w:proofErr w:type="spellStart"/>
      <w:r>
        <w:rPr>
          <w:b/>
          <w:lang w:val="pt-BR"/>
        </w:rPr>
        <w:t>Iane</w:t>
      </w:r>
      <w:proofErr w:type="spellEnd"/>
      <w:r>
        <w:rPr>
          <w:b/>
          <w:lang w:val="pt-BR"/>
        </w:rPr>
        <w:t xml:space="preserve"> Cunha Vimieiro</w:t>
      </w:r>
      <w:r w:rsidRPr="0049479C">
        <w:rPr>
          <w:b/>
          <w:lang w:val="pt-BR"/>
        </w:rPr>
        <w:t>.</w:t>
      </w:r>
    </w:p>
    <w:p w14:paraId="0DE93375" w14:textId="1307C8C2" w:rsidR="00243B5E" w:rsidRPr="0049479C" w:rsidRDefault="00243B5E" w:rsidP="00243B5E">
      <w:pPr>
        <w:spacing w:after="120"/>
        <w:jc w:val="left"/>
        <w:rPr>
          <w:sz w:val="20"/>
          <w:lang w:val="pt-BR"/>
        </w:rPr>
      </w:pPr>
      <w:r>
        <w:rPr>
          <w:lang w:val="pt-BR"/>
        </w:rPr>
        <w:t>jhade@ufmg.br</w:t>
      </w:r>
    </w:p>
    <w:p w14:paraId="4667CC1F" w14:textId="760AC5F2" w:rsidR="00243B5E" w:rsidRPr="0049479C" w:rsidRDefault="00243B5E" w:rsidP="00243B5E">
      <w:pPr>
        <w:spacing w:after="120"/>
        <w:jc w:val="left"/>
        <w:rPr>
          <w:b/>
          <w:lang w:val="pt-BR"/>
        </w:rPr>
      </w:pPr>
      <w:r>
        <w:rPr>
          <w:b/>
          <w:lang w:val="pt-BR"/>
        </w:rPr>
        <w:t>Larissa Moreira Matias</w:t>
      </w:r>
      <w:r w:rsidRPr="0049479C">
        <w:rPr>
          <w:b/>
          <w:lang w:val="pt-BR"/>
        </w:rPr>
        <w:t>.</w:t>
      </w:r>
    </w:p>
    <w:p w14:paraId="170E9915" w14:textId="3F6F43D2" w:rsidR="00243B5E" w:rsidRPr="0049479C" w:rsidRDefault="00243B5E" w:rsidP="00243B5E">
      <w:pPr>
        <w:spacing w:after="120"/>
        <w:jc w:val="left"/>
        <w:rPr>
          <w:lang w:val="pt-BR"/>
        </w:rPr>
      </w:pPr>
      <w:r w:rsidRPr="00243B5E">
        <w:rPr>
          <w:lang w:val="pt-BR"/>
        </w:rPr>
        <w:t>arq.larissamatias@gmail.com</w:t>
      </w:r>
    </w:p>
    <w:p w14:paraId="2613699C" w14:textId="3D8E3570" w:rsidR="00243B5E" w:rsidRPr="0049479C" w:rsidRDefault="00243B5E" w:rsidP="00243B5E">
      <w:pPr>
        <w:spacing w:after="120"/>
        <w:jc w:val="left"/>
        <w:rPr>
          <w:b/>
          <w:lang w:val="pt-BR"/>
        </w:rPr>
      </w:pPr>
      <w:r>
        <w:rPr>
          <w:b/>
          <w:lang w:val="pt-BR"/>
        </w:rPr>
        <w:t>Gabriella Eduarda Freitas Batista</w:t>
      </w:r>
      <w:r w:rsidRPr="0049479C">
        <w:rPr>
          <w:b/>
          <w:lang w:val="pt-BR"/>
        </w:rPr>
        <w:t>.</w:t>
      </w:r>
    </w:p>
    <w:p w14:paraId="51C75B3D" w14:textId="1C6D70B5" w:rsidR="00243B5E" w:rsidRDefault="00000000" w:rsidP="00243B5E">
      <w:pPr>
        <w:spacing w:after="120"/>
        <w:jc w:val="left"/>
        <w:rPr>
          <w:lang w:val="pt-BR"/>
        </w:rPr>
      </w:pPr>
      <w:hyperlink r:id="rId8" w:history="1">
        <w:r w:rsidR="003C0DD6" w:rsidRPr="003C0DD6">
          <w:rPr>
            <w:rStyle w:val="Hyperlink"/>
            <w:color w:val="auto"/>
            <w:u w:val="none"/>
            <w:lang w:val="pt-BR"/>
          </w:rPr>
          <w:t>gabieduarda22@hotmail.com</w:t>
        </w:r>
      </w:hyperlink>
    </w:p>
    <w:p w14:paraId="05E4B8EE" w14:textId="5AA3BAAC" w:rsidR="003C0DD6" w:rsidRPr="00CF7034" w:rsidRDefault="003C0DD6" w:rsidP="003C0DD6">
      <w:pPr>
        <w:spacing w:after="120"/>
        <w:jc w:val="left"/>
        <w:rPr>
          <w:b/>
          <w:lang w:val="en-GB"/>
        </w:rPr>
      </w:pPr>
      <w:proofErr w:type="spellStart"/>
      <w:r w:rsidRPr="00CF7034">
        <w:rPr>
          <w:b/>
          <w:lang w:val="en-GB"/>
        </w:rPr>
        <w:t>Dayane</w:t>
      </w:r>
      <w:proofErr w:type="spellEnd"/>
      <w:r w:rsidRPr="00CF7034">
        <w:rPr>
          <w:b/>
          <w:lang w:val="en-GB"/>
        </w:rPr>
        <w:t xml:space="preserve"> Felix Andrade.</w:t>
      </w:r>
    </w:p>
    <w:p w14:paraId="329739E9" w14:textId="2BB72EE2" w:rsidR="003C0DD6" w:rsidRPr="00CF7034" w:rsidRDefault="003C0DD6" w:rsidP="003C0DD6">
      <w:pPr>
        <w:spacing w:after="120"/>
        <w:jc w:val="left"/>
        <w:rPr>
          <w:lang w:val="en-GB"/>
        </w:rPr>
      </w:pPr>
      <w:r w:rsidRPr="00CF7034">
        <w:rPr>
          <w:lang w:val="en-GB"/>
        </w:rPr>
        <w:t xml:space="preserve">dayanefelixa@gmail.com </w:t>
      </w:r>
    </w:p>
    <w:p w14:paraId="49A3CEA3" w14:textId="1D4C09EE" w:rsidR="003C0DD6" w:rsidRPr="0049479C" w:rsidRDefault="003C0DD6" w:rsidP="003C0DD6">
      <w:pPr>
        <w:spacing w:after="120"/>
        <w:jc w:val="left"/>
        <w:rPr>
          <w:b/>
          <w:lang w:val="pt-BR"/>
        </w:rPr>
      </w:pPr>
      <w:r>
        <w:rPr>
          <w:b/>
          <w:lang w:val="pt-BR"/>
        </w:rPr>
        <w:t>Sofia Araújo Lima Bessa</w:t>
      </w:r>
      <w:r w:rsidRPr="0049479C">
        <w:rPr>
          <w:b/>
          <w:lang w:val="pt-BR"/>
        </w:rPr>
        <w:t>.</w:t>
      </w:r>
    </w:p>
    <w:p w14:paraId="2C3B151D" w14:textId="35D8A983" w:rsidR="003C0DD6" w:rsidRPr="003C0DD6" w:rsidRDefault="00000000" w:rsidP="003C0DD6">
      <w:pPr>
        <w:spacing w:after="120"/>
        <w:jc w:val="left"/>
        <w:rPr>
          <w:lang w:val="pt-BR"/>
        </w:rPr>
      </w:pPr>
      <w:hyperlink r:id="rId9" w:history="1">
        <w:r w:rsidR="003C0DD6" w:rsidRPr="003C0DD6">
          <w:rPr>
            <w:rStyle w:val="Hyperlink"/>
            <w:color w:val="auto"/>
            <w:u w:val="none"/>
            <w:lang w:val="pt-BR"/>
          </w:rPr>
          <w:t>salbessa@hotmail.com</w:t>
        </w:r>
      </w:hyperlink>
    </w:p>
    <w:p w14:paraId="211B01E1" w14:textId="77777777" w:rsidR="00702466" w:rsidRPr="00243B5E" w:rsidRDefault="00702466">
      <w:pPr>
        <w:spacing w:after="120"/>
        <w:rPr>
          <w:b/>
          <w:sz w:val="28"/>
          <w:szCs w:val="28"/>
          <w:lang w:val="pt-BR"/>
        </w:rPr>
      </w:pPr>
    </w:p>
    <w:p w14:paraId="2423CFA2" w14:textId="1024F6FC" w:rsidR="00702466" w:rsidRDefault="00D644E2">
      <w:pPr>
        <w:spacing w:after="120"/>
        <w:rPr>
          <w:color w:val="A6A6A6"/>
          <w:lang w:val="pt-BR"/>
        </w:rPr>
      </w:pPr>
      <w:r>
        <w:rPr>
          <w:color w:val="A6A6A6"/>
          <w:lang w:val="pt-BR"/>
        </w:rPr>
        <w:t>[3]</w:t>
      </w:r>
    </w:p>
    <w:p w14:paraId="6DAB1CA2" w14:textId="77777777" w:rsidR="00243B5E" w:rsidRPr="00D644E2" w:rsidRDefault="00243B5E">
      <w:pPr>
        <w:spacing w:after="120"/>
        <w:rPr>
          <w:color w:val="A6A6A6"/>
          <w:lang w:val="pt-BR"/>
        </w:rPr>
      </w:pPr>
    </w:p>
    <w:p w14:paraId="0CE14ADA" w14:textId="77777777" w:rsidR="00702466" w:rsidRPr="005D2B08" w:rsidRDefault="0077271C">
      <w:pPr>
        <w:spacing w:after="120"/>
        <w:jc w:val="left"/>
        <w:rPr>
          <w:b/>
          <w:sz w:val="22"/>
          <w:szCs w:val="22"/>
          <w:lang w:val="pt-BR"/>
        </w:rPr>
      </w:pPr>
      <w:r w:rsidRPr="005D2B08">
        <w:rPr>
          <w:b/>
          <w:lang w:val="pt-BR"/>
        </w:rPr>
        <w:t>Resumo</w:t>
      </w:r>
    </w:p>
    <w:p w14:paraId="3A014E3C" w14:textId="3E33CD16" w:rsidR="00702466" w:rsidRPr="005D2B08" w:rsidRDefault="0077271C">
      <w:pPr>
        <w:spacing w:after="120"/>
        <w:rPr>
          <w:sz w:val="22"/>
          <w:szCs w:val="22"/>
          <w:lang w:val="pt-BR"/>
        </w:rPr>
      </w:pPr>
      <w:r w:rsidRPr="005D2B08">
        <w:rPr>
          <w:sz w:val="22"/>
          <w:szCs w:val="22"/>
          <w:lang w:val="pt-BR"/>
        </w:rPr>
        <w:t xml:space="preserve">A absorção por capilaridade é uma das fragilidades em construções em adobe. Para melhora da impermeabilização do adobe, adicionar estabilizantes como rejeito e cal hidratada, é pertinente. Este estudo tem como objetivo produzir adobes com diferentes teores de substituição em massa do solo por sedimento de RMF e analisar a influência da adição de 2% de cal, em </w:t>
      </w:r>
      <w:r w:rsidR="006C752C" w:rsidRPr="005D2B08">
        <w:rPr>
          <w:sz w:val="22"/>
          <w:szCs w:val="22"/>
          <w:lang w:val="pt-BR"/>
        </w:rPr>
        <w:t>massa, na</w:t>
      </w:r>
      <w:r w:rsidRPr="005D2B08">
        <w:rPr>
          <w:sz w:val="22"/>
          <w:szCs w:val="22"/>
          <w:lang w:val="pt-BR"/>
        </w:rPr>
        <w:t xml:space="preserve"> absorção de água por capilaridade (AC) dos adobes. O SRMF foi utilizado nos teores de 50, 60 e 70%. O valor do coeficiente de AC variou entre 1,22 e 2,38 g/cm</w:t>
      </w:r>
      <w:r w:rsidRPr="005D2B08">
        <w:rPr>
          <w:sz w:val="22"/>
          <w:szCs w:val="22"/>
          <w:vertAlign w:val="superscript"/>
          <w:lang w:val="pt-BR"/>
        </w:rPr>
        <w:t>2</w:t>
      </w:r>
      <w:r w:rsidRPr="005D2B08">
        <w:rPr>
          <w:sz w:val="22"/>
          <w:szCs w:val="22"/>
          <w:lang w:val="pt-BR"/>
        </w:rPr>
        <w:t xml:space="preserve"> </w:t>
      </w:r>
      <w:r w:rsidR="006557E8">
        <w:rPr>
          <w:sz w:val="22"/>
          <w:szCs w:val="22"/>
          <w:lang w:val="pt-BR"/>
        </w:rPr>
        <w:t>(</w:t>
      </w:r>
      <w:r w:rsidRPr="005D2B08">
        <w:rPr>
          <w:sz w:val="22"/>
          <w:szCs w:val="22"/>
          <w:lang w:val="pt-BR"/>
        </w:rPr>
        <w:t>sem adição de cal</w:t>
      </w:r>
      <w:r w:rsidR="006557E8">
        <w:rPr>
          <w:sz w:val="22"/>
          <w:szCs w:val="22"/>
          <w:lang w:val="pt-BR"/>
        </w:rPr>
        <w:t>)</w:t>
      </w:r>
      <w:r w:rsidRPr="005D2B08">
        <w:rPr>
          <w:sz w:val="22"/>
          <w:szCs w:val="22"/>
          <w:lang w:val="pt-BR"/>
        </w:rPr>
        <w:t xml:space="preserve">, enquanto o valor para </w:t>
      </w:r>
      <w:r w:rsidR="008A3AB7">
        <w:rPr>
          <w:sz w:val="22"/>
          <w:szCs w:val="22"/>
          <w:lang w:val="pt-BR"/>
        </w:rPr>
        <w:t xml:space="preserve">os </w:t>
      </w:r>
      <w:r w:rsidRPr="005D2B08">
        <w:rPr>
          <w:sz w:val="22"/>
          <w:szCs w:val="22"/>
          <w:lang w:val="pt-BR"/>
        </w:rPr>
        <w:t>adobe</w:t>
      </w:r>
      <w:r w:rsidR="008A3AB7">
        <w:rPr>
          <w:sz w:val="22"/>
          <w:szCs w:val="22"/>
          <w:lang w:val="pt-BR"/>
        </w:rPr>
        <w:t>s</w:t>
      </w:r>
      <w:r w:rsidRPr="005D2B08">
        <w:rPr>
          <w:sz w:val="22"/>
          <w:szCs w:val="22"/>
          <w:lang w:val="pt-BR"/>
        </w:rPr>
        <w:t xml:space="preserve"> com adição de cal variou entre 2,08 e 4,81 g/cm</w:t>
      </w:r>
      <w:r w:rsidRPr="005D2B08">
        <w:rPr>
          <w:sz w:val="22"/>
          <w:szCs w:val="22"/>
          <w:vertAlign w:val="superscript"/>
          <w:lang w:val="pt-BR"/>
        </w:rPr>
        <w:t>2</w:t>
      </w:r>
      <w:r w:rsidRPr="005D2B08">
        <w:rPr>
          <w:sz w:val="22"/>
          <w:szCs w:val="22"/>
          <w:lang w:val="pt-BR"/>
        </w:rPr>
        <w:t>. Nas misturas sem adição de cal a AC aumentou à medida que aumenta o teor de SRMF</w:t>
      </w:r>
      <w:r w:rsidR="00D67190">
        <w:rPr>
          <w:sz w:val="22"/>
          <w:szCs w:val="22"/>
          <w:lang w:val="pt-BR"/>
        </w:rPr>
        <w:t>. Já</w:t>
      </w:r>
      <w:r w:rsidRPr="005D2B08">
        <w:rPr>
          <w:sz w:val="22"/>
          <w:szCs w:val="22"/>
          <w:lang w:val="pt-BR"/>
        </w:rPr>
        <w:t xml:space="preserve"> nas misturas com adição de cal, </w:t>
      </w:r>
      <w:r w:rsidR="008A3AB7">
        <w:rPr>
          <w:sz w:val="22"/>
          <w:szCs w:val="22"/>
          <w:lang w:val="pt-BR"/>
        </w:rPr>
        <w:t>ocorreu o inverso</w:t>
      </w:r>
      <w:r w:rsidRPr="005D2B08">
        <w:rPr>
          <w:sz w:val="22"/>
          <w:szCs w:val="22"/>
          <w:lang w:val="pt-BR"/>
        </w:rPr>
        <w:t>.</w:t>
      </w:r>
      <w:r w:rsidR="006557E8">
        <w:rPr>
          <w:sz w:val="22"/>
          <w:szCs w:val="22"/>
          <w:lang w:val="pt-BR"/>
        </w:rPr>
        <w:t xml:space="preserve"> </w:t>
      </w:r>
      <w:r w:rsidR="006557E8" w:rsidRPr="005D2B08">
        <w:rPr>
          <w:lang w:val="pt-BR"/>
        </w:rPr>
        <w:t>Os valores da absorção de água por capilaridade podem ser relacionados à densidade</w:t>
      </w:r>
      <w:r w:rsidR="00C050D0">
        <w:rPr>
          <w:lang w:val="pt-BR"/>
        </w:rPr>
        <w:t>.</w:t>
      </w:r>
    </w:p>
    <w:p w14:paraId="5F2320BF" w14:textId="77777777" w:rsidR="00702466" w:rsidRPr="005D2B08" w:rsidRDefault="00702466">
      <w:pPr>
        <w:spacing w:after="120"/>
        <w:rPr>
          <w:color w:val="A6A6A6"/>
          <w:sz w:val="22"/>
          <w:szCs w:val="22"/>
          <w:lang w:val="pt-BR"/>
        </w:rPr>
      </w:pPr>
    </w:p>
    <w:p w14:paraId="61AC2E21" w14:textId="77777777" w:rsidR="00702466" w:rsidRPr="005D2B08" w:rsidRDefault="0077271C">
      <w:pPr>
        <w:spacing w:after="120"/>
        <w:jc w:val="left"/>
        <w:rPr>
          <w:sz w:val="22"/>
          <w:szCs w:val="22"/>
          <w:lang w:val="pt-BR"/>
        </w:rPr>
      </w:pPr>
      <w:r w:rsidRPr="005D2B08">
        <w:rPr>
          <w:b/>
          <w:lang w:val="pt-BR"/>
        </w:rPr>
        <w:t>Palavras-chave</w:t>
      </w:r>
      <w:r w:rsidRPr="005D2B08">
        <w:rPr>
          <w:b/>
          <w:sz w:val="22"/>
          <w:szCs w:val="22"/>
          <w:lang w:val="pt-BR"/>
        </w:rPr>
        <w:t xml:space="preserve">: </w:t>
      </w:r>
      <w:r w:rsidRPr="005D2B08">
        <w:rPr>
          <w:sz w:val="22"/>
          <w:szCs w:val="22"/>
          <w:lang w:val="pt-BR"/>
        </w:rPr>
        <w:t>sedimento de rejeito de minério de ferro; estabilização; método de ensaio.</w:t>
      </w:r>
    </w:p>
    <w:p w14:paraId="257293AA" w14:textId="77777777" w:rsidR="00702466" w:rsidRPr="005D2B08" w:rsidRDefault="00702466">
      <w:pPr>
        <w:spacing w:after="120"/>
        <w:rPr>
          <w:color w:val="A6A6A6"/>
          <w:sz w:val="22"/>
          <w:szCs w:val="22"/>
          <w:lang w:val="pt-BR"/>
        </w:rPr>
      </w:pPr>
    </w:p>
    <w:p w14:paraId="379794E9" w14:textId="77777777" w:rsidR="00702466" w:rsidRDefault="0077271C">
      <w:pPr>
        <w:spacing w:after="120"/>
        <w:rPr>
          <w:i/>
          <w:sz w:val="22"/>
          <w:szCs w:val="22"/>
        </w:rPr>
      </w:pPr>
      <w:r>
        <w:rPr>
          <w:b/>
          <w:i/>
        </w:rPr>
        <w:lastRenderedPageBreak/>
        <w:t>Abstrac</w:t>
      </w:r>
      <w:r>
        <w:rPr>
          <w:b/>
          <w:i/>
          <w:sz w:val="22"/>
          <w:szCs w:val="22"/>
        </w:rPr>
        <w:t>t</w:t>
      </w:r>
    </w:p>
    <w:p w14:paraId="4D38724E" w14:textId="79FEF8E4" w:rsidR="00702466" w:rsidRDefault="0077271C">
      <w:pPr>
        <w:widowControl w:val="0"/>
        <w:spacing w:after="120"/>
        <w:rPr>
          <w:i/>
          <w:sz w:val="22"/>
          <w:szCs w:val="22"/>
          <w:vertAlign w:val="superscript"/>
        </w:rPr>
      </w:pPr>
      <w:r>
        <w:rPr>
          <w:i/>
          <w:sz w:val="22"/>
          <w:szCs w:val="22"/>
        </w:rPr>
        <w:t xml:space="preserve">The absorption by capillarity is one of the weaknesses in adobe constructions. </w:t>
      </w:r>
      <w:r w:rsidR="00B06C15">
        <w:rPr>
          <w:i/>
          <w:sz w:val="22"/>
          <w:szCs w:val="22"/>
        </w:rPr>
        <w:t>Adding stabilizers such as tailings and lime is pertinent to improve adobe's waterproofing</w:t>
      </w:r>
      <w:r>
        <w:rPr>
          <w:i/>
          <w:sz w:val="22"/>
          <w:szCs w:val="22"/>
        </w:rPr>
        <w:t xml:space="preserve">. This study </w:t>
      </w:r>
      <w:r w:rsidR="00B06C15">
        <w:rPr>
          <w:i/>
          <w:sz w:val="22"/>
          <w:szCs w:val="22"/>
        </w:rPr>
        <w:t>aims</w:t>
      </w:r>
      <w:r>
        <w:rPr>
          <w:i/>
          <w:sz w:val="22"/>
          <w:szCs w:val="22"/>
        </w:rPr>
        <w:t xml:space="preserve"> to produce adobes with different levels of mass replacement of soil by IOT sediment and to analyze the influence of adding 2% lime, by mass, on the capillary water absorption (</w:t>
      </w:r>
      <w:r w:rsidR="00E9741E">
        <w:rPr>
          <w:i/>
          <w:sz w:val="22"/>
          <w:szCs w:val="22"/>
        </w:rPr>
        <w:t>C</w:t>
      </w:r>
      <w:r>
        <w:rPr>
          <w:i/>
          <w:sz w:val="22"/>
          <w:szCs w:val="22"/>
        </w:rPr>
        <w:t>WA) of the adobes. IOTS</w:t>
      </w:r>
      <w:r w:rsidR="00E9741E">
        <w:rPr>
          <w:i/>
          <w:sz w:val="22"/>
          <w:szCs w:val="22"/>
        </w:rPr>
        <w:t xml:space="preserve"> samples</w:t>
      </w:r>
      <w:r>
        <w:rPr>
          <w:i/>
          <w:sz w:val="22"/>
          <w:szCs w:val="22"/>
        </w:rPr>
        <w:t xml:space="preserve"> w</w:t>
      </w:r>
      <w:r w:rsidR="00E9741E">
        <w:rPr>
          <w:i/>
          <w:sz w:val="22"/>
          <w:szCs w:val="22"/>
        </w:rPr>
        <w:t>ere</w:t>
      </w:r>
      <w:r>
        <w:rPr>
          <w:i/>
          <w:sz w:val="22"/>
          <w:szCs w:val="22"/>
        </w:rPr>
        <w:t xml:space="preserve"> used in the contents of 50, 60</w:t>
      </w:r>
      <w:r w:rsidR="00B06C15">
        <w:rPr>
          <w:i/>
          <w:sz w:val="22"/>
          <w:szCs w:val="22"/>
        </w:rPr>
        <w:t>,</w:t>
      </w:r>
      <w:r>
        <w:rPr>
          <w:i/>
          <w:sz w:val="22"/>
          <w:szCs w:val="22"/>
        </w:rPr>
        <w:t xml:space="preserve"> and 70%. The </w:t>
      </w:r>
      <w:r w:rsidR="00050353">
        <w:rPr>
          <w:i/>
          <w:sz w:val="22"/>
          <w:szCs w:val="22"/>
        </w:rPr>
        <w:t>C</w:t>
      </w:r>
      <w:r>
        <w:rPr>
          <w:i/>
          <w:sz w:val="22"/>
          <w:szCs w:val="22"/>
        </w:rPr>
        <w:t xml:space="preserve">WA </w:t>
      </w:r>
      <w:r w:rsidR="00050353">
        <w:rPr>
          <w:i/>
          <w:sz w:val="22"/>
          <w:szCs w:val="22"/>
        </w:rPr>
        <w:t xml:space="preserve">values </w:t>
      </w:r>
      <w:r>
        <w:rPr>
          <w:i/>
          <w:sz w:val="22"/>
          <w:szCs w:val="22"/>
        </w:rPr>
        <w:t>ranged between 1.22 and 2.38 g/cm</w:t>
      </w:r>
      <w:r>
        <w:rPr>
          <w:i/>
          <w:sz w:val="22"/>
          <w:szCs w:val="22"/>
          <w:vertAlign w:val="superscript"/>
        </w:rPr>
        <w:t>2</w:t>
      </w:r>
      <w:r>
        <w:rPr>
          <w:i/>
          <w:sz w:val="22"/>
          <w:szCs w:val="22"/>
        </w:rPr>
        <w:t xml:space="preserve"> in the adobes without lime addition, </w:t>
      </w:r>
      <w:r w:rsidR="00D16BAB">
        <w:rPr>
          <w:i/>
          <w:sz w:val="22"/>
          <w:szCs w:val="22"/>
        </w:rPr>
        <w:t>while for</w:t>
      </w:r>
      <w:r>
        <w:rPr>
          <w:i/>
          <w:sz w:val="22"/>
          <w:szCs w:val="22"/>
        </w:rPr>
        <w:t xml:space="preserve"> adobe with lime addition ranged between 2.08 and 4.81 g/cm</w:t>
      </w:r>
      <w:r>
        <w:rPr>
          <w:i/>
          <w:sz w:val="22"/>
          <w:szCs w:val="22"/>
          <w:vertAlign w:val="superscript"/>
        </w:rPr>
        <w:t>2</w:t>
      </w:r>
      <w:r>
        <w:rPr>
          <w:i/>
          <w:sz w:val="22"/>
          <w:szCs w:val="22"/>
        </w:rPr>
        <w:t>. In the mixtures without lime addition, the WA increased as the IOTS content increased</w:t>
      </w:r>
      <w:r w:rsidR="00050353">
        <w:rPr>
          <w:i/>
          <w:sz w:val="22"/>
          <w:szCs w:val="22"/>
        </w:rPr>
        <w:t>. I</w:t>
      </w:r>
      <w:r>
        <w:rPr>
          <w:i/>
          <w:sz w:val="22"/>
          <w:szCs w:val="22"/>
        </w:rPr>
        <w:t xml:space="preserve">n the mixtures with lime </w:t>
      </w:r>
      <w:r w:rsidR="00FA5174">
        <w:rPr>
          <w:i/>
          <w:sz w:val="22"/>
          <w:szCs w:val="22"/>
        </w:rPr>
        <w:t>addition, occurred</w:t>
      </w:r>
      <w:r w:rsidR="00050353">
        <w:rPr>
          <w:i/>
          <w:sz w:val="22"/>
          <w:szCs w:val="22"/>
        </w:rPr>
        <w:t xml:space="preserve"> the opposite. </w:t>
      </w:r>
      <w:r w:rsidR="00984545" w:rsidRPr="00984545">
        <w:rPr>
          <w:i/>
          <w:sz w:val="22"/>
          <w:szCs w:val="22"/>
        </w:rPr>
        <w:t>The values of water absorption by capillarity can be related to the apparent density of the adobes at the test age.</w:t>
      </w:r>
    </w:p>
    <w:p w14:paraId="0985F501" w14:textId="77777777" w:rsidR="00702466" w:rsidRDefault="00702466">
      <w:pPr>
        <w:spacing w:after="120"/>
        <w:rPr>
          <w:color w:val="A6A6A6"/>
          <w:sz w:val="22"/>
          <w:szCs w:val="22"/>
        </w:rPr>
      </w:pPr>
    </w:p>
    <w:p w14:paraId="7314D298" w14:textId="77777777" w:rsidR="00702466" w:rsidRDefault="0077271C">
      <w:pPr>
        <w:spacing w:after="120"/>
        <w:jc w:val="left"/>
        <w:rPr>
          <w:b/>
          <w:i/>
        </w:rPr>
      </w:pPr>
      <w:r>
        <w:rPr>
          <w:b/>
          <w:i/>
        </w:rPr>
        <w:t xml:space="preserve">Keywords: </w:t>
      </w:r>
      <w:r>
        <w:rPr>
          <w:i/>
          <w:sz w:val="22"/>
          <w:szCs w:val="22"/>
        </w:rPr>
        <w:t>iron ore tailings sediment; stabilization; test method.</w:t>
      </w:r>
    </w:p>
    <w:p w14:paraId="00E00A02" w14:textId="77777777" w:rsidR="00702466" w:rsidRDefault="0077271C">
      <w:pPr>
        <w:numPr>
          <w:ilvl w:val="0"/>
          <w:numId w:val="1"/>
        </w:numPr>
        <w:pBdr>
          <w:top w:val="nil"/>
          <w:left w:val="nil"/>
          <w:bottom w:val="nil"/>
          <w:right w:val="nil"/>
          <w:between w:val="nil"/>
        </w:pBdr>
        <w:spacing w:after="120"/>
        <w:rPr>
          <w:b/>
          <w:color w:val="000000"/>
        </w:rPr>
      </w:pPr>
      <w:r>
        <w:rPr>
          <w:b/>
          <w:color w:val="000000"/>
        </w:rPr>
        <w:t>Introdução</w:t>
      </w:r>
    </w:p>
    <w:p w14:paraId="2DEC9AB6" w14:textId="632A1BAD" w:rsidR="00702466" w:rsidRPr="005D2B08" w:rsidRDefault="0077271C">
      <w:pPr>
        <w:spacing w:after="120"/>
        <w:ind w:firstLine="284"/>
        <w:rPr>
          <w:lang w:val="pt-BR"/>
        </w:rPr>
      </w:pPr>
      <w:r w:rsidRPr="005D2B08">
        <w:rPr>
          <w:lang w:val="pt-BR"/>
        </w:rPr>
        <w:t xml:space="preserve">A absorção por capilaridade é um fenômeno físico que ocorre como consequência da tensão superficial de um líquido em um sistema capilar, o que permite que o líquido penetre em meio aos poros (OHOFUGI </w:t>
      </w:r>
      <w:r w:rsidRPr="005D2B08">
        <w:rPr>
          <w:i/>
          <w:lang w:val="pt-BR"/>
        </w:rPr>
        <w:t>et al.,</w:t>
      </w:r>
      <w:r w:rsidRPr="005D2B08">
        <w:rPr>
          <w:lang w:val="pt-BR"/>
        </w:rPr>
        <w:t xml:space="preserve"> 2021). Assim, a ocorrência deste fenômeno depende das propriedades físicas e granulométricas do material.</w:t>
      </w:r>
    </w:p>
    <w:p w14:paraId="68F8037E" w14:textId="55D36250" w:rsidR="00702466" w:rsidRPr="005D2B08" w:rsidRDefault="0077271C">
      <w:pPr>
        <w:pBdr>
          <w:top w:val="nil"/>
          <w:left w:val="nil"/>
          <w:bottom w:val="nil"/>
          <w:right w:val="nil"/>
          <w:between w:val="nil"/>
        </w:pBdr>
        <w:spacing w:after="120"/>
        <w:ind w:firstLine="284"/>
        <w:rPr>
          <w:lang w:val="pt-BR"/>
        </w:rPr>
      </w:pPr>
      <w:r w:rsidRPr="005D2B08">
        <w:rPr>
          <w:lang w:val="pt-BR"/>
        </w:rPr>
        <w:t xml:space="preserve">O comportamento da absorção por capilaridade (AC) em componentes construtivos com terra é um dos requisitos normativos essenciais para a realização de uma alvenaria durável (RAIMONDO </w:t>
      </w:r>
      <w:r w:rsidRPr="005D2B08">
        <w:rPr>
          <w:i/>
          <w:lang w:val="pt-BR"/>
        </w:rPr>
        <w:t>et al.,</w:t>
      </w:r>
      <w:r w:rsidRPr="005D2B08">
        <w:rPr>
          <w:lang w:val="pt-BR"/>
        </w:rPr>
        <w:t xml:space="preserve"> 2009)</w:t>
      </w:r>
      <w:r w:rsidR="00841200">
        <w:rPr>
          <w:lang w:val="pt-BR"/>
        </w:rPr>
        <w:t xml:space="preserve">, </w:t>
      </w:r>
      <w:r w:rsidR="00D644E2">
        <w:rPr>
          <w:lang w:val="pt-BR"/>
        </w:rPr>
        <w:t>que se</w:t>
      </w:r>
      <w:r w:rsidRPr="005D2B08">
        <w:rPr>
          <w:lang w:val="pt-BR"/>
        </w:rPr>
        <w:t xml:space="preserve"> justifica </w:t>
      </w:r>
      <w:r w:rsidR="00841200">
        <w:rPr>
          <w:lang w:val="pt-BR"/>
        </w:rPr>
        <w:t xml:space="preserve">porque a </w:t>
      </w:r>
      <w:r w:rsidRPr="005D2B08">
        <w:rPr>
          <w:lang w:val="pt-BR"/>
        </w:rPr>
        <w:t>AC pode alterar algumas propriedades mecânicas do componente construtivo</w:t>
      </w:r>
      <w:r w:rsidR="005B732B">
        <w:rPr>
          <w:lang w:val="pt-BR"/>
        </w:rPr>
        <w:t xml:space="preserve">. </w:t>
      </w:r>
      <w:r w:rsidR="00E21F7A">
        <w:rPr>
          <w:lang w:val="pt-BR"/>
        </w:rPr>
        <w:t>O acúmulo de</w:t>
      </w:r>
      <w:r w:rsidR="005B732B" w:rsidRPr="005B732B">
        <w:rPr>
          <w:lang w:val="pt-BR"/>
        </w:rPr>
        <w:t xml:space="preserve"> umidade em componentes construtivos de terra pode causar deterioração devido ao enfraquecimento hidromecânico</w:t>
      </w:r>
      <w:r w:rsidRPr="005D2B08">
        <w:rPr>
          <w:lang w:val="pt-BR"/>
        </w:rPr>
        <w:t xml:space="preserve"> pelas mudanças de pressões, </w:t>
      </w:r>
      <w:r w:rsidR="00E21F7A" w:rsidRPr="005D2B08">
        <w:rPr>
          <w:lang w:val="pt-BR"/>
        </w:rPr>
        <w:t>alteraç</w:t>
      </w:r>
      <w:r w:rsidR="00E21F7A">
        <w:rPr>
          <w:lang w:val="pt-BR"/>
        </w:rPr>
        <w:t>ões</w:t>
      </w:r>
      <w:r w:rsidR="00E21F7A" w:rsidRPr="005D2B08">
        <w:rPr>
          <w:lang w:val="pt-BR"/>
        </w:rPr>
        <w:t xml:space="preserve"> </w:t>
      </w:r>
      <w:r w:rsidRPr="005D2B08">
        <w:rPr>
          <w:lang w:val="pt-BR"/>
        </w:rPr>
        <w:t xml:space="preserve">na carga hidráulica, acúmulo de umidade e consequente erosão. As patologias relacionadas à umidade são as principais causadoras da deterioração das construções (CIRVINI, </w:t>
      </w:r>
      <w:r w:rsidRPr="005D2B08">
        <w:rPr>
          <w:i/>
          <w:lang w:val="pt-BR"/>
        </w:rPr>
        <w:t>et al</w:t>
      </w:r>
      <w:r w:rsidRPr="005D2B08">
        <w:rPr>
          <w:lang w:val="pt-BR"/>
        </w:rPr>
        <w:t xml:space="preserve">., 2014). </w:t>
      </w:r>
    </w:p>
    <w:p w14:paraId="0DAAFA24" w14:textId="5EE3EBFD" w:rsidR="00702466" w:rsidRPr="005D2B08" w:rsidRDefault="0077271C">
      <w:pPr>
        <w:pBdr>
          <w:top w:val="nil"/>
          <w:left w:val="nil"/>
          <w:bottom w:val="nil"/>
          <w:right w:val="nil"/>
          <w:between w:val="nil"/>
        </w:pBdr>
        <w:spacing w:after="120"/>
        <w:ind w:firstLine="284"/>
        <w:rPr>
          <w:lang w:val="pt-BR"/>
        </w:rPr>
      </w:pPr>
      <w:r w:rsidRPr="005D2B08">
        <w:rPr>
          <w:lang w:val="pt-BR"/>
        </w:rPr>
        <w:t xml:space="preserve">Dentre os componentes construtivos de terra, o adobe é uma técnica milenar de construção que utiliza solo </w:t>
      </w:r>
      <w:proofErr w:type="spellStart"/>
      <w:r w:rsidRPr="005D2B08">
        <w:rPr>
          <w:lang w:val="pt-BR"/>
        </w:rPr>
        <w:t>arenoargiloso</w:t>
      </w:r>
      <w:proofErr w:type="spellEnd"/>
      <w:r w:rsidRPr="005D2B08">
        <w:rPr>
          <w:lang w:val="pt-BR"/>
        </w:rPr>
        <w:t xml:space="preserve"> em estado plástico firme. </w:t>
      </w:r>
      <w:r w:rsidR="006463F4">
        <w:rPr>
          <w:lang w:val="pt-BR"/>
        </w:rPr>
        <w:t>No</w:t>
      </w:r>
      <w:r w:rsidRPr="005D2B08">
        <w:rPr>
          <w:lang w:val="pt-BR"/>
        </w:rPr>
        <w:t xml:space="preserve"> processo de produção, o adobe é moldado em formas untadas com areia e desmoldado logo em seguida, para, por fim, ser colocado para secar naturalmente, produzindo blocos maciços (MUNOZ, </w:t>
      </w:r>
      <w:r w:rsidRPr="005D2B08">
        <w:rPr>
          <w:i/>
          <w:lang w:val="pt-BR"/>
        </w:rPr>
        <w:t>et al.</w:t>
      </w:r>
      <w:r w:rsidRPr="005D2B08">
        <w:rPr>
          <w:lang w:val="pt-BR"/>
        </w:rPr>
        <w:t>, 2020). Devido ao baixo impacto ambiental agregado ao processo de produção, é uma técnica construtiva importante para diminuir o impacto ambiental negativo da construção civil contemporânea (DEGIRMENCI, 2005).</w:t>
      </w:r>
    </w:p>
    <w:p w14:paraId="4283718C" w14:textId="51A97116" w:rsidR="003D7639" w:rsidRDefault="0077271C" w:rsidP="003D7639">
      <w:pPr>
        <w:spacing w:after="120"/>
        <w:ind w:firstLine="284"/>
        <w:rPr>
          <w:lang w:val="pt-BR"/>
        </w:rPr>
      </w:pPr>
      <w:r w:rsidRPr="005D2B08">
        <w:rPr>
          <w:lang w:val="pt-BR"/>
        </w:rPr>
        <w:t>Uma das vulnerabilidades da técnica do adobe</w:t>
      </w:r>
      <w:r w:rsidR="003D7639">
        <w:rPr>
          <w:lang w:val="pt-BR"/>
        </w:rPr>
        <w:t>, tal qual outros componentes construtivos de terra,</w:t>
      </w:r>
      <w:r w:rsidRPr="005D2B08">
        <w:rPr>
          <w:lang w:val="pt-BR"/>
        </w:rPr>
        <w:t xml:space="preserve"> está relacionada aos danos causados pela umidade que podem resultar em uma redução da resistência mecânica.</w:t>
      </w:r>
      <w:r w:rsidR="003D7639">
        <w:rPr>
          <w:lang w:val="pt-BR"/>
        </w:rPr>
        <w:t xml:space="preserve"> D</w:t>
      </w:r>
      <w:r w:rsidR="003D7639" w:rsidRPr="003D7639">
        <w:rPr>
          <w:lang w:val="pt-BR"/>
        </w:rPr>
        <w:t>e modo geral, a durabilidade d</w:t>
      </w:r>
      <w:r w:rsidR="005E302E">
        <w:rPr>
          <w:lang w:val="pt-BR"/>
        </w:rPr>
        <w:t>e uma alvenaria de adobe</w:t>
      </w:r>
      <w:r w:rsidR="003D7639" w:rsidRPr="003D7639">
        <w:rPr>
          <w:lang w:val="pt-BR"/>
        </w:rPr>
        <w:t xml:space="preserve"> está mais relacionada às características de resistência à água</w:t>
      </w:r>
      <w:r w:rsidR="006463F4">
        <w:rPr>
          <w:lang w:val="pt-BR"/>
        </w:rPr>
        <w:t xml:space="preserve"> </w:t>
      </w:r>
      <w:r w:rsidR="003D7639" w:rsidRPr="003D7639">
        <w:rPr>
          <w:lang w:val="pt-BR"/>
        </w:rPr>
        <w:t>do que à resistência mecânica</w:t>
      </w:r>
      <w:r w:rsidR="00546B6E">
        <w:rPr>
          <w:lang w:val="pt-BR"/>
        </w:rPr>
        <w:t xml:space="preserve"> (BECKETT,</w:t>
      </w:r>
      <w:r w:rsidR="00546B6E" w:rsidRPr="00546B6E">
        <w:rPr>
          <w:i/>
          <w:lang w:val="pt-BR"/>
        </w:rPr>
        <w:t xml:space="preserve"> </w:t>
      </w:r>
      <w:r w:rsidR="00546B6E" w:rsidRPr="005D2B08">
        <w:rPr>
          <w:i/>
          <w:lang w:val="pt-BR"/>
        </w:rPr>
        <w:t>et al</w:t>
      </w:r>
      <w:r w:rsidR="00546B6E" w:rsidRPr="005D2B08">
        <w:rPr>
          <w:lang w:val="pt-BR"/>
        </w:rPr>
        <w:t xml:space="preserve">., </w:t>
      </w:r>
      <w:r w:rsidR="00546B6E">
        <w:rPr>
          <w:lang w:val="pt-BR"/>
        </w:rPr>
        <w:t>2020)</w:t>
      </w:r>
      <w:r w:rsidR="003D7639">
        <w:rPr>
          <w:lang w:val="pt-BR"/>
        </w:rPr>
        <w:t>.</w:t>
      </w:r>
      <w:r w:rsidR="005E302E">
        <w:rPr>
          <w:lang w:val="pt-BR"/>
        </w:rPr>
        <w:t xml:space="preserve"> </w:t>
      </w:r>
      <w:r w:rsidRPr="005D2B08">
        <w:rPr>
          <w:lang w:val="pt-BR"/>
        </w:rPr>
        <w:t>Para melhorar a impermeabilização,</w:t>
      </w:r>
      <w:r w:rsidR="005E302E">
        <w:rPr>
          <w:lang w:val="pt-BR"/>
        </w:rPr>
        <w:t xml:space="preserve"> e consequentemente,</w:t>
      </w:r>
      <w:r w:rsidRPr="005D2B08">
        <w:rPr>
          <w:lang w:val="pt-BR"/>
        </w:rPr>
        <w:t xml:space="preserve"> a durabilidade e a resistência mecânica, pode-se realizar a estabilização do solo, que consiste em adicionar materiais como aglomerantes, produtos químicos ou mesmo outros tipos de solo (MACHADO </w:t>
      </w:r>
      <w:r w:rsidRPr="005D2B08">
        <w:rPr>
          <w:i/>
          <w:lang w:val="pt-BR"/>
        </w:rPr>
        <w:t>et al</w:t>
      </w:r>
      <w:r w:rsidRPr="005D2B08">
        <w:rPr>
          <w:lang w:val="pt-BR"/>
        </w:rPr>
        <w:t xml:space="preserve">., 2020). </w:t>
      </w:r>
    </w:p>
    <w:p w14:paraId="7E494F81" w14:textId="77777777" w:rsidR="003D7639" w:rsidRDefault="0077271C" w:rsidP="003D7639">
      <w:pPr>
        <w:spacing w:after="120"/>
        <w:ind w:firstLine="284"/>
        <w:rPr>
          <w:lang w:val="pt-BR"/>
        </w:rPr>
      </w:pPr>
      <w:r w:rsidRPr="005D2B08">
        <w:rPr>
          <w:lang w:val="pt-BR"/>
        </w:rPr>
        <w:t>O uso de cal hidratada e de resíduos industriais têm sido avaliados e se apresentam como uma possibilidade na estabilização desses componentes de adobe (OLACIA</w:t>
      </w:r>
      <w:r w:rsidRPr="005D2B08">
        <w:rPr>
          <w:i/>
          <w:lang w:val="pt-BR"/>
        </w:rPr>
        <w:t xml:space="preserve"> et al.</w:t>
      </w:r>
      <w:r w:rsidRPr="005D2B08">
        <w:rPr>
          <w:lang w:val="pt-BR"/>
        </w:rPr>
        <w:t xml:space="preserve">, 2020). Alguns autores atestam que a adição da cal pode conferir maior estabilidade dimensional ao </w:t>
      </w:r>
      <w:r w:rsidRPr="005D2B08">
        <w:rPr>
          <w:lang w:val="pt-BR"/>
        </w:rPr>
        <w:lastRenderedPageBreak/>
        <w:t xml:space="preserve">adobe e diminuir a absorção de água (MATTOS </w:t>
      </w:r>
      <w:r w:rsidRPr="005D2B08">
        <w:rPr>
          <w:i/>
          <w:lang w:val="pt-BR"/>
        </w:rPr>
        <w:t>et al.,</w:t>
      </w:r>
      <w:r w:rsidRPr="005D2B08">
        <w:rPr>
          <w:lang w:val="pt-BR"/>
        </w:rPr>
        <w:t xml:space="preserve"> 2017), principalmente em solos finos e com elevado teor de argila (MANZOOR, </w:t>
      </w:r>
      <w:r w:rsidRPr="005D2B08">
        <w:rPr>
          <w:i/>
          <w:lang w:val="pt-BR"/>
        </w:rPr>
        <w:t>et al.</w:t>
      </w:r>
      <w:r w:rsidRPr="005D2B08">
        <w:rPr>
          <w:lang w:val="pt-BR"/>
        </w:rPr>
        <w:t>, 2020).</w:t>
      </w:r>
    </w:p>
    <w:p w14:paraId="455778A5" w14:textId="310A96D6" w:rsidR="00702466" w:rsidRPr="005D2B08" w:rsidRDefault="0077271C" w:rsidP="003D7639">
      <w:pPr>
        <w:spacing w:after="120"/>
        <w:ind w:firstLine="284"/>
        <w:rPr>
          <w:lang w:val="pt-BR"/>
        </w:rPr>
      </w:pPr>
      <w:r w:rsidRPr="005D2B08">
        <w:rPr>
          <w:lang w:val="pt-BR"/>
        </w:rPr>
        <w:t xml:space="preserve">Contudo, </w:t>
      </w:r>
      <w:r w:rsidR="0038054D" w:rsidRPr="005D2B08">
        <w:rPr>
          <w:lang w:val="pt-BR"/>
        </w:rPr>
        <w:t>a influência</w:t>
      </w:r>
      <w:r w:rsidRPr="005D2B08">
        <w:rPr>
          <w:lang w:val="pt-BR"/>
        </w:rPr>
        <w:t xml:space="preserve"> da adição de cal na capilaridade tem sido bastante discutida. Alguns pesquisadores defendem que, ao contrário, há um aumento desta propriedade ou não há interferência da cal (MACHADO </w:t>
      </w:r>
      <w:r w:rsidRPr="005D2B08">
        <w:rPr>
          <w:i/>
          <w:lang w:val="pt-BR"/>
        </w:rPr>
        <w:t>et al.</w:t>
      </w:r>
      <w:r w:rsidRPr="005D2B08">
        <w:rPr>
          <w:lang w:val="pt-BR"/>
        </w:rPr>
        <w:t xml:space="preserve">, 2020). Estas discordâncias estão relacionadas à heterogeneidade na composição do solo e às diferenças na estrutura e na formação geológica do solo, além das interações químicas e físicas da mistura estabilizadora (LITTLE </w:t>
      </w:r>
      <w:r w:rsidRPr="005D2B08">
        <w:rPr>
          <w:i/>
          <w:lang w:val="pt-BR"/>
        </w:rPr>
        <w:t>et al.</w:t>
      </w:r>
      <w:r w:rsidRPr="005D2B08">
        <w:rPr>
          <w:lang w:val="pt-BR"/>
        </w:rPr>
        <w:t>, 2009).</w:t>
      </w:r>
    </w:p>
    <w:p w14:paraId="47BC3AFE" w14:textId="77777777" w:rsidR="00702466" w:rsidRPr="005D2B08" w:rsidRDefault="0077271C">
      <w:pPr>
        <w:pBdr>
          <w:top w:val="nil"/>
          <w:left w:val="nil"/>
          <w:bottom w:val="nil"/>
          <w:right w:val="nil"/>
          <w:between w:val="nil"/>
        </w:pBdr>
        <w:spacing w:after="120"/>
        <w:ind w:firstLine="284"/>
        <w:rPr>
          <w:lang w:val="pt-BR"/>
        </w:rPr>
      </w:pPr>
      <w:r w:rsidRPr="005D2B08">
        <w:rPr>
          <w:lang w:val="pt-BR"/>
        </w:rPr>
        <w:t xml:space="preserve">Além do uso da cal, outros estudos obtiveram bons resultados no desempenho físico do adobe estabilizado com rejeito de minério de ferro (RMF) em relação ao adobe sem estabilização (SILVA </w:t>
      </w:r>
      <w:r w:rsidRPr="005D2B08">
        <w:rPr>
          <w:i/>
          <w:lang w:val="pt-BR"/>
        </w:rPr>
        <w:t>et al.</w:t>
      </w:r>
      <w:r w:rsidRPr="005D2B08">
        <w:rPr>
          <w:lang w:val="pt-BR"/>
        </w:rPr>
        <w:t xml:space="preserve">, 2014; LI </w:t>
      </w:r>
      <w:r w:rsidRPr="005D2B08">
        <w:rPr>
          <w:i/>
          <w:lang w:val="pt-BR"/>
        </w:rPr>
        <w:t>et al.</w:t>
      </w:r>
      <w:r w:rsidRPr="005D2B08">
        <w:rPr>
          <w:lang w:val="pt-BR"/>
        </w:rPr>
        <w:t xml:space="preserve">, 2019). O uso de RMF na produção de adobe pode ser justificado pelo fato deste material apresentar características químicas e composição granulométrica semelhante aos solos utilizadas na produção de adobe (LI </w:t>
      </w:r>
      <w:r w:rsidRPr="005D2B08">
        <w:rPr>
          <w:i/>
          <w:lang w:val="pt-BR"/>
        </w:rPr>
        <w:t>et al.</w:t>
      </w:r>
      <w:r w:rsidRPr="005D2B08">
        <w:rPr>
          <w:lang w:val="pt-BR"/>
        </w:rPr>
        <w:t>, 2019).</w:t>
      </w:r>
    </w:p>
    <w:p w14:paraId="1B2FEF14" w14:textId="77777777" w:rsidR="00702466" w:rsidRPr="005D2B08" w:rsidRDefault="0077271C">
      <w:pPr>
        <w:spacing w:after="120"/>
        <w:ind w:firstLine="284"/>
        <w:rPr>
          <w:lang w:val="pt-BR"/>
        </w:rPr>
      </w:pPr>
      <w:r w:rsidRPr="005D2B08">
        <w:rPr>
          <w:lang w:val="pt-BR"/>
        </w:rPr>
        <w:t xml:space="preserve">Soma-se a isso o fato do Brasil ser um país com intensa exploração mineral. Em 2021, o minério de ferro foi o mineral com maior extração no Brasil, com cerca de 567 milhões de toneladas do material bruto, o que gerou cerca de 250 bilhões de reais (BRASIL, 2023). Apesar dos altos lucros, uma das principais questões ambientais associadas à extração do ferro é a quantidade de rejeitos gerados durante o processo de beneficiamento e as consequências ambientais ocasionadas por esse procedimento. </w:t>
      </w:r>
    </w:p>
    <w:p w14:paraId="18F38CB6" w14:textId="77777777" w:rsidR="00702466" w:rsidRPr="005D2B08" w:rsidRDefault="0077271C">
      <w:pPr>
        <w:spacing w:after="120"/>
        <w:ind w:firstLine="284"/>
        <w:rPr>
          <w:lang w:val="pt-BR"/>
        </w:rPr>
      </w:pPr>
      <w:r w:rsidRPr="005D2B08">
        <w:rPr>
          <w:lang w:val="pt-BR"/>
        </w:rPr>
        <w:t>Um incidente relacionado à mineração ocorreu no ano de 2015, em que a Barragem de Fundão, que armazenava 55 milhões de metros cúbicos de RMF, colapsou em um subdistrito do município de Mariana, e provocou o deslocamento de rejeito através de rios por 663 km até o litoral do Espírito Santo.</w:t>
      </w:r>
    </w:p>
    <w:p w14:paraId="5269EFAB" w14:textId="77777777" w:rsidR="00702466" w:rsidRPr="005D2B08" w:rsidRDefault="0077271C">
      <w:pPr>
        <w:pBdr>
          <w:top w:val="nil"/>
          <w:left w:val="nil"/>
          <w:bottom w:val="nil"/>
          <w:right w:val="nil"/>
          <w:between w:val="nil"/>
        </w:pBdr>
        <w:spacing w:after="120"/>
        <w:ind w:firstLine="284"/>
        <w:rPr>
          <w:lang w:val="pt-BR"/>
        </w:rPr>
      </w:pPr>
      <w:r w:rsidRPr="005D2B08">
        <w:rPr>
          <w:lang w:val="pt-BR"/>
        </w:rPr>
        <w:t xml:space="preserve">O rejeito despejado no Rio Doce e seus afluentes foi dragado para Áreas de Deposição de Material Excedente (ADME) e encontra-se aguardando uma destinação mais adequada. Uma vez que este material possui semelhança com o solo natural, com o qual foi misturado durante o deslocamento dos rejeitos, passou a ser denominado sedimento de rejeito de minério de ferro (SRMF), que não possui as mesmas características dos rejeitos retirados diretamente das barragens, mas ainda possui uma quantidade considerável de ferro (LAGE </w:t>
      </w:r>
      <w:r w:rsidRPr="005D2B08">
        <w:rPr>
          <w:i/>
          <w:lang w:val="pt-BR"/>
        </w:rPr>
        <w:t>et al.</w:t>
      </w:r>
      <w:r w:rsidRPr="005D2B08">
        <w:rPr>
          <w:lang w:val="pt-BR"/>
        </w:rPr>
        <w:t xml:space="preserve">, 2022a). </w:t>
      </w:r>
    </w:p>
    <w:p w14:paraId="451C4CE3" w14:textId="50AADC7A" w:rsidR="00702466" w:rsidRPr="005D2B08" w:rsidRDefault="0077271C">
      <w:pPr>
        <w:spacing w:after="120"/>
        <w:ind w:firstLine="284"/>
        <w:rPr>
          <w:lang w:val="pt-BR"/>
        </w:rPr>
      </w:pPr>
      <w:r w:rsidRPr="005D2B08">
        <w:rPr>
          <w:lang w:val="pt-BR"/>
        </w:rPr>
        <w:t xml:space="preserve">Ademais, a escolha do adobe está atrelada ao fato de que, nos municípios atingidos pelos rejeitos de minério de ferro (RMF), constatou-se que a terra </w:t>
      </w:r>
      <w:r w:rsidR="003B2D15">
        <w:rPr>
          <w:lang w:val="pt-BR"/>
        </w:rPr>
        <w:t>é</w:t>
      </w:r>
      <w:r w:rsidR="003B2D15" w:rsidRPr="005D2B08">
        <w:rPr>
          <w:lang w:val="pt-BR"/>
        </w:rPr>
        <w:t xml:space="preserve"> </w:t>
      </w:r>
      <w:r w:rsidRPr="005D2B08">
        <w:rPr>
          <w:lang w:val="pt-BR"/>
        </w:rPr>
        <w:t xml:space="preserve">utilizada tradicionalmente nas construções de habitações, onde cerca de 53% dos bens atingidos pelo rompimento da barragem de Fundão eram construídos com terra, nas técnicas da taipa de pilão, adobe e pau-a-pique (LAGE </w:t>
      </w:r>
      <w:r w:rsidRPr="005D2B08">
        <w:rPr>
          <w:i/>
          <w:lang w:val="pt-BR"/>
        </w:rPr>
        <w:t>et al.</w:t>
      </w:r>
      <w:r w:rsidRPr="005D2B08">
        <w:rPr>
          <w:lang w:val="pt-BR"/>
        </w:rPr>
        <w:t>, 2022c).</w:t>
      </w:r>
    </w:p>
    <w:p w14:paraId="69BE6B2B" w14:textId="77777777" w:rsidR="00702466" w:rsidRDefault="0077271C">
      <w:pPr>
        <w:spacing w:after="120"/>
        <w:ind w:firstLine="284"/>
        <w:rPr>
          <w:lang w:val="pt-BR"/>
        </w:rPr>
      </w:pPr>
      <w:r w:rsidRPr="005D2B08">
        <w:rPr>
          <w:lang w:val="pt-BR"/>
        </w:rPr>
        <w:t>Portanto, considerando a disponibilidade de SRMF e as propriedades da cal, este estudo teve como objetivo produzir adobes com a incorporação de SRMF e cal hidratada, e analisá-los quanto a absorção por capilaridade. Esses componentes podem ser a solução para suprir duas lacunas: uma demanda por técnicas construtivas de menor impacto ambiental e a produção de componentes construtivos que estejam de acordo com a tradição construtiva da região de Mariana/MG.</w:t>
      </w:r>
    </w:p>
    <w:p w14:paraId="1625A6DE" w14:textId="77777777" w:rsidR="008859CC" w:rsidRDefault="008859CC">
      <w:pPr>
        <w:spacing w:after="120"/>
        <w:ind w:firstLine="284"/>
        <w:rPr>
          <w:lang w:val="pt-BR"/>
        </w:rPr>
      </w:pPr>
    </w:p>
    <w:p w14:paraId="56A3ABF1" w14:textId="77777777" w:rsidR="008859CC" w:rsidRPr="005D2B08" w:rsidRDefault="008859CC">
      <w:pPr>
        <w:spacing w:after="120"/>
        <w:ind w:firstLine="284"/>
        <w:rPr>
          <w:lang w:val="pt-BR"/>
        </w:rPr>
      </w:pPr>
    </w:p>
    <w:p w14:paraId="49222E22" w14:textId="77777777" w:rsidR="00702466" w:rsidRPr="005D2B08" w:rsidRDefault="00702466">
      <w:pPr>
        <w:spacing w:after="120"/>
        <w:rPr>
          <w:color w:val="A6A6A6"/>
          <w:lang w:val="pt-BR"/>
        </w:rPr>
      </w:pPr>
    </w:p>
    <w:p w14:paraId="1285462B" w14:textId="5E81F00B" w:rsidR="00702466" w:rsidRPr="00E2060C" w:rsidRDefault="0077271C" w:rsidP="00E2060C">
      <w:pPr>
        <w:numPr>
          <w:ilvl w:val="0"/>
          <w:numId w:val="1"/>
        </w:numPr>
        <w:pBdr>
          <w:top w:val="nil"/>
          <w:left w:val="nil"/>
          <w:bottom w:val="nil"/>
          <w:right w:val="nil"/>
          <w:between w:val="nil"/>
        </w:pBdr>
        <w:spacing w:after="120"/>
        <w:rPr>
          <w:b/>
          <w:color w:val="000000"/>
        </w:rPr>
      </w:pPr>
      <w:proofErr w:type="spellStart"/>
      <w:r>
        <w:rPr>
          <w:b/>
        </w:rPr>
        <w:lastRenderedPageBreak/>
        <w:t>Materiais</w:t>
      </w:r>
      <w:proofErr w:type="spellEnd"/>
      <w:r>
        <w:rPr>
          <w:b/>
        </w:rPr>
        <w:t xml:space="preserve"> e </w:t>
      </w:r>
      <w:proofErr w:type="spellStart"/>
      <w:r>
        <w:rPr>
          <w:b/>
        </w:rPr>
        <w:t>Métodos</w:t>
      </w:r>
      <w:proofErr w:type="spellEnd"/>
    </w:p>
    <w:p w14:paraId="1DE199D8" w14:textId="77777777" w:rsidR="00702466" w:rsidRPr="005D2B08" w:rsidRDefault="0077271C">
      <w:pPr>
        <w:spacing w:after="120"/>
        <w:ind w:firstLine="360"/>
        <w:rPr>
          <w:lang w:val="pt-BR"/>
        </w:rPr>
      </w:pPr>
      <w:r w:rsidRPr="005D2B08">
        <w:rPr>
          <w:lang w:val="pt-BR"/>
        </w:rPr>
        <w:t xml:space="preserve">Para elaboração do ensaio de capilaridade, este estudo foi dividido em quatro etapas: i) coleta dos materiais e caracterização; </w:t>
      </w:r>
      <w:proofErr w:type="spellStart"/>
      <w:r w:rsidRPr="005D2B08">
        <w:rPr>
          <w:lang w:val="pt-BR"/>
        </w:rPr>
        <w:t>ii</w:t>
      </w:r>
      <w:proofErr w:type="spellEnd"/>
      <w:r w:rsidRPr="005D2B08">
        <w:rPr>
          <w:lang w:val="pt-BR"/>
        </w:rPr>
        <w:t xml:space="preserve">) definição das misturas e produção dos adobes; </w:t>
      </w:r>
      <w:proofErr w:type="spellStart"/>
      <w:r w:rsidRPr="005D2B08">
        <w:rPr>
          <w:lang w:val="pt-BR"/>
        </w:rPr>
        <w:t>iii</w:t>
      </w:r>
      <w:proofErr w:type="spellEnd"/>
      <w:r w:rsidRPr="005D2B08">
        <w:rPr>
          <w:lang w:val="pt-BR"/>
        </w:rPr>
        <w:t xml:space="preserve">) análise dimensional dos adobes; e </w:t>
      </w:r>
      <w:proofErr w:type="spellStart"/>
      <w:r w:rsidRPr="005D2B08">
        <w:rPr>
          <w:lang w:val="pt-BR"/>
        </w:rPr>
        <w:t>iv</w:t>
      </w:r>
      <w:proofErr w:type="spellEnd"/>
      <w:r w:rsidRPr="005D2B08">
        <w:rPr>
          <w:lang w:val="pt-BR"/>
        </w:rPr>
        <w:t>) análise da absorção por capilaridade.</w:t>
      </w:r>
    </w:p>
    <w:p w14:paraId="72D7AC1D" w14:textId="77777777" w:rsidR="00702466" w:rsidRPr="005D2B08" w:rsidRDefault="0077271C">
      <w:pPr>
        <w:pStyle w:val="Subttulo"/>
        <w:ind w:left="0" w:firstLine="0"/>
        <w:rPr>
          <w:rFonts w:ascii="Times New Roman" w:eastAsia="Times New Roman" w:hAnsi="Times New Roman" w:cs="Times New Roman"/>
          <w:b w:val="0"/>
          <w:lang w:val="pt-BR"/>
        </w:rPr>
      </w:pPr>
      <w:r w:rsidRPr="005D2B08">
        <w:rPr>
          <w:rFonts w:ascii="Times New Roman" w:eastAsia="Times New Roman" w:hAnsi="Times New Roman" w:cs="Times New Roman"/>
          <w:lang w:val="pt-BR"/>
        </w:rPr>
        <w:t>2.1. Caracterização dos materiais</w:t>
      </w:r>
    </w:p>
    <w:p w14:paraId="56F2BAA9" w14:textId="77777777" w:rsidR="00702466" w:rsidRPr="005D2B08" w:rsidRDefault="0077271C">
      <w:pPr>
        <w:spacing w:after="120"/>
        <w:ind w:firstLine="284"/>
        <w:rPr>
          <w:lang w:val="pt-BR"/>
        </w:rPr>
      </w:pPr>
      <w:r w:rsidRPr="005D2B08">
        <w:rPr>
          <w:lang w:val="pt-BR"/>
        </w:rPr>
        <w:t xml:space="preserve">A amostra de SRMF foi coletada na ADME da cidade de Barra Longa/MG (BL), na qual estava coberta por uma camada de solo para revegetação. Por isso, a amostra de SRMF foi coletada entre 60 e 80 cm de profundidade. O solo para produção dos adobes foi coletado na cidade de Pedro Leopoldo, que faz parte da Região Metropolitana de Belo Horizonte/MG. </w:t>
      </w:r>
    </w:p>
    <w:p w14:paraId="38EFD56A" w14:textId="77777777" w:rsidR="00702466" w:rsidRPr="005D2B08" w:rsidRDefault="0077271C">
      <w:pPr>
        <w:spacing w:after="120"/>
        <w:ind w:firstLine="284"/>
        <w:rPr>
          <w:lang w:val="pt-BR"/>
        </w:rPr>
      </w:pPr>
      <w:r w:rsidRPr="005D2B08">
        <w:rPr>
          <w:lang w:val="pt-BR"/>
        </w:rPr>
        <w:t>As amostras de SRMF e de solo foram caracterizadas por meio de ensaios físicos, a saber: granulometria, de acordo com a NBR 7181 (ABNT, 2016); massa específica, segundo a NBR 16605 (ABNT, 2017); massa unitária e volume de vazios, conforme descrito na NBR 16972 (ABNT, 2021), e absorção de água de acordo com a NBR NM 30 (ABNT, 2000) (Tabela 1).</w:t>
      </w:r>
    </w:p>
    <w:p w14:paraId="63DB0C30" w14:textId="77777777" w:rsidR="00702466" w:rsidRPr="005D2B08" w:rsidRDefault="0077271C">
      <w:pPr>
        <w:spacing w:after="120"/>
        <w:ind w:firstLine="284"/>
        <w:rPr>
          <w:lang w:val="pt-BR"/>
        </w:rPr>
      </w:pPr>
      <w:r w:rsidRPr="005D2B08">
        <w:rPr>
          <w:lang w:val="pt-BR"/>
        </w:rPr>
        <w:t xml:space="preserve">Pela análise granulométrica, observou-se que o solo apresenta muitas partículas finas e elevado teor de argila, o que indica que a estabilização com cal pode ser adequada (MANZOOR </w:t>
      </w:r>
      <w:r w:rsidRPr="005D2B08">
        <w:rPr>
          <w:i/>
          <w:lang w:val="pt-BR"/>
        </w:rPr>
        <w:t>et al.</w:t>
      </w:r>
      <w:r w:rsidRPr="005D2B08">
        <w:rPr>
          <w:lang w:val="pt-BR"/>
        </w:rPr>
        <w:t>, 2020). O SRMF apresentou massa específica próxima à da areia, que é de 2650 kg/cm</w:t>
      </w:r>
      <w:r w:rsidRPr="005D2B08">
        <w:rPr>
          <w:vertAlign w:val="superscript"/>
          <w:lang w:val="pt-BR"/>
        </w:rPr>
        <w:t>3</w:t>
      </w:r>
      <w:r w:rsidRPr="005D2B08">
        <w:rPr>
          <w:lang w:val="pt-BR"/>
        </w:rPr>
        <w:t xml:space="preserve">, o que corrobora com a possibilidade utilização em misturas, com diferentes teores, para se obter um solo mais adequado, com maior teor de areia, para produção de adobes. O caráter arenoso do SRMF pode estar associado à composição dos rejeitos que estavam depositados na Barragem de Fundão, que era um misto de rejeitos arenosos e lama (FIGUEIREDO </w:t>
      </w:r>
      <w:r w:rsidRPr="005D2B08">
        <w:rPr>
          <w:i/>
          <w:lang w:val="pt-BR"/>
        </w:rPr>
        <w:t>et al.</w:t>
      </w:r>
      <w:r w:rsidRPr="005D2B08">
        <w:rPr>
          <w:lang w:val="pt-BR"/>
        </w:rPr>
        <w:t xml:space="preserve">, 2020). </w:t>
      </w:r>
    </w:p>
    <w:p w14:paraId="656F6E9E" w14:textId="14980CD7" w:rsidR="00702466" w:rsidRPr="007C7D7C" w:rsidRDefault="0077271C">
      <w:pPr>
        <w:spacing w:before="240" w:after="240"/>
        <w:jc w:val="center"/>
        <w:rPr>
          <w:lang w:val="pt-BR"/>
        </w:rPr>
      </w:pPr>
      <w:r w:rsidRPr="00D644E2">
        <w:rPr>
          <w:color w:val="000000"/>
          <w:sz w:val="20"/>
          <w:lang w:val="pt-BR"/>
        </w:rPr>
        <w:t>Tabela 1: Caracterização física</w:t>
      </w:r>
      <w:r w:rsidRPr="00D644E2">
        <w:rPr>
          <w:rFonts w:eastAsia="Arial"/>
          <w:sz w:val="20"/>
          <w:szCs w:val="20"/>
          <w:lang w:val="pt-BR"/>
        </w:rPr>
        <w:t xml:space="preserve"> das amostras de solo e de SRMF</w:t>
      </w:r>
    </w:p>
    <w:sdt>
      <w:sdtPr>
        <w:tag w:val="goog_rdk_28"/>
        <w:id w:val="-2049751112"/>
        <w:lock w:val="contentLocked"/>
      </w:sdtPr>
      <w:sdtContent>
        <w:tbl>
          <w:tblPr>
            <w:tblStyle w:val="a"/>
            <w:tblW w:w="907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149"/>
            <w:gridCol w:w="873"/>
            <w:gridCol w:w="872"/>
            <w:gridCol w:w="1686"/>
            <w:gridCol w:w="1584"/>
            <w:gridCol w:w="1453"/>
            <w:gridCol w:w="1453"/>
          </w:tblGrid>
          <w:tr w:rsidR="00702466" w14:paraId="5213A49A" w14:textId="77777777">
            <w:trPr>
              <w:trHeight w:val="540"/>
            </w:trPr>
            <w:sdt>
              <w:sdtPr>
                <w:tag w:val="goog_rdk_0"/>
                <w:id w:val="-348722803"/>
                <w:lock w:val="contentLocked"/>
              </w:sdtPr>
              <w:sdtContent>
                <w:tc>
                  <w:tcPr>
                    <w:tcW w:w="1148" w:type="dxa"/>
                    <w:vMerge w:val="restart"/>
                    <w:tcBorders>
                      <w:top w:val="single" w:sz="12" w:space="0" w:color="000000"/>
                      <w:left w:val="nil"/>
                      <w:bottom w:val="single" w:sz="12" w:space="0" w:color="000000"/>
                      <w:right w:val="nil"/>
                    </w:tcBorders>
                    <w:tcMar>
                      <w:top w:w="40" w:type="dxa"/>
                      <w:left w:w="40" w:type="dxa"/>
                      <w:bottom w:w="40" w:type="dxa"/>
                      <w:right w:w="40" w:type="dxa"/>
                    </w:tcMar>
                    <w:vAlign w:val="center"/>
                  </w:tcPr>
                  <w:p w14:paraId="7EF393CA" w14:textId="77777777" w:rsidR="00702466" w:rsidRDefault="0077271C">
                    <w:pPr>
                      <w:widowControl w:val="0"/>
                      <w:spacing w:line="276" w:lineRule="auto"/>
                      <w:jc w:val="center"/>
                      <w:rPr>
                        <w:b/>
                        <w:sz w:val="20"/>
                        <w:szCs w:val="20"/>
                      </w:rPr>
                    </w:pPr>
                    <w:r>
                      <w:rPr>
                        <w:b/>
                        <w:sz w:val="20"/>
                        <w:szCs w:val="20"/>
                      </w:rPr>
                      <w:t>Amostra</w:t>
                    </w:r>
                  </w:p>
                </w:tc>
              </w:sdtContent>
            </w:sdt>
            <w:sdt>
              <w:sdtPr>
                <w:tag w:val="goog_rdk_1"/>
                <w:id w:val="539254592"/>
                <w:lock w:val="contentLocked"/>
              </w:sdtPr>
              <w:sdtContent>
                <w:tc>
                  <w:tcPr>
                    <w:tcW w:w="1744" w:type="dxa"/>
                    <w:gridSpan w:val="2"/>
                    <w:tcBorders>
                      <w:top w:val="single" w:sz="12" w:space="0" w:color="000000"/>
                      <w:left w:val="nil"/>
                      <w:bottom w:val="single" w:sz="8" w:space="0" w:color="000000"/>
                      <w:right w:val="nil"/>
                    </w:tcBorders>
                    <w:tcMar>
                      <w:top w:w="40" w:type="dxa"/>
                      <w:left w:w="40" w:type="dxa"/>
                      <w:bottom w:w="40" w:type="dxa"/>
                      <w:right w:w="40" w:type="dxa"/>
                    </w:tcMar>
                    <w:vAlign w:val="center"/>
                  </w:tcPr>
                  <w:p w14:paraId="617997E7" w14:textId="77777777" w:rsidR="00702466" w:rsidRDefault="0077271C">
                    <w:pPr>
                      <w:widowControl w:val="0"/>
                      <w:spacing w:line="276" w:lineRule="auto"/>
                      <w:jc w:val="center"/>
                      <w:rPr>
                        <w:sz w:val="20"/>
                        <w:szCs w:val="20"/>
                      </w:rPr>
                    </w:pPr>
                    <w:r>
                      <w:rPr>
                        <w:b/>
                        <w:sz w:val="20"/>
                        <w:szCs w:val="20"/>
                      </w:rPr>
                      <w:t>Granulometria (%)</w:t>
                    </w:r>
                  </w:p>
                </w:tc>
              </w:sdtContent>
            </w:sdt>
            <w:sdt>
              <w:sdtPr>
                <w:tag w:val="goog_rdk_3"/>
                <w:id w:val="1960989860"/>
                <w:lock w:val="contentLocked"/>
              </w:sdtPr>
              <w:sdtContent>
                <w:tc>
                  <w:tcPr>
                    <w:tcW w:w="1686" w:type="dxa"/>
                    <w:vMerge w:val="restart"/>
                    <w:tcBorders>
                      <w:top w:val="single" w:sz="12" w:space="0" w:color="000000"/>
                      <w:left w:val="nil"/>
                      <w:bottom w:val="single" w:sz="12" w:space="0" w:color="000000"/>
                      <w:right w:val="nil"/>
                    </w:tcBorders>
                    <w:shd w:val="clear" w:color="auto" w:fill="auto"/>
                    <w:tcMar>
                      <w:top w:w="40" w:type="dxa"/>
                      <w:left w:w="40" w:type="dxa"/>
                      <w:bottom w:w="40" w:type="dxa"/>
                      <w:right w:w="40" w:type="dxa"/>
                    </w:tcMar>
                    <w:vAlign w:val="center"/>
                  </w:tcPr>
                  <w:p w14:paraId="10C56BF0" w14:textId="77777777" w:rsidR="00702466" w:rsidRDefault="0077271C">
                    <w:pPr>
                      <w:widowControl w:val="0"/>
                      <w:spacing w:line="276" w:lineRule="auto"/>
                      <w:jc w:val="center"/>
                      <w:rPr>
                        <w:b/>
                        <w:sz w:val="20"/>
                        <w:szCs w:val="20"/>
                      </w:rPr>
                    </w:pPr>
                    <w:r>
                      <w:rPr>
                        <w:b/>
                        <w:sz w:val="20"/>
                        <w:szCs w:val="20"/>
                      </w:rPr>
                      <w:t>Massa específica (kg/m³)</w:t>
                    </w:r>
                  </w:p>
                </w:tc>
              </w:sdtContent>
            </w:sdt>
            <w:sdt>
              <w:sdtPr>
                <w:tag w:val="goog_rdk_4"/>
                <w:id w:val="1746068023"/>
                <w:lock w:val="contentLocked"/>
              </w:sdtPr>
              <w:sdtContent>
                <w:tc>
                  <w:tcPr>
                    <w:tcW w:w="1584" w:type="dxa"/>
                    <w:vMerge w:val="restart"/>
                    <w:tcBorders>
                      <w:top w:val="single" w:sz="12" w:space="0" w:color="000000"/>
                      <w:left w:val="nil"/>
                      <w:bottom w:val="single" w:sz="12" w:space="0" w:color="000000"/>
                      <w:right w:val="nil"/>
                    </w:tcBorders>
                    <w:shd w:val="clear" w:color="auto" w:fill="auto"/>
                    <w:tcMar>
                      <w:top w:w="40" w:type="dxa"/>
                      <w:left w:w="40" w:type="dxa"/>
                      <w:bottom w:w="40" w:type="dxa"/>
                      <w:right w:w="40" w:type="dxa"/>
                    </w:tcMar>
                    <w:vAlign w:val="center"/>
                  </w:tcPr>
                  <w:p w14:paraId="00CA82B3" w14:textId="77777777" w:rsidR="00702466" w:rsidRDefault="0077271C">
                    <w:pPr>
                      <w:widowControl w:val="0"/>
                      <w:spacing w:line="276" w:lineRule="auto"/>
                      <w:jc w:val="center"/>
                      <w:rPr>
                        <w:b/>
                        <w:sz w:val="20"/>
                        <w:szCs w:val="20"/>
                      </w:rPr>
                    </w:pPr>
                    <w:r>
                      <w:rPr>
                        <w:b/>
                        <w:sz w:val="20"/>
                        <w:szCs w:val="20"/>
                      </w:rPr>
                      <w:t>Massa unitária (kg/m³)</w:t>
                    </w:r>
                  </w:p>
                </w:tc>
              </w:sdtContent>
            </w:sdt>
            <w:sdt>
              <w:sdtPr>
                <w:tag w:val="goog_rdk_5"/>
                <w:id w:val="-1318567837"/>
                <w:lock w:val="contentLocked"/>
              </w:sdtPr>
              <w:sdtContent>
                <w:tc>
                  <w:tcPr>
                    <w:tcW w:w="1453" w:type="dxa"/>
                    <w:vMerge w:val="restart"/>
                    <w:tcBorders>
                      <w:top w:val="single" w:sz="12" w:space="0" w:color="000000"/>
                      <w:left w:val="nil"/>
                      <w:bottom w:val="single" w:sz="12" w:space="0" w:color="000000"/>
                      <w:right w:val="nil"/>
                    </w:tcBorders>
                    <w:shd w:val="clear" w:color="auto" w:fill="auto"/>
                    <w:tcMar>
                      <w:top w:w="40" w:type="dxa"/>
                      <w:left w:w="40" w:type="dxa"/>
                      <w:bottom w:w="40" w:type="dxa"/>
                      <w:right w:w="40" w:type="dxa"/>
                    </w:tcMar>
                    <w:vAlign w:val="center"/>
                  </w:tcPr>
                  <w:p w14:paraId="7404BC74" w14:textId="77777777" w:rsidR="00702466" w:rsidRDefault="0077271C">
                    <w:pPr>
                      <w:widowControl w:val="0"/>
                      <w:spacing w:line="276" w:lineRule="auto"/>
                      <w:jc w:val="center"/>
                      <w:rPr>
                        <w:b/>
                        <w:sz w:val="20"/>
                        <w:szCs w:val="20"/>
                      </w:rPr>
                    </w:pPr>
                    <w:r>
                      <w:rPr>
                        <w:b/>
                        <w:sz w:val="20"/>
                        <w:szCs w:val="20"/>
                      </w:rPr>
                      <w:t>Índice de vazios (%)</w:t>
                    </w:r>
                  </w:p>
                </w:tc>
              </w:sdtContent>
            </w:sdt>
            <w:sdt>
              <w:sdtPr>
                <w:tag w:val="goog_rdk_6"/>
                <w:id w:val="1613327885"/>
                <w:lock w:val="contentLocked"/>
              </w:sdtPr>
              <w:sdtContent>
                <w:tc>
                  <w:tcPr>
                    <w:tcW w:w="1453" w:type="dxa"/>
                    <w:vMerge w:val="restart"/>
                    <w:tcBorders>
                      <w:top w:val="single" w:sz="12" w:space="0" w:color="000000"/>
                      <w:left w:val="nil"/>
                      <w:bottom w:val="single" w:sz="12" w:space="0" w:color="000000"/>
                      <w:right w:val="nil"/>
                    </w:tcBorders>
                    <w:shd w:val="clear" w:color="auto" w:fill="auto"/>
                    <w:tcMar>
                      <w:top w:w="40" w:type="dxa"/>
                      <w:left w:w="40" w:type="dxa"/>
                      <w:bottom w:w="40" w:type="dxa"/>
                      <w:right w:w="40" w:type="dxa"/>
                    </w:tcMar>
                    <w:vAlign w:val="center"/>
                  </w:tcPr>
                  <w:p w14:paraId="74BEAD84" w14:textId="77777777" w:rsidR="00702466" w:rsidRDefault="0077271C">
                    <w:pPr>
                      <w:widowControl w:val="0"/>
                      <w:spacing w:line="276" w:lineRule="auto"/>
                      <w:jc w:val="center"/>
                      <w:rPr>
                        <w:b/>
                        <w:sz w:val="20"/>
                        <w:szCs w:val="20"/>
                      </w:rPr>
                    </w:pPr>
                    <w:r>
                      <w:rPr>
                        <w:b/>
                        <w:sz w:val="20"/>
                        <w:szCs w:val="20"/>
                      </w:rPr>
                      <w:t>Absorção de água (%)</w:t>
                    </w:r>
                  </w:p>
                </w:tc>
              </w:sdtContent>
            </w:sdt>
          </w:tr>
          <w:tr w:rsidR="00702466" w14:paraId="0F1DFF59" w14:textId="77777777">
            <w:trPr>
              <w:trHeight w:val="315"/>
            </w:trPr>
            <w:sdt>
              <w:sdtPr>
                <w:tag w:val="goog_rdk_7"/>
                <w:id w:val="941115048"/>
                <w:lock w:val="contentLocked"/>
              </w:sdtPr>
              <w:sdtContent>
                <w:tc>
                  <w:tcPr>
                    <w:tcW w:w="1148" w:type="dxa"/>
                    <w:vMerge/>
                    <w:tcBorders>
                      <w:bottom w:val="single" w:sz="12" w:space="0" w:color="000000"/>
                      <w:right w:val="nil"/>
                    </w:tcBorders>
                    <w:shd w:val="clear" w:color="auto" w:fill="auto"/>
                    <w:tcMar>
                      <w:top w:w="100" w:type="dxa"/>
                      <w:left w:w="100" w:type="dxa"/>
                      <w:bottom w:w="100" w:type="dxa"/>
                      <w:right w:w="100" w:type="dxa"/>
                    </w:tcMar>
                  </w:tcPr>
                  <w:p w14:paraId="569E8754" w14:textId="77777777" w:rsidR="00702466" w:rsidRDefault="00702466">
                    <w:pPr>
                      <w:widowControl w:val="0"/>
                      <w:spacing w:line="276" w:lineRule="auto"/>
                      <w:jc w:val="left"/>
                      <w:rPr>
                        <w:rFonts w:ascii="Arial" w:eastAsia="Arial" w:hAnsi="Arial" w:cs="Arial"/>
                        <w:sz w:val="20"/>
                        <w:szCs w:val="20"/>
                      </w:rPr>
                    </w:pPr>
                  </w:p>
                </w:tc>
              </w:sdtContent>
            </w:sdt>
            <w:sdt>
              <w:sdtPr>
                <w:tag w:val="goog_rdk_8"/>
                <w:id w:val="-91548118"/>
                <w:lock w:val="contentLocked"/>
              </w:sdtPr>
              <w:sdtContent>
                <w:tc>
                  <w:tcPr>
                    <w:tcW w:w="872" w:type="dxa"/>
                    <w:tcBorders>
                      <w:top w:val="single" w:sz="8" w:space="0" w:color="000000"/>
                      <w:left w:val="nil"/>
                      <w:bottom w:val="single" w:sz="12" w:space="0" w:color="000000"/>
                      <w:right w:val="nil"/>
                    </w:tcBorders>
                    <w:shd w:val="clear" w:color="auto" w:fill="auto"/>
                    <w:tcMar>
                      <w:top w:w="40" w:type="dxa"/>
                      <w:left w:w="40" w:type="dxa"/>
                      <w:bottom w:w="40" w:type="dxa"/>
                      <w:right w:w="40" w:type="dxa"/>
                    </w:tcMar>
                    <w:vAlign w:val="bottom"/>
                  </w:tcPr>
                  <w:p w14:paraId="1ABA8420" w14:textId="77777777" w:rsidR="00702466" w:rsidRDefault="0077271C">
                    <w:pPr>
                      <w:widowControl w:val="0"/>
                      <w:spacing w:line="276" w:lineRule="auto"/>
                      <w:jc w:val="center"/>
                      <w:rPr>
                        <w:sz w:val="20"/>
                        <w:szCs w:val="20"/>
                      </w:rPr>
                    </w:pPr>
                    <w:r>
                      <w:rPr>
                        <w:b/>
                        <w:sz w:val="20"/>
                        <w:szCs w:val="20"/>
                      </w:rPr>
                      <w:t>Argila</w:t>
                    </w:r>
                  </w:p>
                </w:tc>
              </w:sdtContent>
            </w:sdt>
            <w:sdt>
              <w:sdtPr>
                <w:tag w:val="goog_rdk_9"/>
                <w:id w:val="-1765999989"/>
                <w:lock w:val="contentLocked"/>
              </w:sdtPr>
              <w:sdtContent>
                <w:tc>
                  <w:tcPr>
                    <w:tcW w:w="872" w:type="dxa"/>
                    <w:tcBorders>
                      <w:top w:val="single" w:sz="8" w:space="0" w:color="000000"/>
                      <w:left w:val="nil"/>
                      <w:bottom w:val="single" w:sz="12" w:space="0" w:color="000000"/>
                      <w:right w:val="nil"/>
                    </w:tcBorders>
                    <w:shd w:val="clear" w:color="auto" w:fill="auto"/>
                    <w:tcMar>
                      <w:top w:w="40" w:type="dxa"/>
                      <w:left w:w="40" w:type="dxa"/>
                      <w:bottom w:w="40" w:type="dxa"/>
                      <w:right w:w="40" w:type="dxa"/>
                    </w:tcMar>
                    <w:vAlign w:val="bottom"/>
                  </w:tcPr>
                  <w:p w14:paraId="006B749A" w14:textId="77777777" w:rsidR="00702466" w:rsidRDefault="0077271C">
                    <w:pPr>
                      <w:widowControl w:val="0"/>
                      <w:spacing w:line="276" w:lineRule="auto"/>
                      <w:jc w:val="center"/>
                      <w:rPr>
                        <w:sz w:val="20"/>
                        <w:szCs w:val="20"/>
                      </w:rPr>
                    </w:pPr>
                    <w:r>
                      <w:rPr>
                        <w:b/>
                        <w:sz w:val="20"/>
                        <w:szCs w:val="20"/>
                      </w:rPr>
                      <w:t>Areia</w:t>
                    </w:r>
                  </w:p>
                </w:tc>
              </w:sdtContent>
            </w:sdt>
            <w:sdt>
              <w:sdtPr>
                <w:tag w:val="goog_rdk_10"/>
                <w:id w:val="174086859"/>
                <w:lock w:val="contentLocked"/>
              </w:sdtPr>
              <w:sdtContent>
                <w:tc>
                  <w:tcPr>
                    <w:tcW w:w="1686" w:type="dxa"/>
                    <w:vMerge/>
                    <w:tcBorders>
                      <w:bottom w:val="single" w:sz="12" w:space="0" w:color="000000"/>
                      <w:right w:val="nil"/>
                    </w:tcBorders>
                    <w:shd w:val="clear" w:color="auto" w:fill="auto"/>
                    <w:tcMar>
                      <w:top w:w="100" w:type="dxa"/>
                      <w:left w:w="100" w:type="dxa"/>
                      <w:bottom w:w="100" w:type="dxa"/>
                      <w:right w:w="100" w:type="dxa"/>
                    </w:tcMar>
                  </w:tcPr>
                  <w:p w14:paraId="3564FB88" w14:textId="77777777" w:rsidR="00702466" w:rsidRDefault="00702466">
                    <w:pPr>
                      <w:widowControl w:val="0"/>
                      <w:spacing w:line="276" w:lineRule="auto"/>
                      <w:jc w:val="left"/>
                      <w:rPr>
                        <w:rFonts w:ascii="Arial" w:eastAsia="Arial" w:hAnsi="Arial" w:cs="Arial"/>
                        <w:sz w:val="20"/>
                        <w:szCs w:val="20"/>
                      </w:rPr>
                    </w:pPr>
                  </w:p>
                </w:tc>
              </w:sdtContent>
            </w:sdt>
            <w:sdt>
              <w:sdtPr>
                <w:tag w:val="goog_rdk_11"/>
                <w:id w:val="1957442667"/>
                <w:lock w:val="contentLocked"/>
              </w:sdtPr>
              <w:sdtContent>
                <w:tc>
                  <w:tcPr>
                    <w:tcW w:w="1584" w:type="dxa"/>
                    <w:vMerge/>
                    <w:tcBorders>
                      <w:bottom w:val="single" w:sz="12" w:space="0" w:color="000000"/>
                      <w:right w:val="nil"/>
                    </w:tcBorders>
                    <w:shd w:val="clear" w:color="auto" w:fill="auto"/>
                    <w:tcMar>
                      <w:top w:w="100" w:type="dxa"/>
                      <w:left w:w="100" w:type="dxa"/>
                      <w:bottom w:w="100" w:type="dxa"/>
                      <w:right w:w="100" w:type="dxa"/>
                    </w:tcMar>
                  </w:tcPr>
                  <w:p w14:paraId="7E126419" w14:textId="77777777" w:rsidR="00702466" w:rsidRDefault="00702466">
                    <w:pPr>
                      <w:widowControl w:val="0"/>
                      <w:spacing w:line="276" w:lineRule="auto"/>
                      <w:jc w:val="left"/>
                      <w:rPr>
                        <w:rFonts w:ascii="Arial" w:eastAsia="Arial" w:hAnsi="Arial" w:cs="Arial"/>
                        <w:sz w:val="20"/>
                        <w:szCs w:val="20"/>
                      </w:rPr>
                    </w:pPr>
                  </w:p>
                </w:tc>
              </w:sdtContent>
            </w:sdt>
            <w:sdt>
              <w:sdtPr>
                <w:tag w:val="goog_rdk_12"/>
                <w:id w:val="1259104646"/>
                <w:lock w:val="contentLocked"/>
              </w:sdtPr>
              <w:sdtContent>
                <w:tc>
                  <w:tcPr>
                    <w:tcW w:w="1453" w:type="dxa"/>
                    <w:vMerge/>
                    <w:tcBorders>
                      <w:bottom w:val="single" w:sz="12" w:space="0" w:color="000000"/>
                      <w:right w:val="nil"/>
                    </w:tcBorders>
                    <w:shd w:val="clear" w:color="auto" w:fill="auto"/>
                    <w:tcMar>
                      <w:top w:w="100" w:type="dxa"/>
                      <w:left w:w="100" w:type="dxa"/>
                      <w:bottom w:w="100" w:type="dxa"/>
                      <w:right w:w="100" w:type="dxa"/>
                    </w:tcMar>
                  </w:tcPr>
                  <w:p w14:paraId="22971AA1" w14:textId="77777777" w:rsidR="00702466" w:rsidRDefault="00702466">
                    <w:pPr>
                      <w:widowControl w:val="0"/>
                      <w:spacing w:line="276" w:lineRule="auto"/>
                      <w:jc w:val="left"/>
                      <w:rPr>
                        <w:rFonts w:ascii="Arial" w:eastAsia="Arial" w:hAnsi="Arial" w:cs="Arial"/>
                        <w:sz w:val="20"/>
                        <w:szCs w:val="20"/>
                      </w:rPr>
                    </w:pPr>
                  </w:p>
                </w:tc>
              </w:sdtContent>
            </w:sdt>
            <w:sdt>
              <w:sdtPr>
                <w:tag w:val="goog_rdk_13"/>
                <w:id w:val="-1655521947"/>
                <w:lock w:val="contentLocked"/>
              </w:sdtPr>
              <w:sdtContent>
                <w:tc>
                  <w:tcPr>
                    <w:tcW w:w="1453" w:type="dxa"/>
                    <w:vMerge/>
                    <w:tcBorders>
                      <w:bottom w:val="single" w:sz="12" w:space="0" w:color="000000"/>
                      <w:right w:val="nil"/>
                    </w:tcBorders>
                    <w:shd w:val="clear" w:color="auto" w:fill="auto"/>
                    <w:tcMar>
                      <w:top w:w="100" w:type="dxa"/>
                      <w:left w:w="100" w:type="dxa"/>
                      <w:bottom w:w="100" w:type="dxa"/>
                      <w:right w:w="100" w:type="dxa"/>
                    </w:tcMar>
                    <w:vAlign w:val="center"/>
                  </w:tcPr>
                  <w:p w14:paraId="19E55C98" w14:textId="77777777" w:rsidR="00702466" w:rsidRDefault="00702466">
                    <w:pPr>
                      <w:widowControl w:val="0"/>
                      <w:spacing w:line="276" w:lineRule="auto"/>
                      <w:jc w:val="left"/>
                      <w:rPr>
                        <w:rFonts w:ascii="Arial" w:eastAsia="Arial" w:hAnsi="Arial" w:cs="Arial"/>
                        <w:sz w:val="20"/>
                        <w:szCs w:val="20"/>
                      </w:rPr>
                    </w:pPr>
                  </w:p>
                </w:tc>
              </w:sdtContent>
            </w:sdt>
          </w:tr>
          <w:tr w:rsidR="00702466" w14:paraId="3BC45DDB" w14:textId="77777777">
            <w:trPr>
              <w:trHeight w:val="315"/>
            </w:trPr>
            <w:sdt>
              <w:sdtPr>
                <w:tag w:val="goog_rdk_14"/>
                <w:id w:val="969713540"/>
                <w:lock w:val="contentLocked"/>
              </w:sdtPr>
              <w:sdtContent>
                <w:tc>
                  <w:tcPr>
                    <w:tcW w:w="1148" w:type="dxa"/>
                    <w:tcBorders>
                      <w:top w:val="nil"/>
                      <w:left w:val="nil"/>
                      <w:bottom w:val="single" w:sz="6" w:space="0" w:color="000000"/>
                      <w:right w:val="nil"/>
                    </w:tcBorders>
                    <w:shd w:val="clear" w:color="auto" w:fill="auto"/>
                    <w:tcMar>
                      <w:top w:w="40" w:type="dxa"/>
                      <w:left w:w="40" w:type="dxa"/>
                      <w:bottom w:w="40" w:type="dxa"/>
                      <w:right w:w="40" w:type="dxa"/>
                    </w:tcMar>
                    <w:vAlign w:val="bottom"/>
                  </w:tcPr>
                  <w:p w14:paraId="0CD9C1CB" w14:textId="77777777" w:rsidR="00702466" w:rsidRDefault="0077271C">
                    <w:pPr>
                      <w:widowControl w:val="0"/>
                      <w:spacing w:line="276" w:lineRule="auto"/>
                      <w:jc w:val="center"/>
                      <w:rPr>
                        <w:sz w:val="20"/>
                        <w:szCs w:val="20"/>
                      </w:rPr>
                    </w:pPr>
                    <w:r>
                      <w:rPr>
                        <w:b/>
                        <w:sz w:val="20"/>
                        <w:szCs w:val="20"/>
                      </w:rPr>
                      <w:t>Solo</w:t>
                    </w:r>
                  </w:p>
                </w:tc>
              </w:sdtContent>
            </w:sdt>
            <w:sdt>
              <w:sdtPr>
                <w:tag w:val="goog_rdk_15"/>
                <w:id w:val="-507838809"/>
                <w:lock w:val="contentLocked"/>
              </w:sdtPr>
              <w:sdtContent>
                <w:tc>
                  <w:tcPr>
                    <w:tcW w:w="872" w:type="dxa"/>
                    <w:tcBorders>
                      <w:top w:val="nil"/>
                      <w:left w:val="nil"/>
                      <w:bottom w:val="single" w:sz="6" w:space="0" w:color="000000"/>
                      <w:right w:val="nil"/>
                    </w:tcBorders>
                    <w:shd w:val="clear" w:color="auto" w:fill="auto"/>
                    <w:tcMar>
                      <w:top w:w="40" w:type="dxa"/>
                      <w:left w:w="40" w:type="dxa"/>
                      <w:bottom w:w="40" w:type="dxa"/>
                      <w:right w:w="40" w:type="dxa"/>
                    </w:tcMar>
                    <w:vAlign w:val="bottom"/>
                  </w:tcPr>
                  <w:p w14:paraId="18EC2EAA" w14:textId="77777777" w:rsidR="00702466" w:rsidRDefault="0077271C">
                    <w:pPr>
                      <w:widowControl w:val="0"/>
                      <w:spacing w:line="276" w:lineRule="auto"/>
                      <w:jc w:val="center"/>
                      <w:rPr>
                        <w:sz w:val="20"/>
                        <w:szCs w:val="20"/>
                      </w:rPr>
                    </w:pPr>
                    <w:r>
                      <w:rPr>
                        <w:sz w:val="20"/>
                        <w:szCs w:val="20"/>
                      </w:rPr>
                      <w:t>54,00</w:t>
                    </w:r>
                  </w:p>
                </w:tc>
              </w:sdtContent>
            </w:sdt>
            <w:sdt>
              <w:sdtPr>
                <w:tag w:val="goog_rdk_16"/>
                <w:id w:val="-970431399"/>
                <w:lock w:val="contentLocked"/>
              </w:sdtPr>
              <w:sdtContent>
                <w:tc>
                  <w:tcPr>
                    <w:tcW w:w="872" w:type="dxa"/>
                    <w:tcBorders>
                      <w:top w:val="nil"/>
                      <w:left w:val="nil"/>
                      <w:bottom w:val="single" w:sz="6" w:space="0" w:color="000000"/>
                      <w:right w:val="nil"/>
                    </w:tcBorders>
                    <w:shd w:val="clear" w:color="auto" w:fill="auto"/>
                    <w:tcMar>
                      <w:top w:w="40" w:type="dxa"/>
                      <w:left w:w="40" w:type="dxa"/>
                      <w:bottom w:w="40" w:type="dxa"/>
                      <w:right w:w="40" w:type="dxa"/>
                    </w:tcMar>
                    <w:vAlign w:val="bottom"/>
                  </w:tcPr>
                  <w:p w14:paraId="37C6DFCA" w14:textId="77777777" w:rsidR="00702466" w:rsidRDefault="0077271C">
                    <w:pPr>
                      <w:widowControl w:val="0"/>
                      <w:spacing w:line="276" w:lineRule="auto"/>
                      <w:jc w:val="center"/>
                      <w:rPr>
                        <w:sz w:val="20"/>
                        <w:szCs w:val="20"/>
                      </w:rPr>
                    </w:pPr>
                    <w:r>
                      <w:rPr>
                        <w:sz w:val="20"/>
                        <w:szCs w:val="20"/>
                      </w:rPr>
                      <w:t>9,50</w:t>
                    </w:r>
                  </w:p>
                </w:tc>
              </w:sdtContent>
            </w:sdt>
            <w:sdt>
              <w:sdtPr>
                <w:tag w:val="goog_rdk_17"/>
                <w:id w:val="-127708365"/>
                <w:lock w:val="contentLocked"/>
              </w:sdtPr>
              <w:sdtContent>
                <w:tc>
                  <w:tcPr>
                    <w:tcW w:w="1686" w:type="dxa"/>
                    <w:tcBorders>
                      <w:top w:val="nil"/>
                      <w:left w:val="nil"/>
                      <w:bottom w:val="single" w:sz="6" w:space="0" w:color="000000"/>
                      <w:right w:val="nil"/>
                    </w:tcBorders>
                    <w:shd w:val="clear" w:color="auto" w:fill="FFFFFF"/>
                    <w:tcMar>
                      <w:top w:w="40" w:type="dxa"/>
                      <w:left w:w="40" w:type="dxa"/>
                      <w:bottom w:w="40" w:type="dxa"/>
                      <w:right w:w="40" w:type="dxa"/>
                    </w:tcMar>
                    <w:vAlign w:val="bottom"/>
                  </w:tcPr>
                  <w:p w14:paraId="63840C6A" w14:textId="77777777" w:rsidR="00702466" w:rsidRDefault="0077271C">
                    <w:pPr>
                      <w:widowControl w:val="0"/>
                      <w:spacing w:line="276" w:lineRule="auto"/>
                      <w:jc w:val="center"/>
                      <w:rPr>
                        <w:sz w:val="20"/>
                        <w:szCs w:val="20"/>
                      </w:rPr>
                    </w:pPr>
                    <w:r>
                      <w:rPr>
                        <w:sz w:val="20"/>
                        <w:szCs w:val="20"/>
                      </w:rPr>
                      <w:t>2340</w:t>
                    </w:r>
                  </w:p>
                </w:tc>
              </w:sdtContent>
            </w:sdt>
            <w:sdt>
              <w:sdtPr>
                <w:tag w:val="goog_rdk_18"/>
                <w:id w:val="704292627"/>
                <w:lock w:val="contentLocked"/>
              </w:sdtPr>
              <w:sdtContent>
                <w:tc>
                  <w:tcPr>
                    <w:tcW w:w="1584" w:type="dxa"/>
                    <w:tcBorders>
                      <w:top w:val="nil"/>
                      <w:left w:val="nil"/>
                      <w:bottom w:val="single" w:sz="6" w:space="0" w:color="000000"/>
                      <w:right w:val="nil"/>
                    </w:tcBorders>
                    <w:shd w:val="clear" w:color="auto" w:fill="auto"/>
                    <w:tcMar>
                      <w:top w:w="40" w:type="dxa"/>
                      <w:left w:w="40" w:type="dxa"/>
                      <w:bottom w:w="40" w:type="dxa"/>
                      <w:right w:w="40" w:type="dxa"/>
                    </w:tcMar>
                    <w:vAlign w:val="center"/>
                  </w:tcPr>
                  <w:p w14:paraId="5BDD3C03" w14:textId="77777777" w:rsidR="00702466" w:rsidRDefault="0077271C">
                    <w:pPr>
                      <w:widowControl w:val="0"/>
                      <w:spacing w:line="276" w:lineRule="auto"/>
                      <w:jc w:val="center"/>
                      <w:rPr>
                        <w:sz w:val="20"/>
                        <w:szCs w:val="20"/>
                      </w:rPr>
                    </w:pPr>
                    <w:r>
                      <w:rPr>
                        <w:sz w:val="20"/>
                        <w:szCs w:val="20"/>
                      </w:rPr>
                      <w:t>1012</w:t>
                    </w:r>
                  </w:p>
                </w:tc>
              </w:sdtContent>
            </w:sdt>
            <w:sdt>
              <w:sdtPr>
                <w:tag w:val="goog_rdk_19"/>
                <w:id w:val="-229388139"/>
                <w:lock w:val="contentLocked"/>
              </w:sdtPr>
              <w:sdtContent>
                <w:tc>
                  <w:tcPr>
                    <w:tcW w:w="1453" w:type="dxa"/>
                    <w:tcBorders>
                      <w:top w:val="nil"/>
                      <w:left w:val="nil"/>
                      <w:bottom w:val="single" w:sz="6" w:space="0" w:color="000000"/>
                      <w:right w:val="nil"/>
                    </w:tcBorders>
                    <w:shd w:val="clear" w:color="auto" w:fill="auto"/>
                    <w:tcMar>
                      <w:top w:w="40" w:type="dxa"/>
                      <w:left w:w="40" w:type="dxa"/>
                      <w:bottom w:w="40" w:type="dxa"/>
                      <w:right w:w="40" w:type="dxa"/>
                    </w:tcMar>
                    <w:vAlign w:val="center"/>
                  </w:tcPr>
                  <w:p w14:paraId="51542272" w14:textId="77777777" w:rsidR="00702466" w:rsidRDefault="0077271C">
                    <w:pPr>
                      <w:widowControl w:val="0"/>
                      <w:spacing w:line="276" w:lineRule="auto"/>
                      <w:jc w:val="center"/>
                      <w:rPr>
                        <w:sz w:val="20"/>
                        <w:szCs w:val="20"/>
                      </w:rPr>
                    </w:pPr>
                    <w:r>
                      <w:rPr>
                        <w:sz w:val="20"/>
                        <w:szCs w:val="20"/>
                      </w:rPr>
                      <w:t>57,50</w:t>
                    </w:r>
                  </w:p>
                </w:tc>
              </w:sdtContent>
            </w:sdt>
            <w:sdt>
              <w:sdtPr>
                <w:tag w:val="goog_rdk_20"/>
                <w:id w:val="1361012642"/>
                <w:lock w:val="contentLocked"/>
              </w:sdtPr>
              <w:sdtContent>
                <w:tc>
                  <w:tcPr>
                    <w:tcW w:w="1453" w:type="dxa"/>
                    <w:tcBorders>
                      <w:top w:val="nil"/>
                      <w:left w:val="nil"/>
                      <w:bottom w:val="single" w:sz="6" w:space="0" w:color="000000"/>
                      <w:right w:val="nil"/>
                    </w:tcBorders>
                    <w:shd w:val="clear" w:color="auto" w:fill="auto"/>
                    <w:tcMar>
                      <w:top w:w="40" w:type="dxa"/>
                      <w:left w:w="40" w:type="dxa"/>
                      <w:bottom w:w="40" w:type="dxa"/>
                      <w:right w:w="40" w:type="dxa"/>
                    </w:tcMar>
                    <w:vAlign w:val="bottom"/>
                  </w:tcPr>
                  <w:p w14:paraId="23BA43B6" w14:textId="77777777" w:rsidR="00702466" w:rsidRDefault="0077271C">
                    <w:pPr>
                      <w:widowControl w:val="0"/>
                      <w:spacing w:line="276" w:lineRule="auto"/>
                      <w:jc w:val="center"/>
                      <w:rPr>
                        <w:sz w:val="20"/>
                        <w:szCs w:val="20"/>
                      </w:rPr>
                    </w:pPr>
                    <w:r>
                      <w:rPr>
                        <w:sz w:val="20"/>
                        <w:szCs w:val="20"/>
                      </w:rPr>
                      <w:t>21,28</w:t>
                    </w:r>
                  </w:p>
                </w:tc>
              </w:sdtContent>
            </w:sdt>
          </w:tr>
          <w:tr w:rsidR="00702466" w14:paraId="7E611C0B" w14:textId="77777777">
            <w:trPr>
              <w:trHeight w:val="315"/>
            </w:trPr>
            <w:sdt>
              <w:sdtPr>
                <w:tag w:val="goog_rdk_21"/>
                <w:id w:val="325487046"/>
                <w:lock w:val="contentLocked"/>
              </w:sdtPr>
              <w:sdtContent>
                <w:tc>
                  <w:tcPr>
                    <w:tcW w:w="1148" w:type="dxa"/>
                    <w:tcBorders>
                      <w:top w:val="nil"/>
                      <w:left w:val="nil"/>
                      <w:bottom w:val="single" w:sz="12" w:space="0" w:color="000000"/>
                      <w:right w:val="nil"/>
                    </w:tcBorders>
                    <w:shd w:val="clear" w:color="auto" w:fill="auto"/>
                    <w:tcMar>
                      <w:top w:w="40" w:type="dxa"/>
                      <w:left w:w="40" w:type="dxa"/>
                      <w:bottom w:w="40" w:type="dxa"/>
                      <w:right w:w="40" w:type="dxa"/>
                    </w:tcMar>
                    <w:vAlign w:val="bottom"/>
                  </w:tcPr>
                  <w:p w14:paraId="775171FF" w14:textId="77777777" w:rsidR="00702466" w:rsidRDefault="0077271C">
                    <w:pPr>
                      <w:widowControl w:val="0"/>
                      <w:spacing w:line="276" w:lineRule="auto"/>
                      <w:jc w:val="center"/>
                      <w:rPr>
                        <w:sz w:val="20"/>
                        <w:szCs w:val="20"/>
                      </w:rPr>
                    </w:pPr>
                    <w:r>
                      <w:rPr>
                        <w:b/>
                        <w:sz w:val="20"/>
                        <w:szCs w:val="20"/>
                      </w:rPr>
                      <w:t>SRMF</w:t>
                    </w:r>
                  </w:p>
                </w:tc>
              </w:sdtContent>
            </w:sdt>
            <w:sdt>
              <w:sdtPr>
                <w:tag w:val="goog_rdk_22"/>
                <w:id w:val="-1104411057"/>
                <w:lock w:val="contentLocked"/>
              </w:sdtPr>
              <w:sdtContent>
                <w:tc>
                  <w:tcPr>
                    <w:tcW w:w="872" w:type="dxa"/>
                    <w:tcBorders>
                      <w:top w:val="nil"/>
                      <w:left w:val="nil"/>
                      <w:bottom w:val="single" w:sz="12" w:space="0" w:color="000000"/>
                      <w:right w:val="nil"/>
                    </w:tcBorders>
                    <w:shd w:val="clear" w:color="auto" w:fill="auto"/>
                    <w:tcMar>
                      <w:top w:w="40" w:type="dxa"/>
                      <w:left w:w="40" w:type="dxa"/>
                      <w:bottom w:w="40" w:type="dxa"/>
                      <w:right w:w="40" w:type="dxa"/>
                    </w:tcMar>
                    <w:vAlign w:val="bottom"/>
                  </w:tcPr>
                  <w:p w14:paraId="0A8F42DE" w14:textId="77777777" w:rsidR="00702466" w:rsidRDefault="0077271C">
                    <w:pPr>
                      <w:widowControl w:val="0"/>
                      <w:spacing w:line="276" w:lineRule="auto"/>
                      <w:jc w:val="center"/>
                      <w:rPr>
                        <w:sz w:val="20"/>
                        <w:szCs w:val="20"/>
                      </w:rPr>
                    </w:pPr>
                    <w:r>
                      <w:rPr>
                        <w:sz w:val="20"/>
                        <w:szCs w:val="20"/>
                      </w:rPr>
                      <w:t>9,50</w:t>
                    </w:r>
                  </w:p>
                </w:tc>
              </w:sdtContent>
            </w:sdt>
            <w:sdt>
              <w:sdtPr>
                <w:tag w:val="goog_rdk_23"/>
                <w:id w:val="1095835447"/>
                <w:lock w:val="contentLocked"/>
              </w:sdtPr>
              <w:sdtContent>
                <w:tc>
                  <w:tcPr>
                    <w:tcW w:w="872" w:type="dxa"/>
                    <w:tcBorders>
                      <w:top w:val="nil"/>
                      <w:left w:val="nil"/>
                      <w:bottom w:val="single" w:sz="12" w:space="0" w:color="000000"/>
                      <w:right w:val="nil"/>
                    </w:tcBorders>
                    <w:shd w:val="clear" w:color="auto" w:fill="auto"/>
                    <w:tcMar>
                      <w:top w:w="40" w:type="dxa"/>
                      <w:left w:w="40" w:type="dxa"/>
                      <w:bottom w:w="40" w:type="dxa"/>
                      <w:right w:w="40" w:type="dxa"/>
                    </w:tcMar>
                    <w:vAlign w:val="bottom"/>
                  </w:tcPr>
                  <w:p w14:paraId="3505029C" w14:textId="77777777" w:rsidR="00702466" w:rsidRDefault="0077271C">
                    <w:pPr>
                      <w:widowControl w:val="0"/>
                      <w:spacing w:line="276" w:lineRule="auto"/>
                      <w:jc w:val="center"/>
                      <w:rPr>
                        <w:sz w:val="20"/>
                        <w:szCs w:val="20"/>
                      </w:rPr>
                    </w:pPr>
                    <w:r>
                      <w:rPr>
                        <w:sz w:val="20"/>
                        <w:szCs w:val="20"/>
                      </w:rPr>
                      <w:t>41,50</w:t>
                    </w:r>
                  </w:p>
                </w:tc>
              </w:sdtContent>
            </w:sdt>
            <w:sdt>
              <w:sdtPr>
                <w:tag w:val="goog_rdk_24"/>
                <w:id w:val="-621690353"/>
                <w:lock w:val="contentLocked"/>
              </w:sdtPr>
              <w:sdtContent>
                <w:tc>
                  <w:tcPr>
                    <w:tcW w:w="1686" w:type="dxa"/>
                    <w:tcBorders>
                      <w:top w:val="nil"/>
                      <w:left w:val="nil"/>
                      <w:bottom w:val="single" w:sz="12" w:space="0" w:color="000000"/>
                      <w:right w:val="nil"/>
                    </w:tcBorders>
                    <w:shd w:val="clear" w:color="auto" w:fill="auto"/>
                    <w:tcMar>
                      <w:top w:w="40" w:type="dxa"/>
                      <w:left w:w="40" w:type="dxa"/>
                      <w:bottom w:w="40" w:type="dxa"/>
                      <w:right w:w="40" w:type="dxa"/>
                    </w:tcMar>
                    <w:vAlign w:val="center"/>
                  </w:tcPr>
                  <w:p w14:paraId="1C41EAD9" w14:textId="77777777" w:rsidR="00702466" w:rsidRDefault="0077271C">
                    <w:pPr>
                      <w:widowControl w:val="0"/>
                      <w:spacing w:line="276" w:lineRule="auto"/>
                      <w:jc w:val="center"/>
                      <w:rPr>
                        <w:sz w:val="20"/>
                        <w:szCs w:val="20"/>
                      </w:rPr>
                    </w:pPr>
                    <w:r>
                      <w:rPr>
                        <w:sz w:val="20"/>
                        <w:szCs w:val="20"/>
                      </w:rPr>
                      <w:t>2790</w:t>
                    </w:r>
                  </w:p>
                </w:tc>
              </w:sdtContent>
            </w:sdt>
            <w:sdt>
              <w:sdtPr>
                <w:tag w:val="goog_rdk_25"/>
                <w:id w:val="445434196"/>
                <w:lock w:val="contentLocked"/>
              </w:sdtPr>
              <w:sdtContent>
                <w:tc>
                  <w:tcPr>
                    <w:tcW w:w="1584" w:type="dxa"/>
                    <w:tcBorders>
                      <w:top w:val="nil"/>
                      <w:left w:val="nil"/>
                      <w:bottom w:val="single" w:sz="12" w:space="0" w:color="000000"/>
                      <w:right w:val="nil"/>
                    </w:tcBorders>
                    <w:shd w:val="clear" w:color="auto" w:fill="auto"/>
                    <w:tcMar>
                      <w:top w:w="40" w:type="dxa"/>
                      <w:left w:w="40" w:type="dxa"/>
                      <w:bottom w:w="40" w:type="dxa"/>
                      <w:right w:w="40" w:type="dxa"/>
                    </w:tcMar>
                    <w:vAlign w:val="bottom"/>
                  </w:tcPr>
                  <w:p w14:paraId="27DB47F2" w14:textId="77777777" w:rsidR="00702466" w:rsidRDefault="0077271C">
                    <w:pPr>
                      <w:widowControl w:val="0"/>
                      <w:spacing w:line="276" w:lineRule="auto"/>
                      <w:jc w:val="center"/>
                      <w:rPr>
                        <w:sz w:val="20"/>
                        <w:szCs w:val="20"/>
                      </w:rPr>
                    </w:pPr>
                    <w:r>
                      <w:rPr>
                        <w:sz w:val="20"/>
                        <w:szCs w:val="20"/>
                      </w:rPr>
                      <w:t>1368</w:t>
                    </w:r>
                  </w:p>
                </w:tc>
              </w:sdtContent>
            </w:sdt>
            <w:sdt>
              <w:sdtPr>
                <w:tag w:val="goog_rdk_26"/>
                <w:id w:val="-154538080"/>
                <w:lock w:val="contentLocked"/>
              </w:sdtPr>
              <w:sdtContent>
                <w:tc>
                  <w:tcPr>
                    <w:tcW w:w="1453" w:type="dxa"/>
                    <w:tcBorders>
                      <w:top w:val="nil"/>
                      <w:left w:val="nil"/>
                      <w:bottom w:val="single" w:sz="12" w:space="0" w:color="000000"/>
                      <w:right w:val="nil"/>
                    </w:tcBorders>
                    <w:shd w:val="clear" w:color="auto" w:fill="auto"/>
                    <w:tcMar>
                      <w:top w:w="40" w:type="dxa"/>
                      <w:left w:w="40" w:type="dxa"/>
                      <w:bottom w:w="40" w:type="dxa"/>
                      <w:right w:w="40" w:type="dxa"/>
                    </w:tcMar>
                    <w:vAlign w:val="center"/>
                  </w:tcPr>
                  <w:p w14:paraId="2263E2D6" w14:textId="77777777" w:rsidR="00702466" w:rsidRDefault="0077271C">
                    <w:pPr>
                      <w:widowControl w:val="0"/>
                      <w:spacing w:line="276" w:lineRule="auto"/>
                      <w:jc w:val="center"/>
                      <w:rPr>
                        <w:sz w:val="20"/>
                        <w:szCs w:val="20"/>
                      </w:rPr>
                    </w:pPr>
                    <w:r>
                      <w:rPr>
                        <w:sz w:val="20"/>
                        <w:szCs w:val="20"/>
                      </w:rPr>
                      <w:t>64,20</w:t>
                    </w:r>
                  </w:p>
                </w:tc>
              </w:sdtContent>
            </w:sdt>
            <w:sdt>
              <w:sdtPr>
                <w:tag w:val="goog_rdk_27"/>
                <w:id w:val="1121193720"/>
                <w:lock w:val="contentLocked"/>
              </w:sdtPr>
              <w:sdtContent>
                <w:tc>
                  <w:tcPr>
                    <w:tcW w:w="1453" w:type="dxa"/>
                    <w:tcBorders>
                      <w:top w:val="nil"/>
                      <w:left w:val="nil"/>
                      <w:bottom w:val="single" w:sz="12" w:space="0" w:color="000000"/>
                      <w:right w:val="nil"/>
                    </w:tcBorders>
                    <w:shd w:val="clear" w:color="auto" w:fill="auto"/>
                    <w:tcMar>
                      <w:top w:w="40" w:type="dxa"/>
                      <w:left w:w="40" w:type="dxa"/>
                      <w:bottom w:w="40" w:type="dxa"/>
                      <w:right w:w="40" w:type="dxa"/>
                    </w:tcMar>
                    <w:vAlign w:val="bottom"/>
                  </w:tcPr>
                  <w:p w14:paraId="6D01F000" w14:textId="77777777" w:rsidR="00702466" w:rsidRDefault="0077271C">
                    <w:pPr>
                      <w:widowControl w:val="0"/>
                      <w:spacing w:line="276" w:lineRule="auto"/>
                      <w:jc w:val="center"/>
                      <w:rPr>
                        <w:sz w:val="20"/>
                        <w:szCs w:val="20"/>
                      </w:rPr>
                    </w:pPr>
                    <w:r>
                      <w:rPr>
                        <w:sz w:val="20"/>
                        <w:szCs w:val="20"/>
                      </w:rPr>
                      <w:t>7,52</w:t>
                    </w:r>
                  </w:p>
                </w:tc>
              </w:sdtContent>
            </w:sdt>
          </w:tr>
        </w:tbl>
      </w:sdtContent>
    </w:sdt>
    <w:p w14:paraId="6E7DCF80" w14:textId="77777777" w:rsidR="00702466" w:rsidRPr="005D2B08" w:rsidRDefault="0077271C">
      <w:pPr>
        <w:spacing w:after="240"/>
        <w:ind w:left="700"/>
        <w:rPr>
          <w:sz w:val="20"/>
          <w:szCs w:val="20"/>
          <w:lang w:val="pt-BR"/>
        </w:rPr>
      </w:pPr>
      <w:r w:rsidRPr="005D2B08">
        <w:rPr>
          <w:sz w:val="20"/>
          <w:szCs w:val="20"/>
          <w:lang w:val="pt-BR"/>
        </w:rPr>
        <w:t>Fonte: Autoras.</w:t>
      </w:r>
    </w:p>
    <w:p w14:paraId="6B8E44ED" w14:textId="1D46CC33" w:rsidR="00702466" w:rsidRPr="005D2B08" w:rsidRDefault="0077271C">
      <w:pPr>
        <w:spacing w:after="120"/>
        <w:ind w:firstLine="284"/>
        <w:rPr>
          <w:lang w:val="pt-BR"/>
        </w:rPr>
      </w:pPr>
      <w:r w:rsidRPr="005D2B08">
        <w:rPr>
          <w:lang w:val="pt-BR"/>
        </w:rPr>
        <w:t xml:space="preserve">Em estudo prévio (VIMIEIRO </w:t>
      </w:r>
      <w:r w:rsidRPr="005D2B08">
        <w:rPr>
          <w:i/>
          <w:lang w:val="pt-BR"/>
        </w:rPr>
        <w:t>et al</w:t>
      </w:r>
      <w:r w:rsidRPr="005D2B08">
        <w:rPr>
          <w:lang w:val="pt-BR"/>
        </w:rPr>
        <w:t>., 2022)</w:t>
      </w:r>
      <w:r w:rsidR="00B634B1">
        <w:rPr>
          <w:lang w:val="pt-BR"/>
        </w:rPr>
        <w:t>,</w:t>
      </w:r>
      <w:r w:rsidRPr="005D2B08">
        <w:rPr>
          <w:lang w:val="pt-BR"/>
        </w:rPr>
        <w:t xml:space="preserve"> na análise da composição mineralógica, pôde-se constatar que na amostra de solo não foram encontrados minerais argilosos expansivos - apenas caulinita </w:t>
      </w:r>
      <w:r w:rsidR="000A0E10">
        <w:rPr>
          <w:lang w:val="pt-BR"/>
        </w:rPr>
        <w:t xml:space="preserve">foi </w:t>
      </w:r>
      <w:r w:rsidRPr="005D2B08">
        <w:rPr>
          <w:lang w:val="pt-BR"/>
        </w:rPr>
        <w:t xml:space="preserve">encontrada </w:t>
      </w:r>
      <w:r w:rsidR="000A0E10">
        <w:rPr>
          <w:lang w:val="pt-BR"/>
        </w:rPr>
        <w:t xml:space="preserve">que </w:t>
      </w:r>
      <w:r w:rsidRPr="005D2B08">
        <w:rPr>
          <w:lang w:val="pt-BR"/>
        </w:rPr>
        <w:t>é considerada uma argila não expansível. Na amostra de SRMF nota-se a predominância de quartzo (SiO</w:t>
      </w:r>
      <w:r w:rsidRPr="005D2B08">
        <w:rPr>
          <w:vertAlign w:val="subscript"/>
          <w:lang w:val="pt-BR"/>
        </w:rPr>
        <w:t>2</w:t>
      </w:r>
      <w:r w:rsidRPr="005D2B08">
        <w:rPr>
          <w:lang w:val="pt-BR"/>
        </w:rPr>
        <w:t>) e hematita (Fe</w:t>
      </w:r>
      <w:r w:rsidRPr="005D2B08">
        <w:rPr>
          <w:vertAlign w:val="subscript"/>
          <w:lang w:val="pt-BR"/>
        </w:rPr>
        <w:t>2</w:t>
      </w:r>
      <w:r w:rsidRPr="005D2B08">
        <w:rPr>
          <w:lang w:val="pt-BR"/>
        </w:rPr>
        <w:t>O</w:t>
      </w:r>
      <w:r w:rsidRPr="005D2B08">
        <w:rPr>
          <w:vertAlign w:val="subscript"/>
          <w:lang w:val="pt-BR"/>
        </w:rPr>
        <w:t>3</w:t>
      </w:r>
      <w:r w:rsidRPr="005D2B08">
        <w:rPr>
          <w:lang w:val="pt-BR"/>
        </w:rPr>
        <w:t>) e não possui características pozolânicas, uma vez que não se percebe formação de halo amorfo no difratograma (Figura 1).</w:t>
      </w:r>
    </w:p>
    <w:p w14:paraId="4BF739CC" w14:textId="77777777" w:rsidR="00702466" w:rsidRPr="005D2B08" w:rsidRDefault="0077271C">
      <w:pPr>
        <w:widowControl w:val="0"/>
        <w:jc w:val="center"/>
        <w:rPr>
          <w:lang w:val="pt-BR"/>
        </w:rPr>
      </w:pPr>
      <w:r>
        <w:rPr>
          <w:noProof/>
        </w:rPr>
        <w:lastRenderedPageBreak/>
        <w:drawing>
          <wp:anchor distT="0" distB="0" distL="0" distR="0" simplePos="0" relativeHeight="251658240" behindDoc="0" locked="0" layoutInCell="1" hidden="0" allowOverlap="1" wp14:anchorId="077F4DD9" wp14:editId="39DA4517">
            <wp:simplePos x="0" y="0"/>
            <wp:positionH relativeFrom="column">
              <wp:posOffset>1276350</wp:posOffset>
            </wp:positionH>
            <wp:positionV relativeFrom="paragraph">
              <wp:posOffset>114300</wp:posOffset>
            </wp:positionV>
            <wp:extent cx="2828925" cy="1358993"/>
            <wp:effectExtent l="0" t="0" r="0" b="0"/>
            <wp:wrapTopAndBottom distT="0" distB="0"/>
            <wp:docPr id="7"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10"/>
                    <a:srcRect b="69705"/>
                    <a:stretch>
                      <a:fillRect/>
                    </a:stretch>
                  </pic:blipFill>
                  <pic:spPr>
                    <a:xfrm>
                      <a:off x="0" y="0"/>
                      <a:ext cx="2828925" cy="1358993"/>
                    </a:xfrm>
                    <a:prstGeom prst="rect">
                      <a:avLst/>
                    </a:prstGeom>
                    <a:ln/>
                  </pic:spPr>
                </pic:pic>
              </a:graphicData>
            </a:graphic>
          </wp:anchor>
        </w:drawing>
      </w:r>
      <w:r>
        <w:rPr>
          <w:noProof/>
        </w:rPr>
        <w:drawing>
          <wp:anchor distT="0" distB="0" distL="0" distR="0" simplePos="0" relativeHeight="251659264" behindDoc="0" locked="0" layoutInCell="1" hidden="0" allowOverlap="1" wp14:anchorId="0599533C" wp14:editId="661ACA09">
            <wp:simplePos x="0" y="0"/>
            <wp:positionH relativeFrom="column">
              <wp:posOffset>1209675</wp:posOffset>
            </wp:positionH>
            <wp:positionV relativeFrom="paragraph">
              <wp:posOffset>1476375</wp:posOffset>
            </wp:positionV>
            <wp:extent cx="2826540" cy="1511043"/>
            <wp:effectExtent l="0" t="0" r="0" b="0"/>
            <wp:wrapTopAndBottom distT="0" distB="0"/>
            <wp:docPr id="8"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10"/>
                    <a:srcRect t="65951"/>
                    <a:stretch>
                      <a:fillRect/>
                    </a:stretch>
                  </pic:blipFill>
                  <pic:spPr>
                    <a:xfrm>
                      <a:off x="0" y="0"/>
                      <a:ext cx="2826540" cy="1511043"/>
                    </a:xfrm>
                    <a:prstGeom prst="rect">
                      <a:avLst/>
                    </a:prstGeom>
                    <a:ln/>
                  </pic:spPr>
                </pic:pic>
              </a:graphicData>
            </a:graphic>
          </wp:anchor>
        </w:drawing>
      </w:r>
    </w:p>
    <w:p w14:paraId="66713122" w14:textId="74FB4260" w:rsidR="00702466" w:rsidRPr="00D644E2" w:rsidRDefault="0077271C">
      <w:pPr>
        <w:spacing w:after="160" w:line="259" w:lineRule="auto"/>
        <w:jc w:val="center"/>
        <w:rPr>
          <w:rFonts w:ascii="Arial" w:eastAsia="Arial" w:hAnsi="Arial" w:cs="Arial"/>
          <w:b/>
          <w:sz w:val="20"/>
          <w:szCs w:val="20"/>
          <w:lang w:val="pt-BR"/>
        </w:rPr>
      </w:pPr>
      <w:r w:rsidRPr="005D2B08">
        <w:rPr>
          <w:b/>
          <w:sz w:val="20"/>
          <w:szCs w:val="20"/>
          <w:lang w:val="pt-BR"/>
        </w:rPr>
        <w:t>Figura 1</w:t>
      </w:r>
      <w:r w:rsidRPr="00D644E2">
        <w:rPr>
          <w:b/>
          <w:sz w:val="20"/>
          <w:szCs w:val="20"/>
          <w:lang w:val="pt-BR"/>
        </w:rPr>
        <w:t xml:space="preserve">: Difratograma das amostras de solo e SRMF de Barra </w:t>
      </w:r>
      <w:r w:rsidR="00FE1A30" w:rsidRPr="00D644E2">
        <w:rPr>
          <w:b/>
          <w:sz w:val="20"/>
          <w:szCs w:val="20"/>
          <w:lang w:val="pt-BR"/>
        </w:rPr>
        <w:t>L</w:t>
      </w:r>
      <w:r w:rsidRPr="00D644E2">
        <w:rPr>
          <w:b/>
          <w:sz w:val="20"/>
          <w:szCs w:val="20"/>
          <w:lang w:val="pt-BR"/>
        </w:rPr>
        <w:t>onga</w:t>
      </w:r>
      <w:r w:rsidR="00FE1A30" w:rsidRPr="00D644E2">
        <w:rPr>
          <w:b/>
          <w:sz w:val="20"/>
          <w:szCs w:val="20"/>
          <w:lang w:val="pt-BR"/>
        </w:rPr>
        <w:t xml:space="preserve"> (BL)</w:t>
      </w:r>
      <w:r w:rsidRPr="00D644E2">
        <w:rPr>
          <w:b/>
          <w:sz w:val="20"/>
          <w:szCs w:val="20"/>
          <w:lang w:val="pt-BR"/>
        </w:rPr>
        <w:t>. Fonte: Autoras</w:t>
      </w:r>
    </w:p>
    <w:p w14:paraId="1F76C004" w14:textId="77777777" w:rsidR="00702466" w:rsidRPr="005D2B08" w:rsidRDefault="0077271C">
      <w:pPr>
        <w:pBdr>
          <w:top w:val="nil"/>
          <w:left w:val="nil"/>
          <w:bottom w:val="nil"/>
          <w:right w:val="nil"/>
          <w:between w:val="nil"/>
        </w:pBdr>
        <w:spacing w:after="120"/>
        <w:ind w:firstLine="284"/>
        <w:rPr>
          <w:color w:val="980000"/>
          <w:lang w:val="pt-BR"/>
        </w:rPr>
      </w:pPr>
      <w:r w:rsidRPr="005D2B08">
        <w:rPr>
          <w:lang w:val="pt-BR"/>
        </w:rPr>
        <w:t xml:space="preserve">A cal hidratada utilizada neste estudo é do tipo CH-I que atende os requisitos técnicos da norma NBR 7175 (ABNT, 2003), e foi escolhida por possuir ampla disponibilidade no mercado regional. </w:t>
      </w:r>
    </w:p>
    <w:p w14:paraId="29B12B0D" w14:textId="77777777" w:rsidR="00702466" w:rsidRPr="005D2B08" w:rsidRDefault="0077271C">
      <w:pPr>
        <w:pStyle w:val="Subttulo"/>
        <w:ind w:left="0" w:firstLine="0"/>
        <w:rPr>
          <w:rFonts w:ascii="Times New Roman" w:eastAsia="Times New Roman" w:hAnsi="Times New Roman" w:cs="Times New Roman"/>
          <w:lang w:val="pt-BR"/>
        </w:rPr>
      </w:pPr>
      <w:bookmarkStart w:id="0" w:name="_heading=h.zhbnb5o1bes9" w:colFirst="0" w:colLast="0"/>
      <w:bookmarkEnd w:id="0"/>
      <w:r w:rsidRPr="005D2B08">
        <w:rPr>
          <w:rFonts w:ascii="Times New Roman" w:eastAsia="Times New Roman" w:hAnsi="Times New Roman" w:cs="Times New Roman"/>
          <w:lang w:val="pt-BR"/>
        </w:rPr>
        <w:t>2.2. Definição das misturas, moldagem dos adobes e análise dimensional</w:t>
      </w:r>
    </w:p>
    <w:p w14:paraId="0CCD6426" w14:textId="77777777" w:rsidR="00702466" w:rsidRPr="005D2B08" w:rsidRDefault="0077271C">
      <w:pPr>
        <w:spacing w:after="120"/>
        <w:ind w:firstLine="284"/>
        <w:rPr>
          <w:lang w:val="pt-BR"/>
        </w:rPr>
      </w:pPr>
      <w:r w:rsidRPr="005D2B08">
        <w:rPr>
          <w:lang w:val="pt-BR"/>
        </w:rPr>
        <w:t xml:space="preserve">Pela norma NBR 16814 (ABNT, 2020), a proporção granulométrica do solo para a produção de adobes é diferente da norma peruana E.080 (NTE, 2000), conforme pode ser observado na Tabela 2. Em trabalhos anteriores, foi utilizada a proporção granulométrica da norma brasileira como referência, porém os adobes não apresentaram valores mínimos no ensaio de resistência à compressão (VIMIEIRO </w:t>
      </w:r>
      <w:r w:rsidRPr="005D2B08">
        <w:rPr>
          <w:i/>
          <w:lang w:val="pt-BR"/>
        </w:rPr>
        <w:t>et al.</w:t>
      </w:r>
      <w:r w:rsidRPr="005D2B08">
        <w:rPr>
          <w:lang w:val="pt-BR"/>
        </w:rPr>
        <w:t xml:space="preserve">, 2022). </w:t>
      </w:r>
    </w:p>
    <w:p w14:paraId="3E87B1CA" w14:textId="4EA2F6E3" w:rsidR="00702466" w:rsidRPr="00D644E2" w:rsidRDefault="0077271C">
      <w:pPr>
        <w:spacing w:before="240" w:after="240"/>
        <w:jc w:val="center"/>
        <w:rPr>
          <w:rFonts w:eastAsia="Arial"/>
          <w:sz w:val="20"/>
          <w:szCs w:val="20"/>
          <w:lang w:val="pt-BR"/>
        </w:rPr>
      </w:pPr>
      <w:r w:rsidRPr="00D644E2">
        <w:rPr>
          <w:rFonts w:eastAsia="Arial"/>
          <w:bCs/>
          <w:sz w:val="20"/>
          <w:szCs w:val="20"/>
          <w:lang w:val="pt-BR"/>
        </w:rPr>
        <w:t>Tabela 2:</w:t>
      </w:r>
      <w:r w:rsidRPr="00D644E2">
        <w:rPr>
          <w:rFonts w:eastAsia="Arial"/>
          <w:b/>
          <w:sz w:val="20"/>
          <w:szCs w:val="20"/>
          <w:lang w:val="pt-BR"/>
        </w:rPr>
        <w:t xml:space="preserve"> </w:t>
      </w:r>
      <w:r w:rsidRPr="00D644E2">
        <w:rPr>
          <w:rFonts w:eastAsia="Arial"/>
          <w:sz w:val="20"/>
          <w:szCs w:val="20"/>
          <w:lang w:val="pt-BR"/>
        </w:rPr>
        <w:t>Proporção de areia e argila - normas de adobe brasileira e peruana</w:t>
      </w:r>
    </w:p>
    <w:tbl>
      <w:tblPr>
        <w:tblStyle w:val="a0"/>
        <w:tblW w:w="5502" w:type="dxa"/>
        <w:jc w:val="center"/>
        <w:tblInd w:w="0" w:type="dxa"/>
        <w:tblBorders>
          <w:top w:val="nil"/>
          <w:left w:val="nil"/>
          <w:bottom w:val="nil"/>
          <w:right w:val="nil"/>
          <w:insideH w:val="nil"/>
          <w:insideV w:val="nil"/>
        </w:tblBorders>
        <w:tblLayout w:type="fixed"/>
        <w:tblLook w:val="0600" w:firstRow="0" w:lastRow="0" w:firstColumn="0" w:lastColumn="0" w:noHBand="1" w:noVBand="1"/>
      </w:tblPr>
      <w:tblGrid>
        <w:gridCol w:w="2820"/>
        <w:gridCol w:w="2682"/>
      </w:tblGrid>
      <w:tr w:rsidR="00702466" w14:paraId="641CC5CE" w14:textId="77777777">
        <w:trPr>
          <w:trHeight w:val="354"/>
          <w:jc w:val="center"/>
        </w:trPr>
        <w:tc>
          <w:tcPr>
            <w:tcW w:w="2820" w:type="dxa"/>
            <w:tcBorders>
              <w:top w:val="single" w:sz="12" w:space="0" w:color="000000"/>
              <w:left w:val="nil"/>
              <w:bottom w:val="single" w:sz="12" w:space="0" w:color="000000"/>
              <w:right w:val="nil"/>
            </w:tcBorders>
            <w:shd w:val="clear" w:color="auto" w:fill="FFFFFF"/>
            <w:tcMar>
              <w:top w:w="40" w:type="dxa"/>
              <w:left w:w="40" w:type="dxa"/>
              <w:bottom w:w="40" w:type="dxa"/>
              <w:right w:w="40" w:type="dxa"/>
            </w:tcMar>
            <w:vAlign w:val="bottom"/>
          </w:tcPr>
          <w:p w14:paraId="76BC5DC2" w14:textId="77777777" w:rsidR="00702466" w:rsidRDefault="0077271C">
            <w:pPr>
              <w:widowControl w:val="0"/>
              <w:spacing w:line="276" w:lineRule="auto"/>
              <w:jc w:val="left"/>
              <w:rPr>
                <w:rFonts w:ascii="Arial" w:eastAsia="Arial" w:hAnsi="Arial" w:cs="Arial"/>
                <w:sz w:val="18"/>
                <w:szCs w:val="18"/>
              </w:rPr>
            </w:pPr>
            <w:r>
              <w:rPr>
                <w:rFonts w:ascii="Arial" w:eastAsia="Arial" w:hAnsi="Arial" w:cs="Arial"/>
                <w:b/>
                <w:sz w:val="18"/>
                <w:szCs w:val="18"/>
              </w:rPr>
              <w:t xml:space="preserve">Norma de adobe </w:t>
            </w:r>
            <w:proofErr w:type="spellStart"/>
            <w:r>
              <w:rPr>
                <w:rFonts w:ascii="Arial" w:eastAsia="Arial" w:hAnsi="Arial" w:cs="Arial"/>
                <w:b/>
                <w:sz w:val="18"/>
                <w:szCs w:val="18"/>
              </w:rPr>
              <w:t>brasileira</w:t>
            </w:r>
            <w:proofErr w:type="spellEnd"/>
          </w:p>
        </w:tc>
        <w:tc>
          <w:tcPr>
            <w:tcW w:w="2682" w:type="dxa"/>
            <w:tcBorders>
              <w:top w:val="single" w:sz="12" w:space="0" w:color="000000"/>
              <w:left w:val="nil"/>
              <w:bottom w:val="single" w:sz="12" w:space="0" w:color="000000"/>
              <w:right w:val="nil"/>
            </w:tcBorders>
            <w:shd w:val="clear" w:color="auto" w:fill="FFFFFF"/>
            <w:tcMar>
              <w:top w:w="40" w:type="dxa"/>
              <w:left w:w="40" w:type="dxa"/>
              <w:bottom w:w="40" w:type="dxa"/>
              <w:right w:w="40" w:type="dxa"/>
            </w:tcMar>
            <w:vAlign w:val="bottom"/>
          </w:tcPr>
          <w:p w14:paraId="3365D157" w14:textId="77777777" w:rsidR="00702466" w:rsidRDefault="0077271C">
            <w:pPr>
              <w:widowControl w:val="0"/>
              <w:spacing w:line="276" w:lineRule="auto"/>
              <w:jc w:val="left"/>
              <w:rPr>
                <w:rFonts w:ascii="Arial" w:eastAsia="Arial" w:hAnsi="Arial" w:cs="Arial"/>
                <w:sz w:val="18"/>
                <w:szCs w:val="18"/>
              </w:rPr>
            </w:pPr>
            <w:r>
              <w:rPr>
                <w:rFonts w:ascii="Arial" w:eastAsia="Arial" w:hAnsi="Arial" w:cs="Arial"/>
                <w:b/>
                <w:sz w:val="18"/>
                <w:szCs w:val="18"/>
              </w:rPr>
              <w:t>Norma de adobe peruana</w:t>
            </w:r>
          </w:p>
        </w:tc>
      </w:tr>
      <w:tr w:rsidR="00702466" w14:paraId="1F37E109" w14:textId="77777777">
        <w:trPr>
          <w:trHeight w:val="354"/>
          <w:jc w:val="center"/>
        </w:trPr>
        <w:tc>
          <w:tcPr>
            <w:tcW w:w="2820" w:type="dxa"/>
            <w:tcBorders>
              <w:top w:val="nil"/>
              <w:left w:val="nil"/>
              <w:bottom w:val="single" w:sz="6" w:space="0" w:color="000000"/>
              <w:right w:val="nil"/>
            </w:tcBorders>
            <w:shd w:val="clear" w:color="auto" w:fill="FFFFFF"/>
            <w:tcMar>
              <w:top w:w="40" w:type="dxa"/>
              <w:left w:w="40" w:type="dxa"/>
              <w:bottom w:w="40" w:type="dxa"/>
              <w:right w:w="40" w:type="dxa"/>
            </w:tcMar>
            <w:vAlign w:val="bottom"/>
          </w:tcPr>
          <w:p w14:paraId="3EDD4973" w14:textId="77777777" w:rsidR="00702466" w:rsidRDefault="0077271C">
            <w:pPr>
              <w:widowControl w:val="0"/>
              <w:spacing w:line="276" w:lineRule="auto"/>
              <w:jc w:val="left"/>
              <w:rPr>
                <w:rFonts w:ascii="Arial" w:eastAsia="Arial" w:hAnsi="Arial" w:cs="Arial"/>
                <w:sz w:val="18"/>
                <w:szCs w:val="18"/>
              </w:rPr>
            </w:pPr>
            <w:r>
              <w:rPr>
                <w:rFonts w:ascii="Arial" w:eastAsia="Arial" w:hAnsi="Arial" w:cs="Arial"/>
                <w:sz w:val="18"/>
                <w:szCs w:val="18"/>
              </w:rPr>
              <w:t xml:space="preserve">— </w:t>
            </w:r>
            <w:proofErr w:type="spellStart"/>
            <w:r>
              <w:rPr>
                <w:rFonts w:ascii="Arial" w:eastAsia="Arial" w:hAnsi="Arial" w:cs="Arial"/>
                <w:sz w:val="18"/>
                <w:szCs w:val="18"/>
              </w:rPr>
              <w:t>areia</w:t>
            </w:r>
            <w:proofErr w:type="spellEnd"/>
            <w:r>
              <w:rPr>
                <w:rFonts w:ascii="Arial" w:eastAsia="Arial" w:hAnsi="Arial" w:cs="Arial"/>
                <w:sz w:val="18"/>
                <w:szCs w:val="18"/>
              </w:rPr>
              <w:t>: entre 45 % e 65 %;</w:t>
            </w:r>
          </w:p>
        </w:tc>
        <w:tc>
          <w:tcPr>
            <w:tcW w:w="2682" w:type="dxa"/>
            <w:tcBorders>
              <w:top w:val="nil"/>
              <w:left w:val="nil"/>
              <w:bottom w:val="single" w:sz="6" w:space="0" w:color="000000"/>
              <w:right w:val="nil"/>
            </w:tcBorders>
            <w:shd w:val="clear" w:color="auto" w:fill="FFFFFF"/>
            <w:tcMar>
              <w:top w:w="40" w:type="dxa"/>
              <w:left w:w="40" w:type="dxa"/>
              <w:bottom w:w="40" w:type="dxa"/>
              <w:right w:w="40" w:type="dxa"/>
            </w:tcMar>
            <w:vAlign w:val="bottom"/>
          </w:tcPr>
          <w:p w14:paraId="4A57A3E8" w14:textId="77777777" w:rsidR="00702466" w:rsidRDefault="0077271C">
            <w:pPr>
              <w:widowControl w:val="0"/>
              <w:spacing w:line="276" w:lineRule="auto"/>
              <w:jc w:val="left"/>
              <w:rPr>
                <w:rFonts w:ascii="Arial" w:eastAsia="Arial" w:hAnsi="Arial" w:cs="Arial"/>
                <w:sz w:val="18"/>
                <w:szCs w:val="18"/>
              </w:rPr>
            </w:pPr>
            <w:r>
              <w:rPr>
                <w:rFonts w:ascii="Arial" w:eastAsia="Arial" w:hAnsi="Arial" w:cs="Arial"/>
                <w:sz w:val="18"/>
                <w:szCs w:val="18"/>
              </w:rPr>
              <w:t xml:space="preserve">— </w:t>
            </w:r>
            <w:proofErr w:type="spellStart"/>
            <w:r>
              <w:rPr>
                <w:rFonts w:ascii="Arial" w:eastAsia="Arial" w:hAnsi="Arial" w:cs="Arial"/>
                <w:sz w:val="18"/>
                <w:szCs w:val="18"/>
              </w:rPr>
              <w:t>areia</w:t>
            </w:r>
            <w:proofErr w:type="spellEnd"/>
            <w:r>
              <w:rPr>
                <w:rFonts w:ascii="Arial" w:eastAsia="Arial" w:hAnsi="Arial" w:cs="Arial"/>
                <w:sz w:val="18"/>
                <w:szCs w:val="18"/>
              </w:rPr>
              <w:t>: entre 55 % e 70 %;</w:t>
            </w:r>
          </w:p>
        </w:tc>
      </w:tr>
      <w:tr w:rsidR="00702466" w14:paraId="39B76D72" w14:textId="77777777">
        <w:trPr>
          <w:trHeight w:val="354"/>
          <w:jc w:val="center"/>
        </w:trPr>
        <w:tc>
          <w:tcPr>
            <w:tcW w:w="2820" w:type="dxa"/>
            <w:tcBorders>
              <w:top w:val="nil"/>
              <w:left w:val="nil"/>
              <w:bottom w:val="single" w:sz="12" w:space="0" w:color="000000"/>
              <w:right w:val="nil"/>
            </w:tcBorders>
            <w:shd w:val="clear" w:color="auto" w:fill="FFFFFF"/>
            <w:tcMar>
              <w:top w:w="40" w:type="dxa"/>
              <w:left w:w="40" w:type="dxa"/>
              <w:bottom w:w="40" w:type="dxa"/>
              <w:right w:w="40" w:type="dxa"/>
            </w:tcMar>
            <w:vAlign w:val="bottom"/>
          </w:tcPr>
          <w:p w14:paraId="3DC0E35F" w14:textId="77777777" w:rsidR="00702466" w:rsidRDefault="0077271C">
            <w:pPr>
              <w:widowControl w:val="0"/>
              <w:spacing w:line="276" w:lineRule="auto"/>
              <w:jc w:val="left"/>
              <w:rPr>
                <w:rFonts w:ascii="Arial" w:eastAsia="Arial" w:hAnsi="Arial" w:cs="Arial"/>
                <w:sz w:val="18"/>
                <w:szCs w:val="18"/>
              </w:rPr>
            </w:pPr>
            <w:r>
              <w:rPr>
                <w:rFonts w:ascii="Arial" w:eastAsia="Arial" w:hAnsi="Arial" w:cs="Arial"/>
                <w:sz w:val="18"/>
                <w:szCs w:val="18"/>
              </w:rPr>
              <w:t xml:space="preserve">— </w:t>
            </w:r>
            <w:proofErr w:type="spellStart"/>
            <w:r>
              <w:rPr>
                <w:rFonts w:ascii="Arial" w:eastAsia="Arial" w:hAnsi="Arial" w:cs="Arial"/>
                <w:sz w:val="18"/>
                <w:szCs w:val="18"/>
              </w:rPr>
              <w:t>argila</w:t>
            </w:r>
            <w:proofErr w:type="spellEnd"/>
            <w:r>
              <w:rPr>
                <w:rFonts w:ascii="Arial" w:eastAsia="Arial" w:hAnsi="Arial" w:cs="Arial"/>
                <w:sz w:val="18"/>
                <w:szCs w:val="18"/>
              </w:rPr>
              <w:t>: entre 25 % e 35 %;</w:t>
            </w:r>
          </w:p>
        </w:tc>
        <w:tc>
          <w:tcPr>
            <w:tcW w:w="2682" w:type="dxa"/>
            <w:tcBorders>
              <w:top w:val="nil"/>
              <w:left w:val="nil"/>
              <w:bottom w:val="single" w:sz="12" w:space="0" w:color="000000"/>
              <w:right w:val="nil"/>
            </w:tcBorders>
            <w:shd w:val="clear" w:color="auto" w:fill="FFFFFF"/>
            <w:tcMar>
              <w:top w:w="40" w:type="dxa"/>
              <w:left w:w="40" w:type="dxa"/>
              <w:bottom w:w="40" w:type="dxa"/>
              <w:right w:w="40" w:type="dxa"/>
            </w:tcMar>
            <w:vAlign w:val="bottom"/>
          </w:tcPr>
          <w:p w14:paraId="2BDF89D5" w14:textId="77777777" w:rsidR="00702466" w:rsidRDefault="0077271C">
            <w:pPr>
              <w:widowControl w:val="0"/>
              <w:spacing w:line="276" w:lineRule="auto"/>
              <w:jc w:val="left"/>
              <w:rPr>
                <w:rFonts w:ascii="Arial" w:eastAsia="Arial" w:hAnsi="Arial" w:cs="Arial"/>
                <w:sz w:val="18"/>
                <w:szCs w:val="18"/>
              </w:rPr>
            </w:pPr>
            <w:r>
              <w:rPr>
                <w:rFonts w:ascii="Arial" w:eastAsia="Arial" w:hAnsi="Arial" w:cs="Arial"/>
                <w:sz w:val="18"/>
                <w:szCs w:val="18"/>
              </w:rPr>
              <w:t xml:space="preserve">— </w:t>
            </w:r>
            <w:proofErr w:type="spellStart"/>
            <w:r>
              <w:rPr>
                <w:rFonts w:ascii="Arial" w:eastAsia="Arial" w:hAnsi="Arial" w:cs="Arial"/>
                <w:sz w:val="18"/>
                <w:szCs w:val="18"/>
              </w:rPr>
              <w:t>argila</w:t>
            </w:r>
            <w:proofErr w:type="spellEnd"/>
            <w:r>
              <w:rPr>
                <w:rFonts w:ascii="Arial" w:eastAsia="Arial" w:hAnsi="Arial" w:cs="Arial"/>
                <w:sz w:val="18"/>
                <w:szCs w:val="18"/>
              </w:rPr>
              <w:t>: entre 10 % e 20 %;</w:t>
            </w:r>
          </w:p>
        </w:tc>
      </w:tr>
    </w:tbl>
    <w:p w14:paraId="4CEE89AD" w14:textId="77777777" w:rsidR="00702466" w:rsidRPr="00D644E2" w:rsidRDefault="0077271C">
      <w:pPr>
        <w:spacing w:after="240"/>
        <w:jc w:val="center"/>
        <w:rPr>
          <w:rFonts w:eastAsia="Arial"/>
          <w:sz w:val="18"/>
          <w:szCs w:val="18"/>
          <w:lang w:val="pt-BR"/>
        </w:rPr>
      </w:pPr>
      <w:r w:rsidRPr="00D644E2">
        <w:rPr>
          <w:rFonts w:eastAsia="Arial"/>
          <w:sz w:val="18"/>
          <w:szCs w:val="18"/>
          <w:lang w:val="pt-BR"/>
        </w:rPr>
        <w:t>Fonte: NBR16814 (ABNT, 2020) e E.080 (NTE, 2000)</w:t>
      </w:r>
    </w:p>
    <w:p w14:paraId="762494D3" w14:textId="7DF4CE89" w:rsidR="00702466" w:rsidRPr="005D2B08" w:rsidRDefault="0077271C">
      <w:pPr>
        <w:spacing w:after="120"/>
        <w:ind w:firstLine="284"/>
        <w:rPr>
          <w:lang w:val="pt-BR"/>
        </w:rPr>
      </w:pPr>
      <w:r w:rsidRPr="005D2B08">
        <w:rPr>
          <w:lang w:val="pt-BR"/>
        </w:rPr>
        <w:t xml:space="preserve">A norma peruana é mais antiga e consolidada no meio científico, Sánchez </w:t>
      </w:r>
      <w:r w:rsidRPr="005D2B08">
        <w:rPr>
          <w:i/>
          <w:lang w:val="pt-BR"/>
        </w:rPr>
        <w:t>et al.,</w:t>
      </w:r>
      <w:r w:rsidRPr="005D2B08">
        <w:rPr>
          <w:lang w:val="pt-BR"/>
        </w:rPr>
        <w:t xml:space="preserve"> (2022) apresentam que 44% dos artigos analisados usam a norma peruana como referência para produção de adobe. No entanto, não se pode descartar as características do solo, que possui teor elevado de caulinita, uma argila </w:t>
      </w:r>
      <w:r w:rsidR="000A0E10">
        <w:rPr>
          <w:lang w:val="pt-BR"/>
        </w:rPr>
        <w:t>de baixa atividade</w:t>
      </w:r>
      <w:r w:rsidRPr="005D2B08">
        <w:rPr>
          <w:lang w:val="pt-BR"/>
        </w:rPr>
        <w:t xml:space="preserve">. Por esses fatores, os valores da norma peruana foram usados como referência para a proporção granulométrica na produção dos adobe na nova etapa de análises. </w:t>
      </w:r>
    </w:p>
    <w:p w14:paraId="746E60D4" w14:textId="77777777" w:rsidR="00702466" w:rsidRPr="005D2B08" w:rsidRDefault="0077271C">
      <w:pPr>
        <w:spacing w:after="120"/>
        <w:ind w:firstLine="425"/>
        <w:rPr>
          <w:lang w:val="pt-BR"/>
        </w:rPr>
      </w:pPr>
      <w:r w:rsidRPr="005D2B08">
        <w:rPr>
          <w:lang w:val="pt-BR"/>
        </w:rPr>
        <w:lastRenderedPageBreak/>
        <w:t xml:space="preserve">Por conta do teor elevado de argila do solo, foi necessário acrescentar partículas arenosas à mistura, o solo de referência foi, portanto, misturado ao SRMF e, posteriormente, corrigido ainda com areia natural para que fossem atingidos os valores de areia e de argila observados na norma peruana. Em paralelo, foram moldados adobes com os mesmos teores de solo, SRMF e areia, e com adição de 2% de cal hidratada tipo CH-I, em massa (Tabela 3). </w:t>
      </w:r>
    </w:p>
    <w:p w14:paraId="4985A0B9" w14:textId="77777777" w:rsidR="00702466" w:rsidRPr="00D644E2" w:rsidRDefault="0077271C">
      <w:pPr>
        <w:spacing w:before="240" w:after="240"/>
        <w:jc w:val="center"/>
        <w:rPr>
          <w:rFonts w:eastAsia="Arial"/>
          <w:sz w:val="20"/>
          <w:szCs w:val="20"/>
          <w:lang w:val="pt-BR"/>
        </w:rPr>
      </w:pPr>
      <w:r w:rsidRPr="00D644E2">
        <w:rPr>
          <w:rFonts w:eastAsia="Arial"/>
          <w:bCs/>
          <w:sz w:val="20"/>
          <w:szCs w:val="20"/>
          <w:lang w:val="pt-BR"/>
        </w:rPr>
        <w:t>Tabela 3:</w:t>
      </w:r>
      <w:r w:rsidRPr="00D644E2">
        <w:rPr>
          <w:rFonts w:eastAsia="Arial"/>
          <w:b/>
          <w:sz w:val="20"/>
          <w:szCs w:val="20"/>
          <w:lang w:val="pt-BR"/>
        </w:rPr>
        <w:t xml:space="preserve"> </w:t>
      </w:r>
      <w:r w:rsidRPr="00D644E2">
        <w:rPr>
          <w:rFonts w:eastAsia="Arial"/>
          <w:sz w:val="20"/>
          <w:szCs w:val="20"/>
          <w:lang w:val="pt-BR"/>
        </w:rPr>
        <w:t>Proporção de areia e argila - normas de adobe brasileira e peruana</w:t>
      </w:r>
    </w:p>
    <w:tbl>
      <w:tblPr>
        <w:tblW w:w="0" w:type="dxa"/>
        <w:tblCellSpacing w:w="0" w:type="dxa"/>
        <w:tblCellMar>
          <w:left w:w="0" w:type="dxa"/>
          <w:right w:w="0" w:type="dxa"/>
        </w:tblCellMar>
        <w:tblLook w:val="04A0" w:firstRow="1" w:lastRow="0" w:firstColumn="1" w:lastColumn="0" w:noHBand="0" w:noVBand="1"/>
      </w:tblPr>
      <w:tblGrid>
        <w:gridCol w:w="826"/>
        <w:gridCol w:w="482"/>
        <w:gridCol w:w="601"/>
        <w:gridCol w:w="706"/>
        <w:gridCol w:w="1185"/>
        <w:gridCol w:w="1077"/>
        <w:gridCol w:w="1982"/>
        <w:gridCol w:w="1159"/>
        <w:gridCol w:w="1054"/>
      </w:tblGrid>
      <w:tr w:rsidR="004357F4" w:rsidRPr="00C050D0" w14:paraId="2C18705D" w14:textId="77777777" w:rsidTr="004357F4">
        <w:trPr>
          <w:trHeight w:val="420"/>
          <w:tblCellSpacing w:w="0" w:type="dxa"/>
        </w:trPr>
        <w:tc>
          <w:tcPr>
            <w:tcW w:w="0" w:type="auto"/>
            <w:gridSpan w:val="3"/>
            <w:tcBorders>
              <w:top w:val="single" w:sz="12" w:space="0" w:color="000000"/>
              <w:bottom w:val="single" w:sz="6" w:space="0" w:color="000000"/>
            </w:tcBorders>
            <w:tcMar>
              <w:top w:w="30" w:type="dxa"/>
              <w:left w:w="45" w:type="dxa"/>
              <w:bottom w:w="30" w:type="dxa"/>
              <w:right w:w="45" w:type="dxa"/>
            </w:tcMar>
            <w:vAlign w:val="center"/>
            <w:hideMark/>
          </w:tcPr>
          <w:p w14:paraId="1778F040" w14:textId="77777777" w:rsidR="004357F4" w:rsidRPr="004357F4" w:rsidRDefault="004357F4" w:rsidP="004357F4">
            <w:pPr>
              <w:jc w:val="center"/>
              <w:rPr>
                <w:rFonts w:ascii="Arial" w:hAnsi="Arial" w:cs="Arial"/>
                <w:b/>
                <w:bCs/>
                <w:sz w:val="16"/>
                <w:szCs w:val="16"/>
                <w:lang w:val="pt-BR"/>
              </w:rPr>
            </w:pPr>
            <w:r w:rsidRPr="004357F4">
              <w:rPr>
                <w:rFonts w:ascii="Arial" w:hAnsi="Arial" w:cs="Arial"/>
                <w:b/>
                <w:bCs/>
                <w:sz w:val="16"/>
                <w:szCs w:val="16"/>
                <w:lang w:val="pt-BR"/>
              </w:rPr>
              <w:t>Proporção dos materiais (%)</w:t>
            </w:r>
          </w:p>
        </w:tc>
        <w:tc>
          <w:tcPr>
            <w:tcW w:w="0" w:type="auto"/>
            <w:vMerge w:val="restart"/>
            <w:tcBorders>
              <w:top w:val="single" w:sz="12" w:space="0" w:color="000000"/>
              <w:bottom w:val="single" w:sz="12" w:space="0" w:color="000000"/>
            </w:tcBorders>
            <w:tcMar>
              <w:top w:w="30" w:type="dxa"/>
              <w:left w:w="45" w:type="dxa"/>
              <w:bottom w:w="30" w:type="dxa"/>
              <w:right w:w="45" w:type="dxa"/>
            </w:tcMar>
            <w:vAlign w:val="center"/>
            <w:hideMark/>
          </w:tcPr>
          <w:p w14:paraId="15A57869" w14:textId="77777777" w:rsidR="004357F4" w:rsidRPr="004357F4" w:rsidRDefault="004357F4" w:rsidP="004357F4">
            <w:pPr>
              <w:jc w:val="center"/>
              <w:rPr>
                <w:rFonts w:ascii="Arial" w:hAnsi="Arial" w:cs="Arial"/>
                <w:sz w:val="16"/>
                <w:szCs w:val="16"/>
                <w:lang w:val="pt-BR"/>
              </w:rPr>
            </w:pPr>
            <w:r w:rsidRPr="004357F4">
              <w:rPr>
                <w:rFonts w:ascii="Arial" w:hAnsi="Arial" w:cs="Arial"/>
                <w:b/>
                <w:bCs/>
                <w:sz w:val="16"/>
                <w:szCs w:val="16"/>
                <w:lang w:val="pt-BR"/>
              </w:rPr>
              <w:t>Teor de cal</w:t>
            </w:r>
            <w:r w:rsidRPr="004357F4">
              <w:rPr>
                <w:rFonts w:ascii="Arial" w:hAnsi="Arial" w:cs="Arial"/>
                <w:sz w:val="16"/>
                <w:szCs w:val="16"/>
                <w:lang w:val="pt-BR"/>
              </w:rPr>
              <w:t xml:space="preserve"> (%)</w:t>
            </w:r>
          </w:p>
        </w:tc>
        <w:tc>
          <w:tcPr>
            <w:tcW w:w="0" w:type="auto"/>
            <w:gridSpan w:val="2"/>
            <w:tcBorders>
              <w:top w:val="single" w:sz="12" w:space="0" w:color="000000"/>
              <w:bottom w:val="single" w:sz="6" w:space="0" w:color="000000"/>
            </w:tcBorders>
            <w:tcMar>
              <w:top w:w="30" w:type="dxa"/>
              <w:left w:w="45" w:type="dxa"/>
              <w:bottom w:w="30" w:type="dxa"/>
              <w:right w:w="45" w:type="dxa"/>
            </w:tcMar>
            <w:vAlign w:val="center"/>
            <w:hideMark/>
          </w:tcPr>
          <w:p w14:paraId="0808FE42" w14:textId="77777777" w:rsidR="004357F4" w:rsidRPr="004357F4" w:rsidRDefault="004357F4" w:rsidP="004357F4">
            <w:pPr>
              <w:jc w:val="center"/>
              <w:rPr>
                <w:rFonts w:ascii="Arial" w:hAnsi="Arial" w:cs="Arial"/>
                <w:b/>
                <w:bCs/>
                <w:sz w:val="16"/>
                <w:szCs w:val="16"/>
                <w:lang w:val="pt-BR"/>
              </w:rPr>
            </w:pPr>
            <w:r w:rsidRPr="004357F4">
              <w:rPr>
                <w:rFonts w:ascii="Arial" w:hAnsi="Arial" w:cs="Arial"/>
                <w:b/>
                <w:bCs/>
                <w:sz w:val="16"/>
                <w:szCs w:val="16"/>
                <w:lang w:val="pt-BR"/>
              </w:rPr>
              <w:t xml:space="preserve">Granulometria - </w:t>
            </w:r>
            <w:r w:rsidRPr="004357F4">
              <w:rPr>
                <w:rFonts w:ascii="Arial" w:hAnsi="Arial" w:cs="Arial"/>
                <w:b/>
                <w:bCs/>
                <w:i/>
                <w:iCs/>
                <w:sz w:val="16"/>
                <w:szCs w:val="16"/>
                <w:lang w:val="pt-BR"/>
              </w:rPr>
              <w:t>antes</w:t>
            </w:r>
            <w:r w:rsidRPr="004357F4">
              <w:rPr>
                <w:rFonts w:ascii="Arial" w:hAnsi="Arial" w:cs="Arial"/>
                <w:b/>
                <w:bCs/>
                <w:sz w:val="16"/>
                <w:szCs w:val="16"/>
                <w:lang w:val="pt-BR"/>
              </w:rPr>
              <w:t xml:space="preserve"> da correção com areia natural (%)</w:t>
            </w:r>
          </w:p>
        </w:tc>
        <w:tc>
          <w:tcPr>
            <w:tcW w:w="0" w:type="auto"/>
            <w:vMerge w:val="restart"/>
            <w:tcBorders>
              <w:top w:val="single" w:sz="12" w:space="0" w:color="000000"/>
              <w:bottom w:val="single" w:sz="12" w:space="0" w:color="000000"/>
            </w:tcBorders>
            <w:tcMar>
              <w:top w:w="30" w:type="dxa"/>
              <w:left w:w="45" w:type="dxa"/>
              <w:bottom w:w="30" w:type="dxa"/>
              <w:right w:w="45" w:type="dxa"/>
            </w:tcMar>
            <w:vAlign w:val="center"/>
            <w:hideMark/>
          </w:tcPr>
          <w:p w14:paraId="5C0EE099" w14:textId="77777777" w:rsidR="004357F4" w:rsidRPr="004357F4" w:rsidRDefault="004357F4" w:rsidP="004357F4">
            <w:pPr>
              <w:jc w:val="center"/>
              <w:rPr>
                <w:rFonts w:ascii="Arial" w:hAnsi="Arial" w:cs="Arial"/>
                <w:b/>
                <w:bCs/>
                <w:sz w:val="16"/>
                <w:szCs w:val="16"/>
                <w:lang w:val="pt-BR"/>
              </w:rPr>
            </w:pPr>
            <w:r w:rsidRPr="004357F4">
              <w:rPr>
                <w:rFonts w:ascii="Arial" w:hAnsi="Arial" w:cs="Arial"/>
                <w:b/>
                <w:bCs/>
                <w:sz w:val="16"/>
                <w:szCs w:val="16"/>
                <w:lang w:val="pt-BR"/>
              </w:rPr>
              <w:t>Areia natural para correção (em relação a 100% de solo)</w:t>
            </w:r>
          </w:p>
        </w:tc>
        <w:tc>
          <w:tcPr>
            <w:tcW w:w="0" w:type="auto"/>
            <w:gridSpan w:val="2"/>
            <w:tcBorders>
              <w:top w:val="single" w:sz="12" w:space="0" w:color="000000"/>
              <w:bottom w:val="single" w:sz="6" w:space="0" w:color="000000"/>
            </w:tcBorders>
            <w:tcMar>
              <w:top w:w="30" w:type="dxa"/>
              <w:left w:w="45" w:type="dxa"/>
              <w:bottom w:w="30" w:type="dxa"/>
              <w:right w:w="45" w:type="dxa"/>
            </w:tcMar>
            <w:vAlign w:val="center"/>
            <w:hideMark/>
          </w:tcPr>
          <w:p w14:paraId="41CB3762" w14:textId="77777777" w:rsidR="004357F4" w:rsidRPr="004357F4" w:rsidRDefault="004357F4" w:rsidP="004357F4">
            <w:pPr>
              <w:jc w:val="center"/>
              <w:rPr>
                <w:rFonts w:ascii="Arial" w:hAnsi="Arial" w:cs="Arial"/>
                <w:b/>
                <w:bCs/>
                <w:sz w:val="16"/>
                <w:szCs w:val="16"/>
                <w:lang w:val="pt-BR"/>
              </w:rPr>
            </w:pPr>
            <w:r w:rsidRPr="004357F4">
              <w:rPr>
                <w:rFonts w:ascii="Arial" w:hAnsi="Arial" w:cs="Arial"/>
                <w:b/>
                <w:bCs/>
                <w:sz w:val="16"/>
                <w:szCs w:val="16"/>
                <w:lang w:val="pt-BR"/>
              </w:rPr>
              <w:t xml:space="preserve">Granulometria - </w:t>
            </w:r>
            <w:r w:rsidRPr="004357F4">
              <w:rPr>
                <w:rFonts w:ascii="Arial" w:hAnsi="Arial" w:cs="Arial"/>
                <w:b/>
                <w:bCs/>
                <w:i/>
                <w:iCs/>
                <w:sz w:val="16"/>
                <w:szCs w:val="16"/>
                <w:lang w:val="pt-BR"/>
              </w:rPr>
              <w:t>após</w:t>
            </w:r>
            <w:r w:rsidRPr="004357F4">
              <w:rPr>
                <w:rFonts w:ascii="Arial" w:hAnsi="Arial" w:cs="Arial"/>
                <w:b/>
                <w:bCs/>
                <w:sz w:val="16"/>
                <w:szCs w:val="16"/>
                <w:lang w:val="pt-BR"/>
              </w:rPr>
              <w:t xml:space="preserve"> a correção com areia natural (%)</w:t>
            </w:r>
          </w:p>
        </w:tc>
      </w:tr>
      <w:tr w:rsidR="004357F4" w:rsidRPr="004357F4" w14:paraId="26016147" w14:textId="77777777" w:rsidTr="004357F4">
        <w:trPr>
          <w:trHeight w:val="420"/>
          <w:tblCellSpacing w:w="0" w:type="dxa"/>
        </w:trPr>
        <w:tc>
          <w:tcPr>
            <w:tcW w:w="0" w:type="auto"/>
            <w:tcBorders>
              <w:bottom w:val="single" w:sz="12" w:space="0" w:color="000000"/>
            </w:tcBorders>
            <w:tcMar>
              <w:top w:w="30" w:type="dxa"/>
              <w:left w:w="45" w:type="dxa"/>
              <w:bottom w:w="30" w:type="dxa"/>
              <w:right w:w="45" w:type="dxa"/>
            </w:tcMar>
            <w:vAlign w:val="center"/>
            <w:hideMark/>
          </w:tcPr>
          <w:p w14:paraId="409B5762" w14:textId="77777777" w:rsidR="004357F4" w:rsidRPr="004357F4" w:rsidRDefault="004357F4" w:rsidP="004357F4">
            <w:pPr>
              <w:jc w:val="center"/>
              <w:rPr>
                <w:rFonts w:ascii="Arial" w:hAnsi="Arial" w:cs="Arial"/>
                <w:b/>
                <w:bCs/>
                <w:sz w:val="16"/>
                <w:szCs w:val="16"/>
                <w:lang w:val="pt-BR"/>
              </w:rPr>
            </w:pPr>
            <w:r w:rsidRPr="004357F4">
              <w:rPr>
                <w:rFonts w:ascii="Arial" w:hAnsi="Arial" w:cs="Arial"/>
                <w:b/>
                <w:bCs/>
                <w:sz w:val="16"/>
                <w:szCs w:val="16"/>
                <w:lang w:val="pt-BR"/>
              </w:rPr>
              <w:t>Misturas</w:t>
            </w:r>
          </w:p>
        </w:tc>
        <w:tc>
          <w:tcPr>
            <w:tcW w:w="0" w:type="auto"/>
            <w:tcBorders>
              <w:bottom w:val="single" w:sz="12" w:space="0" w:color="000000"/>
            </w:tcBorders>
            <w:tcMar>
              <w:top w:w="30" w:type="dxa"/>
              <w:left w:w="45" w:type="dxa"/>
              <w:bottom w:w="30" w:type="dxa"/>
              <w:right w:w="45" w:type="dxa"/>
            </w:tcMar>
            <w:vAlign w:val="center"/>
            <w:hideMark/>
          </w:tcPr>
          <w:p w14:paraId="22741BE7" w14:textId="77777777" w:rsidR="004357F4" w:rsidRPr="004357F4" w:rsidRDefault="004357F4" w:rsidP="004357F4">
            <w:pPr>
              <w:jc w:val="center"/>
              <w:rPr>
                <w:rFonts w:ascii="Arial" w:hAnsi="Arial" w:cs="Arial"/>
                <w:b/>
                <w:bCs/>
                <w:sz w:val="16"/>
                <w:szCs w:val="16"/>
                <w:lang w:val="pt-BR"/>
              </w:rPr>
            </w:pPr>
            <w:r w:rsidRPr="004357F4">
              <w:rPr>
                <w:rFonts w:ascii="Arial" w:hAnsi="Arial" w:cs="Arial"/>
                <w:b/>
                <w:bCs/>
                <w:sz w:val="16"/>
                <w:szCs w:val="16"/>
                <w:lang w:val="pt-BR"/>
              </w:rPr>
              <w:t>Solo</w:t>
            </w:r>
          </w:p>
        </w:tc>
        <w:tc>
          <w:tcPr>
            <w:tcW w:w="0" w:type="auto"/>
            <w:tcBorders>
              <w:bottom w:val="single" w:sz="12" w:space="0" w:color="000000"/>
            </w:tcBorders>
            <w:tcMar>
              <w:top w:w="30" w:type="dxa"/>
              <w:left w:w="45" w:type="dxa"/>
              <w:bottom w:w="30" w:type="dxa"/>
              <w:right w:w="45" w:type="dxa"/>
            </w:tcMar>
            <w:vAlign w:val="center"/>
            <w:hideMark/>
          </w:tcPr>
          <w:p w14:paraId="5B5F2377" w14:textId="77777777" w:rsidR="004357F4" w:rsidRPr="004357F4" w:rsidRDefault="004357F4" w:rsidP="004357F4">
            <w:pPr>
              <w:jc w:val="center"/>
              <w:rPr>
                <w:rFonts w:ascii="Arial" w:hAnsi="Arial" w:cs="Arial"/>
                <w:b/>
                <w:bCs/>
                <w:sz w:val="16"/>
                <w:szCs w:val="16"/>
                <w:lang w:val="pt-BR"/>
              </w:rPr>
            </w:pPr>
            <w:r w:rsidRPr="004357F4">
              <w:rPr>
                <w:rFonts w:ascii="Arial" w:hAnsi="Arial" w:cs="Arial"/>
                <w:b/>
                <w:bCs/>
                <w:sz w:val="16"/>
                <w:szCs w:val="16"/>
                <w:lang w:val="pt-BR"/>
              </w:rPr>
              <w:t>SRMF</w:t>
            </w:r>
          </w:p>
        </w:tc>
        <w:tc>
          <w:tcPr>
            <w:tcW w:w="0" w:type="auto"/>
            <w:vMerge/>
            <w:tcBorders>
              <w:top w:val="single" w:sz="12" w:space="0" w:color="000000"/>
              <w:bottom w:val="single" w:sz="12" w:space="0" w:color="000000"/>
            </w:tcBorders>
            <w:vAlign w:val="center"/>
            <w:hideMark/>
          </w:tcPr>
          <w:p w14:paraId="6BE06F0F" w14:textId="77777777" w:rsidR="004357F4" w:rsidRPr="004357F4" w:rsidRDefault="004357F4" w:rsidP="004357F4">
            <w:pPr>
              <w:jc w:val="left"/>
              <w:rPr>
                <w:rFonts w:ascii="Arial" w:hAnsi="Arial" w:cs="Arial"/>
                <w:sz w:val="16"/>
                <w:szCs w:val="16"/>
                <w:lang w:val="pt-BR"/>
              </w:rPr>
            </w:pPr>
          </w:p>
        </w:tc>
        <w:tc>
          <w:tcPr>
            <w:tcW w:w="0" w:type="auto"/>
            <w:tcBorders>
              <w:bottom w:val="single" w:sz="12" w:space="0" w:color="000000"/>
            </w:tcBorders>
            <w:tcMar>
              <w:top w:w="30" w:type="dxa"/>
              <w:left w:w="45" w:type="dxa"/>
              <w:bottom w:w="30" w:type="dxa"/>
              <w:right w:w="45" w:type="dxa"/>
            </w:tcMar>
            <w:vAlign w:val="center"/>
            <w:hideMark/>
          </w:tcPr>
          <w:p w14:paraId="1C1182B2" w14:textId="77777777" w:rsidR="004357F4" w:rsidRPr="004357F4" w:rsidRDefault="004357F4" w:rsidP="004357F4">
            <w:pPr>
              <w:jc w:val="center"/>
              <w:rPr>
                <w:rFonts w:ascii="Arial" w:hAnsi="Arial" w:cs="Arial"/>
                <w:b/>
                <w:bCs/>
                <w:sz w:val="16"/>
                <w:szCs w:val="16"/>
                <w:lang w:val="pt-BR"/>
              </w:rPr>
            </w:pPr>
            <w:r w:rsidRPr="004357F4">
              <w:rPr>
                <w:rFonts w:ascii="Arial" w:hAnsi="Arial" w:cs="Arial"/>
                <w:b/>
                <w:bCs/>
                <w:sz w:val="16"/>
                <w:szCs w:val="16"/>
                <w:lang w:val="pt-BR"/>
              </w:rPr>
              <w:t>% argila</w:t>
            </w:r>
          </w:p>
        </w:tc>
        <w:tc>
          <w:tcPr>
            <w:tcW w:w="0" w:type="auto"/>
            <w:tcBorders>
              <w:bottom w:val="single" w:sz="12" w:space="0" w:color="000000"/>
            </w:tcBorders>
            <w:tcMar>
              <w:top w:w="30" w:type="dxa"/>
              <w:left w:w="45" w:type="dxa"/>
              <w:bottom w:w="30" w:type="dxa"/>
              <w:right w:w="45" w:type="dxa"/>
            </w:tcMar>
            <w:vAlign w:val="center"/>
            <w:hideMark/>
          </w:tcPr>
          <w:p w14:paraId="66CF9E09" w14:textId="77777777" w:rsidR="004357F4" w:rsidRPr="004357F4" w:rsidRDefault="004357F4" w:rsidP="004357F4">
            <w:pPr>
              <w:jc w:val="center"/>
              <w:rPr>
                <w:rFonts w:ascii="Arial" w:hAnsi="Arial" w:cs="Arial"/>
                <w:b/>
                <w:bCs/>
                <w:sz w:val="16"/>
                <w:szCs w:val="16"/>
                <w:lang w:val="pt-BR"/>
              </w:rPr>
            </w:pPr>
            <w:r w:rsidRPr="004357F4">
              <w:rPr>
                <w:rFonts w:ascii="Arial" w:hAnsi="Arial" w:cs="Arial"/>
                <w:b/>
                <w:bCs/>
                <w:sz w:val="16"/>
                <w:szCs w:val="16"/>
                <w:lang w:val="pt-BR"/>
              </w:rPr>
              <w:t>% areia</w:t>
            </w:r>
          </w:p>
        </w:tc>
        <w:tc>
          <w:tcPr>
            <w:tcW w:w="0" w:type="auto"/>
            <w:vMerge/>
            <w:tcBorders>
              <w:top w:val="single" w:sz="12" w:space="0" w:color="000000"/>
              <w:bottom w:val="single" w:sz="12" w:space="0" w:color="000000"/>
            </w:tcBorders>
            <w:vAlign w:val="center"/>
            <w:hideMark/>
          </w:tcPr>
          <w:p w14:paraId="45EEA206" w14:textId="77777777" w:rsidR="004357F4" w:rsidRPr="004357F4" w:rsidRDefault="004357F4" w:rsidP="004357F4">
            <w:pPr>
              <w:jc w:val="left"/>
              <w:rPr>
                <w:rFonts w:ascii="Arial" w:hAnsi="Arial" w:cs="Arial"/>
                <w:b/>
                <w:bCs/>
                <w:sz w:val="16"/>
                <w:szCs w:val="16"/>
                <w:lang w:val="pt-BR"/>
              </w:rPr>
            </w:pPr>
          </w:p>
        </w:tc>
        <w:tc>
          <w:tcPr>
            <w:tcW w:w="0" w:type="auto"/>
            <w:tcBorders>
              <w:bottom w:val="single" w:sz="12" w:space="0" w:color="000000"/>
            </w:tcBorders>
            <w:tcMar>
              <w:top w:w="30" w:type="dxa"/>
              <w:left w:w="45" w:type="dxa"/>
              <w:bottom w:w="30" w:type="dxa"/>
              <w:right w:w="45" w:type="dxa"/>
            </w:tcMar>
            <w:vAlign w:val="center"/>
            <w:hideMark/>
          </w:tcPr>
          <w:p w14:paraId="6ECAA974" w14:textId="77777777" w:rsidR="004357F4" w:rsidRPr="004357F4" w:rsidRDefault="004357F4" w:rsidP="004357F4">
            <w:pPr>
              <w:jc w:val="center"/>
              <w:rPr>
                <w:rFonts w:ascii="Arial" w:hAnsi="Arial" w:cs="Arial"/>
                <w:b/>
                <w:bCs/>
                <w:sz w:val="16"/>
                <w:szCs w:val="16"/>
                <w:lang w:val="pt-BR"/>
              </w:rPr>
            </w:pPr>
            <w:r w:rsidRPr="004357F4">
              <w:rPr>
                <w:rFonts w:ascii="Arial" w:hAnsi="Arial" w:cs="Arial"/>
                <w:b/>
                <w:bCs/>
                <w:sz w:val="16"/>
                <w:szCs w:val="16"/>
                <w:lang w:val="pt-BR"/>
              </w:rPr>
              <w:t>% argila</w:t>
            </w:r>
          </w:p>
        </w:tc>
        <w:tc>
          <w:tcPr>
            <w:tcW w:w="0" w:type="auto"/>
            <w:tcBorders>
              <w:bottom w:val="single" w:sz="12" w:space="0" w:color="000000"/>
            </w:tcBorders>
            <w:tcMar>
              <w:top w:w="30" w:type="dxa"/>
              <w:left w:w="45" w:type="dxa"/>
              <w:bottom w:w="30" w:type="dxa"/>
              <w:right w:w="45" w:type="dxa"/>
            </w:tcMar>
            <w:vAlign w:val="center"/>
            <w:hideMark/>
          </w:tcPr>
          <w:p w14:paraId="6FD3A8D8" w14:textId="77777777" w:rsidR="004357F4" w:rsidRPr="004357F4" w:rsidRDefault="004357F4" w:rsidP="004357F4">
            <w:pPr>
              <w:jc w:val="center"/>
              <w:rPr>
                <w:rFonts w:ascii="Arial" w:hAnsi="Arial" w:cs="Arial"/>
                <w:b/>
                <w:bCs/>
                <w:sz w:val="16"/>
                <w:szCs w:val="16"/>
                <w:lang w:val="pt-BR"/>
              </w:rPr>
            </w:pPr>
            <w:r w:rsidRPr="004357F4">
              <w:rPr>
                <w:rFonts w:ascii="Arial" w:hAnsi="Arial" w:cs="Arial"/>
                <w:b/>
                <w:bCs/>
                <w:sz w:val="16"/>
                <w:szCs w:val="16"/>
                <w:lang w:val="pt-BR"/>
              </w:rPr>
              <w:t>% areia</w:t>
            </w:r>
          </w:p>
        </w:tc>
      </w:tr>
      <w:tr w:rsidR="004357F4" w:rsidRPr="004357F4" w14:paraId="4F366F7E" w14:textId="77777777" w:rsidTr="004357F4">
        <w:trPr>
          <w:trHeight w:val="345"/>
          <w:tblCellSpacing w:w="0" w:type="dxa"/>
        </w:trPr>
        <w:tc>
          <w:tcPr>
            <w:tcW w:w="0" w:type="auto"/>
            <w:tcMar>
              <w:top w:w="30" w:type="dxa"/>
              <w:left w:w="45" w:type="dxa"/>
              <w:bottom w:w="30" w:type="dxa"/>
              <w:right w:w="45" w:type="dxa"/>
            </w:tcMar>
            <w:vAlign w:val="center"/>
            <w:hideMark/>
          </w:tcPr>
          <w:p w14:paraId="1DFDAF8C" w14:textId="77777777" w:rsidR="004357F4" w:rsidRPr="004357F4" w:rsidRDefault="004357F4" w:rsidP="004357F4">
            <w:pPr>
              <w:jc w:val="center"/>
              <w:rPr>
                <w:rFonts w:ascii="Arial" w:hAnsi="Arial" w:cs="Arial"/>
                <w:b/>
                <w:bCs/>
                <w:sz w:val="16"/>
                <w:szCs w:val="16"/>
                <w:lang w:val="pt-BR"/>
              </w:rPr>
            </w:pPr>
            <w:r w:rsidRPr="004357F4">
              <w:rPr>
                <w:rFonts w:ascii="Arial" w:hAnsi="Arial" w:cs="Arial"/>
                <w:b/>
                <w:bCs/>
                <w:sz w:val="16"/>
                <w:szCs w:val="16"/>
                <w:lang w:val="pt-BR"/>
              </w:rPr>
              <w:t>REF</w:t>
            </w:r>
          </w:p>
        </w:tc>
        <w:tc>
          <w:tcPr>
            <w:tcW w:w="0" w:type="auto"/>
            <w:tcMar>
              <w:top w:w="30" w:type="dxa"/>
              <w:left w:w="45" w:type="dxa"/>
              <w:bottom w:w="30" w:type="dxa"/>
              <w:right w:w="45" w:type="dxa"/>
            </w:tcMar>
            <w:vAlign w:val="center"/>
            <w:hideMark/>
          </w:tcPr>
          <w:p w14:paraId="28443DAA" w14:textId="77777777" w:rsidR="004357F4" w:rsidRPr="004357F4" w:rsidRDefault="004357F4" w:rsidP="004357F4">
            <w:pPr>
              <w:jc w:val="center"/>
              <w:rPr>
                <w:rFonts w:ascii="Arial" w:hAnsi="Arial" w:cs="Arial"/>
                <w:sz w:val="16"/>
                <w:szCs w:val="16"/>
                <w:lang w:val="pt-BR"/>
              </w:rPr>
            </w:pPr>
            <w:r w:rsidRPr="004357F4">
              <w:rPr>
                <w:rFonts w:ascii="Arial" w:hAnsi="Arial" w:cs="Arial"/>
                <w:sz w:val="16"/>
                <w:szCs w:val="16"/>
                <w:lang w:val="pt-BR"/>
              </w:rPr>
              <w:t>100</w:t>
            </w:r>
          </w:p>
        </w:tc>
        <w:tc>
          <w:tcPr>
            <w:tcW w:w="0" w:type="auto"/>
            <w:tcMar>
              <w:top w:w="30" w:type="dxa"/>
              <w:left w:w="45" w:type="dxa"/>
              <w:bottom w:w="30" w:type="dxa"/>
              <w:right w:w="45" w:type="dxa"/>
            </w:tcMar>
            <w:vAlign w:val="center"/>
            <w:hideMark/>
          </w:tcPr>
          <w:p w14:paraId="5CFE7840" w14:textId="77777777" w:rsidR="004357F4" w:rsidRPr="004357F4" w:rsidRDefault="004357F4" w:rsidP="004357F4">
            <w:pPr>
              <w:jc w:val="center"/>
              <w:rPr>
                <w:rFonts w:ascii="Arial" w:hAnsi="Arial" w:cs="Arial"/>
                <w:sz w:val="16"/>
                <w:szCs w:val="16"/>
                <w:lang w:val="pt-BR"/>
              </w:rPr>
            </w:pPr>
            <w:r w:rsidRPr="004357F4">
              <w:rPr>
                <w:rFonts w:ascii="Arial" w:hAnsi="Arial" w:cs="Arial"/>
                <w:sz w:val="16"/>
                <w:szCs w:val="16"/>
                <w:lang w:val="pt-BR"/>
              </w:rPr>
              <w:t>0</w:t>
            </w:r>
          </w:p>
        </w:tc>
        <w:tc>
          <w:tcPr>
            <w:tcW w:w="0" w:type="auto"/>
            <w:vMerge w:val="restart"/>
            <w:tcBorders>
              <w:bottom w:val="single" w:sz="6" w:space="0" w:color="000000"/>
            </w:tcBorders>
            <w:tcMar>
              <w:top w:w="30" w:type="dxa"/>
              <w:left w:w="45" w:type="dxa"/>
              <w:bottom w:w="30" w:type="dxa"/>
              <w:right w:w="45" w:type="dxa"/>
            </w:tcMar>
            <w:vAlign w:val="center"/>
            <w:hideMark/>
          </w:tcPr>
          <w:p w14:paraId="295812C2" w14:textId="77777777" w:rsidR="004357F4" w:rsidRPr="004357F4" w:rsidRDefault="004357F4" w:rsidP="004357F4">
            <w:pPr>
              <w:jc w:val="center"/>
              <w:rPr>
                <w:rFonts w:ascii="Arial" w:hAnsi="Arial" w:cs="Arial"/>
                <w:sz w:val="16"/>
                <w:szCs w:val="16"/>
                <w:lang w:val="pt-BR"/>
              </w:rPr>
            </w:pPr>
            <w:r w:rsidRPr="004357F4">
              <w:rPr>
                <w:rFonts w:ascii="Arial" w:hAnsi="Arial" w:cs="Arial"/>
                <w:sz w:val="16"/>
                <w:szCs w:val="16"/>
                <w:lang w:val="pt-BR"/>
              </w:rPr>
              <w:t>0,00</w:t>
            </w:r>
          </w:p>
        </w:tc>
        <w:tc>
          <w:tcPr>
            <w:tcW w:w="0" w:type="auto"/>
            <w:tcMar>
              <w:top w:w="30" w:type="dxa"/>
              <w:left w:w="45" w:type="dxa"/>
              <w:bottom w:w="30" w:type="dxa"/>
              <w:right w:w="45" w:type="dxa"/>
            </w:tcMar>
            <w:vAlign w:val="center"/>
            <w:hideMark/>
          </w:tcPr>
          <w:p w14:paraId="32D45858" w14:textId="77777777" w:rsidR="004357F4" w:rsidRPr="004357F4" w:rsidRDefault="004357F4" w:rsidP="004357F4">
            <w:pPr>
              <w:jc w:val="center"/>
              <w:rPr>
                <w:rFonts w:ascii="Arial" w:hAnsi="Arial" w:cs="Arial"/>
                <w:sz w:val="16"/>
                <w:szCs w:val="16"/>
                <w:lang w:val="pt-BR"/>
              </w:rPr>
            </w:pPr>
            <w:r w:rsidRPr="004357F4">
              <w:rPr>
                <w:rFonts w:ascii="Arial" w:hAnsi="Arial" w:cs="Arial"/>
                <w:sz w:val="16"/>
                <w:szCs w:val="16"/>
                <w:lang w:val="pt-BR"/>
              </w:rPr>
              <w:t>55,50</w:t>
            </w:r>
          </w:p>
        </w:tc>
        <w:tc>
          <w:tcPr>
            <w:tcW w:w="0" w:type="auto"/>
            <w:tcMar>
              <w:top w:w="30" w:type="dxa"/>
              <w:left w:w="45" w:type="dxa"/>
              <w:bottom w:w="30" w:type="dxa"/>
              <w:right w:w="45" w:type="dxa"/>
            </w:tcMar>
            <w:vAlign w:val="center"/>
            <w:hideMark/>
          </w:tcPr>
          <w:p w14:paraId="174E06D5" w14:textId="77777777" w:rsidR="004357F4" w:rsidRPr="004357F4" w:rsidRDefault="004357F4" w:rsidP="004357F4">
            <w:pPr>
              <w:jc w:val="center"/>
              <w:rPr>
                <w:rFonts w:ascii="Arial" w:hAnsi="Arial" w:cs="Arial"/>
                <w:sz w:val="16"/>
                <w:szCs w:val="16"/>
                <w:lang w:val="pt-BR"/>
              </w:rPr>
            </w:pPr>
            <w:r w:rsidRPr="004357F4">
              <w:rPr>
                <w:rFonts w:ascii="Arial" w:hAnsi="Arial" w:cs="Arial"/>
                <w:sz w:val="16"/>
                <w:szCs w:val="16"/>
                <w:lang w:val="pt-BR"/>
              </w:rPr>
              <w:t>28,00</w:t>
            </w:r>
          </w:p>
        </w:tc>
        <w:tc>
          <w:tcPr>
            <w:tcW w:w="0" w:type="auto"/>
            <w:tcMar>
              <w:top w:w="30" w:type="dxa"/>
              <w:left w:w="45" w:type="dxa"/>
              <w:bottom w:w="30" w:type="dxa"/>
              <w:right w:w="45" w:type="dxa"/>
            </w:tcMar>
            <w:vAlign w:val="center"/>
            <w:hideMark/>
          </w:tcPr>
          <w:p w14:paraId="2768CB35" w14:textId="77777777" w:rsidR="004357F4" w:rsidRPr="004357F4" w:rsidRDefault="004357F4" w:rsidP="004357F4">
            <w:pPr>
              <w:jc w:val="center"/>
              <w:rPr>
                <w:rFonts w:ascii="Arial" w:hAnsi="Arial" w:cs="Arial"/>
                <w:sz w:val="16"/>
                <w:szCs w:val="16"/>
                <w:lang w:val="pt-BR"/>
              </w:rPr>
            </w:pPr>
            <w:r w:rsidRPr="004357F4">
              <w:rPr>
                <w:rFonts w:ascii="Arial" w:hAnsi="Arial" w:cs="Arial"/>
                <w:sz w:val="16"/>
                <w:szCs w:val="16"/>
                <w:lang w:val="pt-BR"/>
              </w:rPr>
              <w:t>1,40</w:t>
            </w:r>
          </w:p>
        </w:tc>
        <w:tc>
          <w:tcPr>
            <w:tcW w:w="0" w:type="auto"/>
            <w:tcMar>
              <w:top w:w="30" w:type="dxa"/>
              <w:left w:w="45" w:type="dxa"/>
              <w:bottom w:w="30" w:type="dxa"/>
              <w:right w:w="45" w:type="dxa"/>
            </w:tcMar>
            <w:vAlign w:val="center"/>
            <w:hideMark/>
          </w:tcPr>
          <w:p w14:paraId="7A488213" w14:textId="77777777" w:rsidR="004357F4" w:rsidRPr="004357F4" w:rsidRDefault="004357F4" w:rsidP="004357F4">
            <w:pPr>
              <w:jc w:val="center"/>
              <w:rPr>
                <w:rFonts w:ascii="Arial" w:hAnsi="Arial" w:cs="Arial"/>
                <w:sz w:val="16"/>
                <w:szCs w:val="16"/>
                <w:lang w:val="pt-BR"/>
              </w:rPr>
            </w:pPr>
            <w:r w:rsidRPr="004357F4">
              <w:rPr>
                <w:rFonts w:ascii="Arial" w:hAnsi="Arial" w:cs="Arial"/>
                <w:sz w:val="16"/>
                <w:szCs w:val="16"/>
                <w:lang w:val="pt-BR"/>
              </w:rPr>
              <w:t>23,13</w:t>
            </w:r>
          </w:p>
        </w:tc>
        <w:tc>
          <w:tcPr>
            <w:tcW w:w="0" w:type="auto"/>
            <w:tcMar>
              <w:top w:w="30" w:type="dxa"/>
              <w:left w:w="45" w:type="dxa"/>
              <w:bottom w:w="30" w:type="dxa"/>
              <w:right w:w="45" w:type="dxa"/>
            </w:tcMar>
            <w:vAlign w:val="center"/>
            <w:hideMark/>
          </w:tcPr>
          <w:p w14:paraId="4AB2FA3A" w14:textId="77777777" w:rsidR="004357F4" w:rsidRPr="004357F4" w:rsidRDefault="004357F4" w:rsidP="004357F4">
            <w:pPr>
              <w:jc w:val="center"/>
              <w:rPr>
                <w:rFonts w:ascii="Arial" w:hAnsi="Arial" w:cs="Arial"/>
                <w:sz w:val="16"/>
                <w:szCs w:val="16"/>
                <w:lang w:val="pt-BR"/>
              </w:rPr>
            </w:pPr>
            <w:r w:rsidRPr="004357F4">
              <w:rPr>
                <w:rFonts w:ascii="Arial" w:hAnsi="Arial" w:cs="Arial"/>
                <w:sz w:val="16"/>
                <w:szCs w:val="16"/>
                <w:lang w:val="pt-BR"/>
              </w:rPr>
              <w:t>70,00</w:t>
            </w:r>
          </w:p>
        </w:tc>
      </w:tr>
      <w:tr w:rsidR="004357F4" w:rsidRPr="004357F4" w14:paraId="6E2EB713" w14:textId="77777777" w:rsidTr="004357F4">
        <w:trPr>
          <w:trHeight w:val="345"/>
          <w:tblCellSpacing w:w="0" w:type="dxa"/>
        </w:trPr>
        <w:tc>
          <w:tcPr>
            <w:tcW w:w="0" w:type="auto"/>
            <w:shd w:val="clear" w:color="auto" w:fill="FFFFFF"/>
            <w:tcMar>
              <w:top w:w="30" w:type="dxa"/>
              <w:left w:w="45" w:type="dxa"/>
              <w:bottom w:w="30" w:type="dxa"/>
              <w:right w:w="45" w:type="dxa"/>
            </w:tcMar>
            <w:vAlign w:val="center"/>
            <w:hideMark/>
          </w:tcPr>
          <w:p w14:paraId="7660083E" w14:textId="77777777" w:rsidR="004357F4" w:rsidRPr="004357F4" w:rsidRDefault="004357F4" w:rsidP="004357F4">
            <w:pPr>
              <w:jc w:val="center"/>
              <w:rPr>
                <w:rFonts w:ascii="Arial" w:hAnsi="Arial" w:cs="Arial"/>
                <w:b/>
                <w:bCs/>
                <w:sz w:val="16"/>
                <w:szCs w:val="16"/>
                <w:lang w:val="pt-BR"/>
              </w:rPr>
            </w:pPr>
            <w:r w:rsidRPr="004357F4">
              <w:rPr>
                <w:rFonts w:ascii="Arial" w:hAnsi="Arial" w:cs="Arial"/>
                <w:b/>
                <w:bCs/>
                <w:sz w:val="16"/>
                <w:szCs w:val="16"/>
                <w:lang w:val="pt-BR"/>
              </w:rPr>
              <w:t>BL-50</w:t>
            </w:r>
          </w:p>
        </w:tc>
        <w:tc>
          <w:tcPr>
            <w:tcW w:w="0" w:type="auto"/>
            <w:shd w:val="clear" w:color="auto" w:fill="FFFFFF"/>
            <w:tcMar>
              <w:top w:w="30" w:type="dxa"/>
              <w:left w:w="45" w:type="dxa"/>
              <w:bottom w:w="30" w:type="dxa"/>
              <w:right w:w="45" w:type="dxa"/>
            </w:tcMar>
            <w:vAlign w:val="center"/>
            <w:hideMark/>
          </w:tcPr>
          <w:p w14:paraId="5D2919B3" w14:textId="77777777" w:rsidR="004357F4" w:rsidRPr="004357F4" w:rsidRDefault="004357F4" w:rsidP="004357F4">
            <w:pPr>
              <w:jc w:val="center"/>
              <w:rPr>
                <w:rFonts w:ascii="Arial" w:hAnsi="Arial" w:cs="Arial"/>
                <w:sz w:val="16"/>
                <w:szCs w:val="16"/>
                <w:lang w:val="pt-BR"/>
              </w:rPr>
            </w:pPr>
            <w:r w:rsidRPr="004357F4">
              <w:rPr>
                <w:rFonts w:ascii="Arial" w:hAnsi="Arial" w:cs="Arial"/>
                <w:sz w:val="16"/>
                <w:szCs w:val="16"/>
                <w:lang w:val="pt-BR"/>
              </w:rPr>
              <w:t>50</w:t>
            </w:r>
          </w:p>
        </w:tc>
        <w:tc>
          <w:tcPr>
            <w:tcW w:w="0" w:type="auto"/>
            <w:shd w:val="clear" w:color="auto" w:fill="FFFFFF"/>
            <w:tcMar>
              <w:top w:w="30" w:type="dxa"/>
              <w:left w:w="45" w:type="dxa"/>
              <w:bottom w:w="30" w:type="dxa"/>
              <w:right w:w="45" w:type="dxa"/>
            </w:tcMar>
            <w:vAlign w:val="center"/>
            <w:hideMark/>
          </w:tcPr>
          <w:p w14:paraId="0CCBC684" w14:textId="77777777" w:rsidR="004357F4" w:rsidRPr="004357F4" w:rsidRDefault="004357F4" w:rsidP="004357F4">
            <w:pPr>
              <w:jc w:val="center"/>
              <w:rPr>
                <w:rFonts w:ascii="Arial" w:hAnsi="Arial" w:cs="Arial"/>
                <w:sz w:val="16"/>
                <w:szCs w:val="16"/>
                <w:lang w:val="pt-BR"/>
              </w:rPr>
            </w:pPr>
            <w:r w:rsidRPr="004357F4">
              <w:rPr>
                <w:rFonts w:ascii="Arial" w:hAnsi="Arial" w:cs="Arial"/>
                <w:sz w:val="16"/>
                <w:szCs w:val="16"/>
                <w:lang w:val="pt-BR"/>
              </w:rPr>
              <w:t>50</w:t>
            </w:r>
          </w:p>
        </w:tc>
        <w:tc>
          <w:tcPr>
            <w:tcW w:w="0" w:type="auto"/>
            <w:vMerge/>
            <w:tcBorders>
              <w:bottom w:val="single" w:sz="6" w:space="0" w:color="000000"/>
            </w:tcBorders>
            <w:vAlign w:val="center"/>
            <w:hideMark/>
          </w:tcPr>
          <w:p w14:paraId="008B6B4E" w14:textId="77777777" w:rsidR="004357F4" w:rsidRPr="004357F4" w:rsidRDefault="004357F4" w:rsidP="004357F4">
            <w:pPr>
              <w:jc w:val="left"/>
              <w:rPr>
                <w:rFonts w:ascii="Arial" w:hAnsi="Arial" w:cs="Arial"/>
                <w:sz w:val="16"/>
                <w:szCs w:val="16"/>
                <w:lang w:val="pt-BR"/>
              </w:rPr>
            </w:pPr>
          </w:p>
        </w:tc>
        <w:tc>
          <w:tcPr>
            <w:tcW w:w="0" w:type="auto"/>
            <w:shd w:val="clear" w:color="auto" w:fill="FFFFFF"/>
            <w:tcMar>
              <w:top w:w="30" w:type="dxa"/>
              <w:left w:w="45" w:type="dxa"/>
              <w:bottom w:w="30" w:type="dxa"/>
              <w:right w:w="45" w:type="dxa"/>
            </w:tcMar>
            <w:vAlign w:val="center"/>
            <w:hideMark/>
          </w:tcPr>
          <w:p w14:paraId="7FA04F65" w14:textId="77777777" w:rsidR="004357F4" w:rsidRPr="004357F4" w:rsidRDefault="004357F4" w:rsidP="004357F4">
            <w:pPr>
              <w:jc w:val="center"/>
              <w:rPr>
                <w:rFonts w:ascii="Arial" w:hAnsi="Arial" w:cs="Arial"/>
                <w:sz w:val="16"/>
                <w:szCs w:val="16"/>
                <w:lang w:val="pt-BR"/>
              </w:rPr>
            </w:pPr>
            <w:r w:rsidRPr="004357F4">
              <w:rPr>
                <w:rFonts w:ascii="Arial" w:hAnsi="Arial" w:cs="Arial"/>
                <w:sz w:val="16"/>
                <w:szCs w:val="16"/>
                <w:lang w:val="pt-BR"/>
              </w:rPr>
              <w:t>32,25</w:t>
            </w:r>
          </w:p>
        </w:tc>
        <w:tc>
          <w:tcPr>
            <w:tcW w:w="0" w:type="auto"/>
            <w:shd w:val="clear" w:color="auto" w:fill="FFFFFF"/>
            <w:tcMar>
              <w:top w:w="30" w:type="dxa"/>
              <w:left w:w="45" w:type="dxa"/>
              <w:bottom w:w="30" w:type="dxa"/>
              <w:right w:w="45" w:type="dxa"/>
            </w:tcMar>
            <w:vAlign w:val="center"/>
            <w:hideMark/>
          </w:tcPr>
          <w:p w14:paraId="4412E182" w14:textId="77777777" w:rsidR="004357F4" w:rsidRPr="004357F4" w:rsidRDefault="004357F4" w:rsidP="004357F4">
            <w:pPr>
              <w:jc w:val="center"/>
              <w:rPr>
                <w:rFonts w:ascii="Arial" w:hAnsi="Arial" w:cs="Arial"/>
                <w:sz w:val="16"/>
                <w:szCs w:val="16"/>
                <w:lang w:val="pt-BR"/>
              </w:rPr>
            </w:pPr>
            <w:r w:rsidRPr="004357F4">
              <w:rPr>
                <w:rFonts w:ascii="Arial" w:hAnsi="Arial" w:cs="Arial"/>
                <w:sz w:val="16"/>
                <w:szCs w:val="16"/>
                <w:lang w:val="pt-BR"/>
              </w:rPr>
              <w:t>40,00</w:t>
            </w:r>
          </w:p>
        </w:tc>
        <w:tc>
          <w:tcPr>
            <w:tcW w:w="0" w:type="auto"/>
            <w:shd w:val="clear" w:color="auto" w:fill="FFFFFF"/>
            <w:tcMar>
              <w:top w:w="30" w:type="dxa"/>
              <w:left w:w="45" w:type="dxa"/>
              <w:bottom w:w="30" w:type="dxa"/>
              <w:right w:w="45" w:type="dxa"/>
            </w:tcMar>
            <w:vAlign w:val="center"/>
            <w:hideMark/>
          </w:tcPr>
          <w:p w14:paraId="23621B5C" w14:textId="77777777" w:rsidR="004357F4" w:rsidRPr="004357F4" w:rsidRDefault="004357F4" w:rsidP="004357F4">
            <w:pPr>
              <w:jc w:val="center"/>
              <w:rPr>
                <w:rFonts w:ascii="Arial" w:hAnsi="Arial" w:cs="Arial"/>
                <w:sz w:val="16"/>
                <w:szCs w:val="16"/>
                <w:lang w:val="pt-BR"/>
              </w:rPr>
            </w:pPr>
            <w:r w:rsidRPr="004357F4">
              <w:rPr>
                <w:rFonts w:ascii="Arial" w:hAnsi="Arial" w:cs="Arial"/>
                <w:sz w:val="16"/>
                <w:szCs w:val="16"/>
                <w:lang w:val="pt-BR"/>
              </w:rPr>
              <w:t>0,90</w:t>
            </w:r>
          </w:p>
        </w:tc>
        <w:tc>
          <w:tcPr>
            <w:tcW w:w="0" w:type="auto"/>
            <w:shd w:val="clear" w:color="auto" w:fill="FFFFFF"/>
            <w:tcMar>
              <w:top w:w="30" w:type="dxa"/>
              <w:left w:w="45" w:type="dxa"/>
              <w:bottom w:w="30" w:type="dxa"/>
              <w:right w:w="45" w:type="dxa"/>
            </w:tcMar>
            <w:vAlign w:val="center"/>
            <w:hideMark/>
          </w:tcPr>
          <w:p w14:paraId="05C057D1" w14:textId="77777777" w:rsidR="004357F4" w:rsidRPr="004357F4" w:rsidRDefault="004357F4" w:rsidP="004357F4">
            <w:pPr>
              <w:jc w:val="center"/>
              <w:rPr>
                <w:rFonts w:ascii="Arial" w:hAnsi="Arial" w:cs="Arial"/>
                <w:sz w:val="16"/>
                <w:szCs w:val="16"/>
                <w:lang w:val="pt-BR"/>
              </w:rPr>
            </w:pPr>
            <w:r w:rsidRPr="004357F4">
              <w:rPr>
                <w:rFonts w:ascii="Arial" w:hAnsi="Arial" w:cs="Arial"/>
                <w:sz w:val="16"/>
                <w:szCs w:val="16"/>
                <w:lang w:val="pt-BR"/>
              </w:rPr>
              <w:t>16,97</w:t>
            </w:r>
          </w:p>
        </w:tc>
        <w:tc>
          <w:tcPr>
            <w:tcW w:w="0" w:type="auto"/>
            <w:shd w:val="clear" w:color="auto" w:fill="FFFFFF"/>
            <w:tcMar>
              <w:top w:w="30" w:type="dxa"/>
              <w:left w:w="45" w:type="dxa"/>
              <w:bottom w:w="30" w:type="dxa"/>
              <w:right w:w="45" w:type="dxa"/>
            </w:tcMar>
            <w:vAlign w:val="center"/>
            <w:hideMark/>
          </w:tcPr>
          <w:p w14:paraId="3EF593AA" w14:textId="77777777" w:rsidR="004357F4" w:rsidRPr="004357F4" w:rsidRDefault="004357F4" w:rsidP="004357F4">
            <w:pPr>
              <w:jc w:val="center"/>
              <w:rPr>
                <w:rFonts w:ascii="Arial" w:hAnsi="Arial" w:cs="Arial"/>
                <w:sz w:val="16"/>
                <w:szCs w:val="16"/>
                <w:lang w:val="pt-BR"/>
              </w:rPr>
            </w:pPr>
            <w:r w:rsidRPr="004357F4">
              <w:rPr>
                <w:rFonts w:ascii="Arial" w:hAnsi="Arial" w:cs="Arial"/>
                <w:sz w:val="16"/>
                <w:szCs w:val="16"/>
                <w:lang w:val="pt-BR"/>
              </w:rPr>
              <w:t>68,42</w:t>
            </w:r>
          </w:p>
        </w:tc>
      </w:tr>
      <w:tr w:rsidR="004357F4" w:rsidRPr="004357F4" w14:paraId="78B49D19" w14:textId="77777777" w:rsidTr="004357F4">
        <w:trPr>
          <w:trHeight w:val="345"/>
          <w:tblCellSpacing w:w="0" w:type="dxa"/>
        </w:trPr>
        <w:tc>
          <w:tcPr>
            <w:tcW w:w="0" w:type="auto"/>
            <w:shd w:val="clear" w:color="auto" w:fill="FFFFFF"/>
            <w:tcMar>
              <w:top w:w="30" w:type="dxa"/>
              <w:left w:w="45" w:type="dxa"/>
              <w:bottom w:w="30" w:type="dxa"/>
              <w:right w:w="45" w:type="dxa"/>
            </w:tcMar>
            <w:vAlign w:val="center"/>
            <w:hideMark/>
          </w:tcPr>
          <w:p w14:paraId="11323756" w14:textId="77777777" w:rsidR="004357F4" w:rsidRPr="004357F4" w:rsidRDefault="004357F4" w:rsidP="004357F4">
            <w:pPr>
              <w:jc w:val="center"/>
              <w:rPr>
                <w:rFonts w:ascii="Arial" w:hAnsi="Arial" w:cs="Arial"/>
                <w:b/>
                <w:bCs/>
                <w:sz w:val="16"/>
                <w:szCs w:val="16"/>
                <w:lang w:val="pt-BR"/>
              </w:rPr>
            </w:pPr>
            <w:r w:rsidRPr="004357F4">
              <w:rPr>
                <w:rFonts w:ascii="Arial" w:hAnsi="Arial" w:cs="Arial"/>
                <w:b/>
                <w:bCs/>
                <w:sz w:val="16"/>
                <w:szCs w:val="16"/>
                <w:lang w:val="pt-BR"/>
              </w:rPr>
              <w:t>BL-60</w:t>
            </w:r>
          </w:p>
        </w:tc>
        <w:tc>
          <w:tcPr>
            <w:tcW w:w="0" w:type="auto"/>
            <w:shd w:val="clear" w:color="auto" w:fill="FFFFFF"/>
            <w:tcMar>
              <w:top w:w="30" w:type="dxa"/>
              <w:left w:w="45" w:type="dxa"/>
              <w:bottom w:w="30" w:type="dxa"/>
              <w:right w:w="45" w:type="dxa"/>
            </w:tcMar>
            <w:vAlign w:val="center"/>
            <w:hideMark/>
          </w:tcPr>
          <w:p w14:paraId="4E819337" w14:textId="77777777" w:rsidR="004357F4" w:rsidRPr="004357F4" w:rsidRDefault="004357F4" w:rsidP="004357F4">
            <w:pPr>
              <w:jc w:val="center"/>
              <w:rPr>
                <w:rFonts w:ascii="Arial" w:hAnsi="Arial" w:cs="Arial"/>
                <w:sz w:val="16"/>
                <w:szCs w:val="16"/>
                <w:lang w:val="pt-BR"/>
              </w:rPr>
            </w:pPr>
            <w:r w:rsidRPr="004357F4">
              <w:rPr>
                <w:rFonts w:ascii="Arial" w:hAnsi="Arial" w:cs="Arial"/>
                <w:sz w:val="16"/>
                <w:szCs w:val="16"/>
                <w:lang w:val="pt-BR"/>
              </w:rPr>
              <w:t>40</w:t>
            </w:r>
          </w:p>
        </w:tc>
        <w:tc>
          <w:tcPr>
            <w:tcW w:w="0" w:type="auto"/>
            <w:shd w:val="clear" w:color="auto" w:fill="FFFFFF"/>
            <w:tcMar>
              <w:top w:w="30" w:type="dxa"/>
              <w:left w:w="45" w:type="dxa"/>
              <w:bottom w:w="30" w:type="dxa"/>
              <w:right w:w="45" w:type="dxa"/>
            </w:tcMar>
            <w:vAlign w:val="center"/>
            <w:hideMark/>
          </w:tcPr>
          <w:p w14:paraId="5BF98EED" w14:textId="77777777" w:rsidR="004357F4" w:rsidRPr="004357F4" w:rsidRDefault="004357F4" w:rsidP="004357F4">
            <w:pPr>
              <w:jc w:val="center"/>
              <w:rPr>
                <w:rFonts w:ascii="Arial" w:hAnsi="Arial" w:cs="Arial"/>
                <w:sz w:val="16"/>
                <w:szCs w:val="16"/>
                <w:lang w:val="pt-BR"/>
              </w:rPr>
            </w:pPr>
            <w:r w:rsidRPr="004357F4">
              <w:rPr>
                <w:rFonts w:ascii="Arial" w:hAnsi="Arial" w:cs="Arial"/>
                <w:sz w:val="16"/>
                <w:szCs w:val="16"/>
                <w:lang w:val="pt-BR"/>
              </w:rPr>
              <w:t>60</w:t>
            </w:r>
          </w:p>
        </w:tc>
        <w:tc>
          <w:tcPr>
            <w:tcW w:w="0" w:type="auto"/>
            <w:vMerge/>
            <w:tcBorders>
              <w:bottom w:val="single" w:sz="6" w:space="0" w:color="000000"/>
            </w:tcBorders>
            <w:vAlign w:val="center"/>
            <w:hideMark/>
          </w:tcPr>
          <w:p w14:paraId="0FED1429" w14:textId="77777777" w:rsidR="004357F4" w:rsidRPr="004357F4" w:rsidRDefault="004357F4" w:rsidP="004357F4">
            <w:pPr>
              <w:jc w:val="left"/>
              <w:rPr>
                <w:rFonts w:ascii="Arial" w:hAnsi="Arial" w:cs="Arial"/>
                <w:sz w:val="16"/>
                <w:szCs w:val="16"/>
                <w:lang w:val="pt-BR"/>
              </w:rPr>
            </w:pPr>
          </w:p>
        </w:tc>
        <w:tc>
          <w:tcPr>
            <w:tcW w:w="0" w:type="auto"/>
            <w:shd w:val="clear" w:color="auto" w:fill="FFFFFF"/>
            <w:tcMar>
              <w:top w:w="30" w:type="dxa"/>
              <w:left w:w="45" w:type="dxa"/>
              <w:bottom w:w="30" w:type="dxa"/>
              <w:right w:w="45" w:type="dxa"/>
            </w:tcMar>
            <w:vAlign w:val="center"/>
            <w:hideMark/>
          </w:tcPr>
          <w:p w14:paraId="152B1841" w14:textId="77777777" w:rsidR="004357F4" w:rsidRPr="004357F4" w:rsidRDefault="004357F4" w:rsidP="004357F4">
            <w:pPr>
              <w:jc w:val="center"/>
              <w:rPr>
                <w:rFonts w:ascii="Arial" w:hAnsi="Arial" w:cs="Arial"/>
                <w:sz w:val="16"/>
                <w:szCs w:val="16"/>
                <w:lang w:val="pt-BR"/>
              </w:rPr>
            </w:pPr>
            <w:r w:rsidRPr="004357F4">
              <w:rPr>
                <w:rFonts w:ascii="Arial" w:hAnsi="Arial" w:cs="Arial"/>
                <w:sz w:val="16"/>
                <w:szCs w:val="16"/>
                <w:lang w:val="pt-BR"/>
              </w:rPr>
              <w:t>27,60</w:t>
            </w:r>
          </w:p>
        </w:tc>
        <w:tc>
          <w:tcPr>
            <w:tcW w:w="0" w:type="auto"/>
            <w:shd w:val="clear" w:color="auto" w:fill="FFFFFF"/>
            <w:tcMar>
              <w:top w:w="30" w:type="dxa"/>
              <w:left w:w="45" w:type="dxa"/>
              <w:bottom w:w="30" w:type="dxa"/>
              <w:right w:w="45" w:type="dxa"/>
            </w:tcMar>
            <w:vAlign w:val="center"/>
            <w:hideMark/>
          </w:tcPr>
          <w:p w14:paraId="314E214C" w14:textId="77777777" w:rsidR="004357F4" w:rsidRPr="004357F4" w:rsidRDefault="004357F4" w:rsidP="004357F4">
            <w:pPr>
              <w:jc w:val="center"/>
              <w:rPr>
                <w:rFonts w:ascii="Arial" w:hAnsi="Arial" w:cs="Arial"/>
                <w:sz w:val="16"/>
                <w:szCs w:val="16"/>
                <w:lang w:val="pt-BR"/>
              </w:rPr>
            </w:pPr>
            <w:r w:rsidRPr="004357F4">
              <w:rPr>
                <w:rFonts w:ascii="Arial" w:hAnsi="Arial" w:cs="Arial"/>
                <w:sz w:val="16"/>
                <w:szCs w:val="16"/>
                <w:lang w:val="pt-BR"/>
              </w:rPr>
              <w:t>42,40</w:t>
            </w:r>
          </w:p>
        </w:tc>
        <w:tc>
          <w:tcPr>
            <w:tcW w:w="0" w:type="auto"/>
            <w:shd w:val="clear" w:color="auto" w:fill="FFFFFF"/>
            <w:tcMar>
              <w:top w:w="30" w:type="dxa"/>
              <w:left w:w="45" w:type="dxa"/>
              <w:bottom w:w="30" w:type="dxa"/>
              <w:right w:w="45" w:type="dxa"/>
            </w:tcMar>
            <w:vAlign w:val="center"/>
            <w:hideMark/>
          </w:tcPr>
          <w:p w14:paraId="1D60367B" w14:textId="77777777" w:rsidR="004357F4" w:rsidRPr="004357F4" w:rsidRDefault="004357F4" w:rsidP="004357F4">
            <w:pPr>
              <w:jc w:val="center"/>
              <w:rPr>
                <w:rFonts w:ascii="Arial" w:hAnsi="Arial" w:cs="Arial"/>
                <w:sz w:val="16"/>
                <w:szCs w:val="16"/>
                <w:lang w:val="pt-BR"/>
              </w:rPr>
            </w:pPr>
            <w:r w:rsidRPr="004357F4">
              <w:rPr>
                <w:rFonts w:ascii="Arial" w:hAnsi="Arial" w:cs="Arial"/>
                <w:sz w:val="16"/>
                <w:szCs w:val="16"/>
                <w:lang w:val="pt-BR"/>
              </w:rPr>
              <w:t>0,80</w:t>
            </w:r>
          </w:p>
        </w:tc>
        <w:tc>
          <w:tcPr>
            <w:tcW w:w="0" w:type="auto"/>
            <w:shd w:val="clear" w:color="auto" w:fill="FFFFFF"/>
            <w:tcMar>
              <w:top w:w="30" w:type="dxa"/>
              <w:left w:w="45" w:type="dxa"/>
              <w:bottom w:w="30" w:type="dxa"/>
              <w:right w:w="45" w:type="dxa"/>
            </w:tcMar>
            <w:vAlign w:val="center"/>
            <w:hideMark/>
          </w:tcPr>
          <w:p w14:paraId="0F16C64F" w14:textId="77777777" w:rsidR="004357F4" w:rsidRPr="004357F4" w:rsidRDefault="004357F4" w:rsidP="004357F4">
            <w:pPr>
              <w:jc w:val="center"/>
              <w:rPr>
                <w:rFonts w:ascii="Arial" w:hAnsi="Arial" w:cs="Arial"/>
                <w:sz w:val="16"/>
                <w:szCs w:val="16"/>
                <w:lang w:val="pt-BR"/>
              </w:rPr>
            </w:pPr>
            <w:r w:rsidRPr="004357F4">
              <w:rPr>
                <w:rFonts w:ascii="Arial" w:hAnsi="Arial" w:cs="Arial"/>
                <w:sz w:val="16"/>
                <w:szCs w:val="16"/>
                <w:lang w:val="pt-BR"/>
              </w:rPr>
              <w:t>15,33</w:t>
            </w:r>
          </w:p>
        </w:tc>
        <w:tc>
          <w:tcPr>
            <w:tcW w:w="0" w:type="auto"/>
            <w:shd w:val="clear" w:color="auto" w:fill="FFFFFF"/>
            <w:tcMar>
              <w:top w:w="30" w:type="dxa"/>
              <w:left w:w="45" w:type="dxa"/>
              <w:bottom w:w="30" w:type="dxa"/>
              <w:right w:w="45" w:type="dxa"/>
            </w:tcMar>
            <w:vAlign w:val="center"/>
            <w:hideMark/>
          </w:tcPr>
          <w:p w14:paraId="77C26BF5" w14:textId="77777777" w:rsidR="004357F4" w:rsidRPr="004357F4" w:rsidRDefault="004357F4" w:rsidP="004357F4">
            <w:pPr>
              <w:jc w:val="center"/>
              <w:rPr>
                <w:rFonts w:ascii="Arial" w:hAnsi="Arial" w:cs="Arial"/>
                <w:sz w:val="16"/>
                <w:szCs w:val="16"/>
                <w:lang w:val="pt-BR"/>
              </w:rPr>
            </w:pPr>
            <w:r w:rsidRPr="004357F4">
              <w:rPr>
                <w:rFonts w:ascii="Arial" w:hAnsi="Arial" w:cs="Arial"/>
                <w:sz w:val="16"/>
                <w:szCs w:val="16"/>
                <w:lang w:val="pt-BR"/>
              </w:rPr>
              <w:t>68,00</w:t>
            </w:r>
          </w:p>
        </w:tc>
      </w:tr>
      <w:tr w:rsidR="004357F4" w:rsidRPr="004357F4" w14:paraId="15503D54" w14:textId="77777777" w:rsidTr="004357F4">
        <w:trPr>
          <w:trHeight w:val="345"/>
          <w:tblCellSpacing w:w="0" w:type="dxa"/>
        </w:trPr>
        <w:tc>
          <w:tcPr>
            <w:tcW w:w="0" w:type="auto"/>
            <w:tcBorders>
              <w:bottom w:val="single" w:sz="6" w:space="0" w:color="000000"/>
            </w:tcBorders>
            <w:shd w:val="clear" w:color="auto" w:fill="FFFFFF"/>
            <w:tcMar>
              <w:top w:w="30" w:type="dxa"/>
              <w:left w:w="45" w:type="dxa"/>
              <w:bottom w:w="30" w:type="dxa"/>
              <w:right w:w="45" w:type="dxa"/>
            </w:tcMar>
            <w:vAlign w:val="center"/>
            <w:hideMark/>
          </w:tcPr>
          <w:p w14:paraId="43FBB51A" w14:textId="77777777" w:rsidR="004357F4" w:rsidRPr="004357F4" w:rsidRDefault="004357F4" w:rsidP="004357F4">
            <w:pPr>
              <w:jc w:val="center"/>
              <w:rPr>
                <w:rFonts w:ascii="Arial" w:hAnsi="Arial" w:cs="Arial"/>
                <w:b/>
                <w:bCs/>
                <w:sz w:val="16"/>
                <w:szCs w:val="16"/>
                <w:lang w:val="pt-BR"/>
              </w:rPr>
            </w:pPr>
            <w:r w:rsidRPr="004357F4">
              <w:rPr>
                <w:rFonts w:ascii="Arial" w:hAnsi="Arial" w:cs="Arial"/>
                <w:b/>
                <w:bCs/>
                <w:sz w:val="16"/>
                <w:szCs w:val="16"/>
                <w:lang w:val="pt-BR"/>
              </w:rPr>
              <w:t>BL-70</w:t>
            </w:r>
          </w:p>
        </w:tc>
        <w:tc>
          <w:tcPr>
            <w:tcW w:w="0" w:type="auto"/>
            <w:tcBorders>
              <w:bottom w:val="single" w:sz="6" w:space="0" w:color="000000"/>
            </w:tcBorders>
            <w:shd w:val="clear" w:color="auto" w:fill="FFFFFF"/>
            <w:tcMar>
              <w:top w:w="30" w:type="dxa"/>
              <w:left w:w="45" w:type="dxa"/>
              <w:bottom w:w="30" w:type="dxa"/>
              <w:right w:w="45" w:type="dxa"/>
            </w:tcMar>
            <w:vAlign w:val="center"/>
            <w:hideMark/>
          </w:tcPr>
          <w:p w14:paraId="2A5F8B60" w14:textId="77777777" w:rsidR="004357F4" w:rsidRPr="004357F4" w:rsidRDefault="004357F4" w:rsidP="004357F4">
            <w:pPr>
              <w:jc w:val="center"/>
              <w:rPr>
                <w:rFonts w:ascii="Arial" w:hAnsi="Arial" w:cs="Arial"/>
                <w:sz w:val="16"/>
                <w:szCs w:val="16"/>
                <w:lang w:val="pt-BR"/>
              </w:rPr>
            </w:pPr>
            <w:r w:rsidRPr="004357F4">
              <w:rPr>
                <w:rFonts w:ascii="Arial" w:hAnsi="Arial" w:cs="Arial"/>
                <w:sz w:val="16"/>
                <w:szCs w:val="16"/>
                <w:lang w:val="pt-BR"/>
              </w:rPr>
              <w:t>30</w:t>
            </w:r>
          </w:p>
        </w:tc>
        <w:tc>
          <w:tcPr>
            <w:tcW w:w="0" w:type="auto"/>
            <w:tcBorders>
              <w:bottom w:val="single" w:sz="6" w:space="0" w:color="000000"/>
            </w:tcBorders>
            <w:shd w:val="clear" w:color="auto" w:fill="FFFFFF"/>
            <w:tcMar>
              <w:top w:w="30" w:type="dxa"/>
              <w:left w:w="45" w:type="dxa"/>
              <w:bottom w:w="30" w:type="dxa"/>
              <w:right w:w="45" w:type="dxa"/>
            </w:tcMar>
            <w:vAlign w:val="center"/>
            <w:hideMark/>
          </w:tcPr>
          <w:p w14:paraId="2E72AF0D" w14:textId="77777777" w:rsidR="004357F4" w:rsidRPr="004357F4" w:rsidRDefault="004357F4" w:rsidP="004357F4">
            <w:pPr>
              <w:jc w:val="center"/>
              <w:rPr>
                <w:rFonts w:ascii="Arial" w:hAnsi="Arial" w:cs="Arial"/>
                <w:sz w:val="16"/>
                <w:szCs w:val="16"/>
                <w:lang w:val="pt-BR"/>
              </w:rPr>
            </w:pPr>
            <w:r w:rsidRPr="004357F4">
              <w:rPr>
                <w:rFonts w:ascii="Arial" w:hAnsi="Arial" w:cs="Arial"/>
                <w:sz w:val="16"/>
                <w:szCs w:val="16"/>
                <w:lang w:val="pt-BR"/>
              </w:rPr>
              <w:t>70</w:t>
            </w:r>
          </w:p>
        </w:tc>
        <w:tc>
          <w:tcPr>
            <w:tcW w:w="0" w:type="auto"/>
            <w:vMerge/>
            <w:tcBorders>
              <w:bottom w:val="single" w:sz="6" w:space="0" w:color="000000"/>
            </w:tcBorders>
            <w:vAlign w:val="center"/>
            <w:hideMark/>
          </w:tcPr>
          <w:p w14:paraId="00B26303" w14:textId="77777777" w:rsidR="004357F4" w:rsidRPr="004357F4" w:rsidRDefault="004357F4" w:rsidP="004357F4">
            <w:pPr>
              <w:jc w:val="left"/>
              <w:rPr>
                <w:rFonts w:ascii="Arial" w:hAnsi="Arial" w:cs="Arial"/>
                <w:sz w:val="16"/>
                <w:szCs w:val="16"/>
                <w:lang w:val="pt-BR"/>
              </w:rPr>
            </w:pPr>
          </w:p>
        </w:tc>
        <w:tc>
          <w:tcPr>
            <w:tcW w:w="0" w:type="auto"/>
            <w:tcBorders>
              <w:bottom w:val="single" w:sz="6" w:space="0" w:color="000000"/>
            </w:tcBorders>
            <w:shd w:val="clear" w:color="auto" w:fill="FFFFFF"/>
            <w:tcMar>
              <w:top w:w="30" w:type="dxa"/>
              <w:left w:w="45" w:type="dxa"/>
              <w:bottom w:w="30" w:type="dxa"/>
              <w:right w:w="45" w:type="dxa"/>
            </w:tcMar>
            <w:vAlign w:val="center"/>
            <w:hideMark/>
          </w:tcPr>
          <w:p w14:paraId="568D2309" w14:textId="77777777" w:rsidR="004357F4" w:rsidRPr="004357F4" w:rsidRDefault="004357F4" w:rsidP="004357F4">
            <w:pPr>
              <w:jc w:val="center"/>
              <w:rPr>
                <w:rFonts w:ascii="Arial" w:hAnsi="Arial" w:cs="Arial"/>
                <w:sz w:val="16"/>
                <w:szCs w:val="16"/>
                <w:lang w:val="pt-BR"/>
              </w:rPr>
            </w:pPr>
            <w:r w:rsidRPr="004357F4">
              <w:rPr>
                <w:rFonts w:ascii="Arial" w:hAnsi="Arial" w:cs="Arial"/>
                <w:sz w:val="16"/>
                <w:szCs w:val="16"/>
                <w:lang w:val="pt-BR"/>
              </w:rPr>
              <w:t>22,95</w:t>
            </w:r>
          </w:p>
        </w:tc>
        <w:tc>
          <w:tcPr>
            <w:tcW w:w="0" w:type="auto"/>
            <w:tcBorders>
              <w:bottom w:val="single" w:sz="6" w:space="0" w:color="000000"/>
            </w:tcBorders>
            <w:shd w:val="clear" w:color="auto" w:fill="FFFFFF"/>
            <w:tcMar>
              <w:top w:w="30" w:type="dxa"/>
              <w:left w:w="45" w:type="dxa"/>
              <w:bottom w:w="30" w:type="dxa"/>
              <w:right w:w="45" w:type="dxa"/>
            </w:tcMar>
            <w:vAlign w:val="center"/>
            <w:hideMark/>
          </w:tcPr>
          <w:p w14:paraId="7F85EBE8" w14:textId="77777777" w:rsidR="004357F4" w:rsidRPr="004357F4" w:rsidRDefault="004357F4" w:rsidP="004357F4">
            <w:pPr>
              <w:jc w:val="center"/>
              <w:rPr>
                <w:rFonts w:ascii="Arial" w:hAnsi="Arial" w:cs="Arial"/>
                <w:sz w:val="16"/>
                <w:szCs w:val="16"/>
                <w:lang w:val="pt-BR"/>
              </w:rPr>
            </w:pPr>
            <w:r w:rsidRPr="004357F4">
              <w:rPr>
                <w:rFonts w:ascii="Arial" w:hAnsi="Arial" w:cs="Arial"/>
                <w:sz w:val="16"/>
                <w:szCs w:val="16"/>
                <w:lang w:val="pt-BR"/>
              </w:rPr>
              <w:t>44,80</w:t>
            </w:r>
          </w:p>
        </w:tc>
        <w:tc>
          <w:tcPr>
            <w:tcW w:w="0" w:type="auto"/>
            <w:tcBorders>
              <w:bottom w:val="single" w:sz="6" w:space="0" w:color="000000"/>
            </w:tcBorders>
            <w:shd w:val="clear" w:color="auto" w:fill="FFFFFF"/>
            <w:tcMar>
              <w:top w:w="30" w:type="dxa"/>
              <w:left w:w="45" w:type="dxa"/>
              <w:bottom w:w="30" w:type="dxa"/>
              <w:right w:w="45" w:type="dxa"/>
            </w:tcMar>
            <w:vAlign w:val="center"/>
            <w:hideMark/>
          </w:tcPr>
          <w:p w14:paraId="4FB80E34" w14:textId="77777777" w:rsidR="004357F4" w:rsidRPr="004357F4" w:rsidRDefault="004357F4" w:rsidP="004357F4">
            <w:pPr>
              <w:jc w:val="center"/>
              <w:rPr>
                <w:rFonts w:ascii="Arial" w:hAnsi="Arial" w:cs="Arial"/>
                <w:sz w:val="16"/>
                <w:szCs w:val="16"/>
                <w:lang w:val="pt-BR"/>
              </w:rPr>
            </w:pPr>
            <w:r w:rsidRPr="004357F4">
              <w:rPr>
                <w:rFonts w:ascii="Arial" w:hAnsi="Arial" w:cs="Arial"/>
                <w:sz w:val="16"/>
                <w:szCs w:val="16"/>
                <w:lang w:val="pt-BR"/>
              </w:rPr>
              <w:t>0,70</w:t>
            </w:r>
          </w:p>
        </w:tc>
        <w:tc>
          <w:tcPr>
            <w:tcW w:w="0" w:type="auto"/>
            <w:tcBorders>
              <w:bottom w:val="single" w:sz="6" w:space="0" w:color="000000"/>
            </w:tcBorders>
            <w:shd w:val="clear" w:color="auto" w:fill="FFFFFF"/>
            <w:tcMar>
              <w:top w:w="30" w:type="dxa"/>
              <w:left w:w="45" w:type="dxa"/>
              <w:bottom w:w="30" w:type="dxa"/>
              <w:right w:w="45" w:type="dxa"/>
            </w:tcMar>
            <w:vAlign w:val="center"/>
            <w:hideMark/>
          </w:tcPr>
          <w:p w14:paraId="6305C285" w14:textId="77777777" w:rsidR="004357F4" w:rsidRPr="004357F4" w:rsidRDefault="004357F4" w:rsidP="004357F4">
            <w:pPr>
              <w:jc w:val="center"/>
              <w:rPr>
                <w:rFonts w:ascii="Arial" w:hAnsi="Arial" w:cs="Arial"/>
                <w:sz w:val="16"/>
                <w:szCs w:val="16"/>
                <w:lang w:val="pt-BR"/>
              </w:rPr>
            </w:pPr>
            <w:r w:rsidRPr="004357F4">
              <w:rPr>
                <w:rFonts w:ascii="Arial" w:hAnsi="Arial" w:cs="Arial"/>
                <w:sz w:val="16"/>
                <w:szCs w:val="16"/>
                <w:lang w:val="pt-BR"/>
              </w:rPr>
              <w:t>13,50</w:t>
            </w:r>
          </w:p>
        </w:tc>
        <w:tc>
          <w:tcPr>
            <w:tcW w:w="0" w:type="auto"/>
            <w:tcBorders>
              <w:bottom w:val="single" w:sz="6" w:space="0" w:color="000000"/>
            </w:tcBorders>
            <w:shd w:val="clear" w:color="auto" w:fill="FFFFFF"/>
            <w:tcMar>
              <w:top w:w="30" w:type="dxa"/>
              <w:left w:w="45" w:type="dxa"/>
              <w:bottom w:w="30" w:type="dxa"/>
              <w:right w:w="45" w:type="dxa"/>
            </w:tcMar>
            <w:vAlign w:val="center"/>
            <w:hideMark/>
          </w:tcPr>
          <w:p w14:paraId="6F045C27" w14:textId="77777777" w:rsidR="004357F4" w:rsidRPr="004357F4" w:rsidRDefault="004357F4" w:rsidP="004357F4">
            <w:pPr>
              <w:jc w:val="center"/>
              <w:rPr>
                <w:rFonts w:ascii="Arial" w:hAnsi="Arial" w:cs="Arial"/>
                <w:sz w:val="16"/>
                <w:szCs w:val="16"/>
                <w:lang w:val="pt-BR"/>
              </w:rPr>
            </w:pPr>
            <w:r w:rsidRPr="004357F4">
              <w:rPr>
                <w:rFonts w:ascii="Arial" w:hAnsi="Arial" w:cs="Arial"/>
                <w:sz w:val="16"/>
                <w:szCs w:val="16"/>
                <w:lang w:val="pt-BR"/>
              </w:rPr>
              <w:t>67,53</w:t>
            </w:r>
          </w:p>
        </w:tc>
      </w:tr>
      <w:tr w:rsidR="004357F4" w:rsidRPr="004357F4" w14:paraId="1CAB2684" w14:textId="77777777" w:rsidTr="004357F4">
        <w:trPr>
          <w:trHeight w:val="345"/>
          <w:tblCellSpacing w:w="0" w:type="dxa"/>
        </w:trPr>
        <w:tc>
          <w:tcPr>
            <w:tcW w:w="0" w:type="auto"/>
            <w:tcMar>
              <w:top w:w="30" w:type="dxa"/>
              <w:left w:w="45" w:type="dxa"/>
              <w:bottom w:w="30" w:type="dxa"/>
              <w:right w:w="45" w:type="dxa"/>
            </w:tcMar>
            <w:vAlign w:val="center"/>
            <w:hideMark/>
          </w:tcPr>
          <w:p w14:paraId="424D8E6A" w14:textId="77777777" w:rsidR="004357F4" w:rsidRPr="004357F4" w:rsidRDefault="004357F4" w:rsidP="004357F4">
            <w:pPr>
              <w:jc w:val="center"/>
              <w:rPr>
                <w:rFonts w:ascii="Arial" w:hAnsi="Arial" w:cs="Arial"/>
                <w:b/>
                <w:bCs/>
                <w:sz w:val="16"/>
                <w:szCs w:val="16"/>
                <w:lang w:val="pt-BR"/>
              </w:rPr>
            </w:pPr>
            <w:r w:rsidRPr="004357F4">
              <w:rPr>
                <w:rFonts w:ascii="Arial" w:hAnsi="Arial" w:cs="Arial"/>
                <w:b/>
                <w:bCs/>
                <w:sz w:val="16"/>
                <w:szCs w:val="16"/>
                <w:lang w:val="pt-BR"/>
              </w:rPr>
              <w:t>REF-C</w:t>
            </w:r>
          </w:p>
        </w:tc>
        <w:tc>
          <w:tcPr>
            <w:tcW w:w="0" w:type="auto"/>
            <w:tcMar>
              <w:top w:w="30" w:type="dxa"/>
              <w:left w:w="45" w:type="dxa"/>
              <w:bottom w:w="30" w:type="dxa"/>
              <w:right w:w="45" w:type="dxa"/>
            </w:tcMar>
            <w:vAlign w:val="center"/>
            <w:hideMark/>
          </w:tcPr>
          <w:p w14:paraId="345D5C9D" w14:textId="77777777" w:rsidR="004357F4" w:rsidRPr="004357F4" w:rsidRDefault="004357F4" w:rsidP="004357F4">
            <w:pPr>
              <w:jc w:val="center"/>
              <w:rPr>
                <w:rFonts w:ascii="Arial" w:hAnsi="Arial" w:cs="Arial"/>
                <w:sz w:val="16"/>
                <w:szCs w:val="16"/>
                <w:lang w:val="pt-BR"/>
              </w:rPr>
            </w:pPr>
            <w:r w:rsidRPr="004357F4">
              <w:rPr>
                <w:rFonts w:ascii="Arial" w:hAnsi="Arial" w:cs="Arial"/>
                <w:sz w:val="16"/>
                <w:szCs w:val="16"/>
                <w:lang w:val="pt-BR"/>
              </w:rPr>
              <w:t>100</w:t>
            </w:r>
          </w:p>
        </w:tc>
        <w:tc>
          <w:tcPr>
            <w:tcW w:w="0" w:type="auto"/>
            <w:tcMar>
              <w:top w:w="30" w:type="dxa"/>
              <w:left w:w="45" w:type="dxa"/>
              <w:bottom w:w="30" w:type="dxa"/>
              <w:right w:w="45" w:type="dxa"/>
            </w:tcMar>
            <w:vAlign w:val="center"/>
            <w:hideMark/>
          </w:tcPr>
          <w:p w14:paraId="7CB6C048" w14:textId="77777777" w:rsidR="004357F4" w:rsidRPr="004357F4" w:rsidRDefault="004357F4" w:rsidP="004357F4">
            <w:pPr>
              <w:jc w:val="center"/>
              <w:rPr>
                <w:rFonts w:ascii="Arial" w:hAnsi="Arial" w:cs="Arial"/>
                <w:sz w:val="16"/>
                <w:szCs w:val="16"/>
                <w:lang w:val="pt-BR"/>
              </w:rPr>
            </w:pPr>
            <w:r w:rsidRPr="004357F4">
              <w:rPr>
                <w:rFonts w:ascii="Arial" w:hAnsi="Arial" w:cs="Arial"/>
                <w:sz w:val="16"/>
                <w:szCs w:val="16"/>
                <w:lang w:val="pt-BR"/>
              </w:rPr>
              <w:t>0</w:t>
            </w:r>
          </w:p>
        </w:tc>
        <w:tc>
          <w:tcPr>
            <w:tcW w:w="0" w:type="auto"/>
            <w:vMerge w:val="restart"/>
            <w:tcBorders>
              <w:bottom w:val="single" w:sz="12" w:space="0" w:color="000000"/>
            </w:tcBorders>
            <w:tcMar>
              <w:top w:w="30" w:type="dxa"/>
              <w:left w:w="45" w:type="dxa"/>
              <w:bottom w:w="30" w:type="dxa"/>
              <w:right w:w="45" w:type="dxa"/>
            </w:tcMar>
            <w:vAlign w:val="center"/>
            <w:hideMark/>
          </w:tcPr>
          <w:p w14:paraId="09FB94C7" w14:textId="77777777" w:rsidR="004357F4" w:rsidRPr="004357F4" w:rsidRDefault="004357F4" w:rsidP="004357F4">
            <w:pPr>
              <w:jc w:val="center"/>
              <w:rPr>
                <w:rFonts w:ascii="Arial" w:hAnsi="Arial" w:cs="Arial"/>
                <w:sz w:val="16"/>
                <w:szCs w:val="16"/>
                <w:lang w:val="pt-BR"/>
              </w:rPr>
            </w:pPr>
            <w:r w:rsidRPr="004357F4">
              <w:rPr>
                <w:rFonts w:ascii="Arial" w:hAnsi="Arial" w:cs="Arial"/>
                <w:sz w:val="16"/>
                <w:szCs w:val="16"/>
                <w:lang w:val="pt-BR"/>
              </w:rPr>
              <w:t>2,00</w:t>
            </w:r>
          </w:p>
        </w:tc>
        <w:tc>
          <w:tcPr>
            <w:tcW w:w="0" w:type="auto"/>
            <w:tcMar>
              <w:top w:w="30" w:type="dxa"/>
              <w:left w:w="45" w:type="dxa"/>
              <w:bottom w:w="30" w:type="dxa"/>
              <w:right w:w="45" w:type="dxa"/>
            </w:tcMar>
            <w:vAlign w:val="center"/>
            <w:hideMark/>
          </w:tcPr>
          <w:p w14:paraId="13874B45" w14:textId="77777777" w:rsidR="004357F4" w:rsidRPr="004357F4" w:rsidRDefault="004357F4" w:rsidP="004357F4">
            <w:pPr>
              <w:jc w:val="center"/>
              <w:rPr>
                <w:rFonts w:ascii="Arial" w:hAnsi="Arial" w:cs="Arial"/>
                <w:sz w:val="16"/>
                <w:szCs w:val="16"/>
                <w:lang w:val="pt-BR"/>
              </w:rPr>
            </w:pPr>
            <w:r w:rsidRPr="004357F4">
              <w:rPr>
                <w:rFonts w:ascii="Arial" w:hAnsi="Arial" w:cs="Arial"/>
                <w:sz w:val="16"/>
                <w:szCs w:val="16"/>
                <w:lang w:val="pt-BR"/>
              </w:rPr>
              <w:t>55,50</w:t>
            </w:r>
          </w:p>
        </w:tc>
        <w:tc>
          <w:tcPr>
            <w:tcW w:w="0" w:type="auto"/>
            <w:tcMar>
              <w:top w:w="30" w:type="dxa"/>
              <w:left w:w="45" w:type="dxa"/>
              <w:bottom w:w="30" w:type="dxa"/>
              <w:right w:w="45" w:type="dxa"/>
            </w:tcMar>
            <w:vAlign w:val="center"/>
            <w:hideMark/>
          </w:tcPr>
          <w:p w14:paraId="485F59A7" w14:textId="77777777" w:rsidR="004357F4" w:rsidRPr="004357F4" w:rsidRDefault="004357F4" w:rsidP="004357F4">
            <w:pPr>
              <w:jc w:val="center"/>
              <w:rPr>
                <w:rFonts w:ascii="Arial" w:hAnsi="Arial" w:cs="Arial"/>
                <w:sz w:val="16"/>
                <w:szCs w:val="16"/>
                <w:lang w:val="pt-BR"/>
              </w:rPr>
            </w:pPr>
            <w:r w:rsidRPr="004357F4">
              <w:rPr>
                <w:rFonts w:ascii="Arial" w:hAnsi="Arial" w:cs="Arial"/>
                <w:sz w:val="16"/>
                <w:szCs w:val="16"/>
                <w:lang w:val="pt-BR"/>
              </w:rPr>
              <w:t>28,00</w:t>
            </w:r>
          </w:p>
        </w:tc>
        <w:tc>
          <w:tcPr>
            <w:tcW w:w="0" w:type="auto"/>
            <w:tcMar>
              <w:top w:w="30" w:type="dxa"/>
              <w:left w:w="45" w:type="dxa"/>
              <w:bottom w:w="30" w:type="dxa"/>
              <w:right w:w="45" w:type="dxa"/>
            </w:tcMar>
            <w:vAlign w:val="center"/>
            <w:hideMark/>
          </w:tcPr>
          <w:p w14:paraId="0CFF2F5E" w14:textId="77777777" w:rsidR="004357F4" w:rsidRPr="004357F4" w:rsidRDefault="004357F4" w:rsidP="004357F4">
            <w:pPr>
              <w:jc w:val="center"/>
              <w:rPr>
                <w:rFonts w:ascii="Arial" w:hAnsi="Arial" w:cs="Arial"/>
                <w:sz w:val="16"/>
                <w:szCs w:val="16"/>
                <w:lang w:val="pt-BR"/>
              </w:rPr>
            </w:pPr>
            <w:r w:rsidRPr="004357F4">
              <w:rPr>
                <w:rFonts w:ascii="Arial" w:hAnsi="Arial" w:cs="Arial"/>
                <w:sz w:val="16"/>
                <w:szCs w:val="16"/>
                <w:lang w:val="pt-BR"/>
              </w:rPr>
              <w:t>1,40</w:t>
            </w:r>
          </w:p>
        </w:tc>
        <w:tc>
          <w:tcPr>
            <w:tcW w:w="0" w:type="auto"/>
            <w:tcMar>
              <w:top w:w="30" w:type="dxa"/>
              <w:left w:w="45" w:type="dxa"/>
              <w:bottom w:w="30" w:type="dxa"/>
              <w:right w:w="45" w:type="dxa"/>
            </w:tcMar>
            <w:vAlign w:val="center"/>
            <w:hideMark/>
          </w:tcPr>
          <w:p w14:paraId="34C8D881" w14:textId="77777777" w:rsidR="004357F4" w:rsidRPr="004357F4" w:rsidRDefault="004357F4" w:rsidP="004357F4">
            <w:pPr>
              <w:jc w:val="center"/>
              <w:rPr>
                <w:rFonts w:ascii="Arial" w:hAnsi="Arial" w:cs="Arial"/>
                <w:sz w:val="16"/>
                <w:szCs w:val="16"/>
                <w:lang w:val="pt-BR"/>
              </w:rPr>
            </w:pPr>
            <w:r w:rsidRPr="004357F4">
              <w:rPr>
                <w:rFonts w:ascii="Arial" w:hAnsi="Arial" w:cs="Arial"/>
                <w:sz w:val="16"/>
                <w:szCs w:val="16"/>
                <w:lang w:val="pt-BR"/>
              </w:rPr>
              <w:t>23,13</w:t>
            </w:r>
          </w:p>
        </w:tc>
        <w:tc>
          <w:tcPr>
            <w:tcW w:w="0" w:type="auto"/>
            <w:tcMar>
              <w:top w:w="30" w:type="dxa"/>
              <w:left w:w="45" w:type="dxa"/>
              <w:bottom w:w="30" w:type="dxa"/>
              <w:right w:w="45" w:type="dxa"/>
            </w:tcMar>
            <w:vAlign w:val="center"/>
            <w:hideMark/>
          </w:tcPr>
          <w:p w14:paraId="18269EEA" w14:textId="77777777" w:rsidR="004357F4" w:rsidRPr="004357F4" w:rsidRDefault="004357F4" w:rsidP="004357F4">
            <w:pPr>
              <w:jc w:val="center"/>
              <w:rPr>
                <w:rFonts w:ascii="Arial" w:hAnsi="Arial" w:cs="Arial"/>
                <w:sz w:val="16"/>
                <w:szCs w:val="16"/>
                <w:lang w:val="pt-BR"/>
              </w:rPr>
            </w:pPr>
            <w:r w:rsidRPr="004357F4">
              <w:rPr>
                <w:rFonts w:ascii="Arial" w:hAnsi="Arial" w:cs="Arial"/>
                <w:sz w:val="16"/>
                <w:szCs w:val="16"/>
                <w:lang w:val="pt-BR"/>
              </w:rPr>
              <w:t>70,00</w:t>
            </w:r>
          </w:p>
        </w:tc>
      </w:tr>
      <w:tr w:rsidR="004357F4" w:rsidRPr="004357F4" w14:paraId="0EDD9506" w14:textId="77777777" w:rsidTr="004357F4">
        <w:trPr>
          <w:trHeight w:val="345"/>
          <w:tblCellSpacing w:w="0" w:type="dxa"/>
        </w:trPr>
        <w:tc>
          <w:tcPr>
            <w:tcW w:w="0" w:type="auto"/>
            <w:shd w:val="clear" w:color="auto" w:fill="FFFFFF"/>
            <w:tcMar>
              <w:top w:w="30" w:type="dxa"/>
              <w:left w:w="45" w:type="dxa"/>
              <w:bottom w:w="30" w:type="dxa"/>
              <w:right w:w="45" w:type="dxa"/>
            </w:tcMar>
            <w:vAlign w:val="center"/>
            <w:hideMark/>
          </w:tcPr>
          <w:p w14:paraId="6CF14F92" w14:textId="77777777" w:rsidR="004357F4" w:rsidRPr="004357F4" w:rsidRDefault="004357F4" w:rsidP="004357F4">
            <w:pPr>
              <w:jc w:val="center"/>
              <w:rPr>
                <w:rFonts w:ascii="Arial" w:hAnsi="Arial" w:cs="Arial"/>
                <w:b/>
                <w:bCs/>
                <w:sz w:val="16"/>
                <w:szCs w:val="16"/>
                <w:lang w:val="pt-BR"/>
              </w:rPr>
            </w:pPr>
            <w:r w:rsidRPr="004357F4">
              <w:rPr>
                <w:rFonts w:ascii="Arial" w:hAnsi="Arial" w:cs="Arial"/>
                <w:b/>
                <w:bCs/>
                <w:sz w:val="16"/>
                <w:szCs w:val="16"/>
                <w:lang w:val="pt-BR"/>
              </w:rPr>
              <w:t>BL-50-C</w:t>
            </w:r>
          </w:p>
        </w:tc>
        <w:tc>
          <w:tcPr>
            <w:tcW w:w="0" w:type="auto"/>
            <w:shd w:val="clear" w:color="auto" w:fill="FFFFFF"/>
            <w:tcMar>
              <w:top w:w="30" w:type="dxa"/>
              <w:left w:w="45" w:type="dxa"/>
              <w:bottom w:w="30" w:type="dxa"/>
              <w:right w:w="45" w:type="dxa"/>
            </w:tcMar>
            <w:vAlign w:val="center"/>
            <w:hideMark/>
          </w:tcPr>
          <w:p w14:paraId="00868808" w14:textId="77777777" w:rsidR="004357F4" w:rsidRPr="004357F4" w:rsidRDefault="004357F4" w:rsidP="004357F4">
            <w:pPr>
              <w:jc w:val="center"/>
              <w:rPr>
                <w:rFonts w:ascii="Arial" w:hAnsi="Arial" w:cs="Arial"/>
                <w:sz w:val="16"/>
                <w:szCs w:val="16"/>
                <w:lang w:val="pt-BR"/>
              </w:rPr>
            </w:pPr>
            <w:r w:rsidRPr="004357F4">
              <w:rPr>
                <w:rFonts w:ascii="Arial" w:hAnsi="Arial" w:cs="Arial"/>
                <w:sz w:val="16"/>
                <w:szCs w:val="16"/>
                <w:lang w:val="pt-BR"/>
              </w:rPr>
              <w:t>50</w:t>
            </w:r>
          </w:p>
        </w:tc>
        <w:tc>
          <w:tcPr>
            <w:tcW w:w="0" w:type="auto"/>
            <w:shd w:val="clear" w:color="auto" w:fill="FFFFFF"/>
            <w:tcMar>
              <w:top w:w="30" w:type="dxa"/>
              <w:left w:w="45" w:type="dxa"/>
              <w:bottom w:w="30" w:type="dxa"/>
              <w:right w:w="45" w:type="dxa"/>
            </w:tcMar>
            <w:vAlign w:val="center"/>
            <w:hideMark/>
          </w:tcPr>
          <w:p w14:paraId="441D5547" w14:textId="77777777" w:rsidR="004357F4" w:rsidRPr="004357F4" w:rsidRDefault="004357F4" w:rsidP="004357F4">
            <w:pPr>
              <w:jc w:val="center"/>
              <w:rPr>
                <w:rFonts w:ascii="Arial" w:hAnsi="Arial" w:cs="Arial"/>
                <w:sz w:val="16"/>
                <w:szCs w:val="16"/>
                <w:lang w:val="pt-BR"/>
              </w:rPr>
            </w:pPr>
            <w:r w:rsidRPr="004357F4">
              <w:rPr>
                <w:rFonts w:ascii="Arial" w:hAnsi="Arial" w:cs="Arial"/>
                <w:sz w:val="16"/>
                <w:szCs w:val="16"/>
                <w:lang w:val="pt-BR"/>
              </w:rPr>
              <w:t>50</w:t>
            </w:r>
          </w:p>
        </w:tc>
        <w:tc>
          <w:tcPr>
            <w:tcW w:w="0" w:type="auto"/>
            <w:vMerge/>
            <w:tcBorders>
              <w:bottom w:val="single" w:sz="12" w:space="0" w:color="000000"/>
            </w:tcBorders>
            <w:vAlign w:val="center"/>
            <w:hideMark/>
          </w:tcPr>
          <w:p w14:paraId="345D4B61" w14:textId="77777777" w:rsidR="004357F4" w:rsidRPr="004357F4" w:rsidRDefault="004357F4" w:rsidP="004357F4">
            <w:pPr>
              <w:jc w:val="left"/>
              <w:rPr>
                <w:rFonts w:ascii="Arial" w:hAnsi="Arial" w:cs="Arial"/>
                <w:sz w:val="16"/>
                <w:szCs w:val="16"/>
                <w:lang w:val="pt-BR"/>
              </w:rPr>
            </w:pPr>
          </w:p>
        </w:tc>
        <w:tc>
          <w:tcPr>
            <w:tcW w:w="0" w:type="auto"/>
            <w:shd w:val="clear" w:color="auto" w:fill="FFFFFF"/>
            <w:tcMar>
              <w:top w:w="30" w:type="dxa"/>
              <w:left w:w="45" w:type="dxa"/>
              <w:bottom w:w="30" w:type="dxa"/>
              <w:right w:w="45" w:type="dxa"/>
            </w:tcMar>
            <w:vAlign w:val="center"/>
            <w:hideMark/>
          </w:tcPr>
          <w:p w14:paraId="7A218B39" w14:textId="77777777" w:rsidR="004357F4" w:rsidRPr="004357F4" w:rsidRDefault="004357F4" w:rsidP="004357F4">
            <w:pPr>
              <w:jc w:val="center"/>
              <w:rPr>
                <w:rFonts w:ascii="Arial" w:hAnsi="Arial" w:cs="Arial"/>
                <w:sz w:val="16"/>
                <w:szCs w:val="16"/>
                <w:lang w:val="pt-BR"/>
              </w:rPr>
            </w:pPr>
            <w:r w:rsidRPr="004357F4">
              <w:rPr>
                <w:rFonts w:ascii="Arial" w:hAnsi="Arial" w:cs="Arial"/>
                <w:sz w:val="16"/>
                <w:szCs w:val="16"/>
                <w:lang w:val="pt-BR"/>
              </w:rPr>
              <w:t>32,25</w:t>
            </w:r>
          </w:p>
        </w:tc>
        <w:tc>
          <w:tcPr>
            <w:tcW w:w="0" w:type="auto"/>
            <w:shd w:val="clear" w:color="auto" w:fill="FFFFFF"/>
            <w:tcMar>
              <w:top w:w="30" w:type="dxa"/>
              <w:left w:w="45" w:type="dxa"/>
              <w:bottom w:w="30" w:type="dxa"/>
              <w:right w:w="45" w:type="dxa"/>
            </w:tcMar>
            <w:vAlign w:val="center"/>
            <w:hideMark/>
          </w:tcPr>
          <w:p w14:paraId="73E6F261" w14:textId="77777777" w:rsidR="004357F4" w:rsidRPr="004357F4" w:rsidRDefault="004357F4" w:rsidP="004357F4">
            <w:pPr>
              <w:jc w:val="center"/>
              <w:rPr>
                <w:rFonts w:ascii="Arial" w:hAnsi="Arial" w:cs="Arial"/>
                <w:sz w:val="16"/>
                <w:szCs w:val="16"/>
                <w:lang w:val="pt-BR"/>
              </w:rPr>
            </w:pPr>
            <w:r w:rsidRPr="004357F4">
              <w:rPr>
                <w:rFonts w:ascii="Arial" w:hAnsi="Arial" w:cs="Arial"/>
                <w:sz w:val="16"/>
                <w:szCs w:val="16"/>
                <w:lang w:val="pt-BR"/>
              </w:rPr>
              <w:t>40,00</w:t>
            </w:r>
          </w:p>
        </w:tc>
        <w:tc>
          <w:tcPr>
            <w:tcW w:w="0" w:type="auto"/>
            <w:shd w:val="clear" w:color="auto" w:fill="FFFFFF"/>
            <w:tcMar>
              <w:top w:w="30" w:type="dxa"/>
              <w:left w:w="45" w:type="dxa"/>
              <w:bottom w:w="30" w:type="dxa"/>
              <w:right w:w="45" w:type="dxa"/>
            </w:tcMar>
            <w:vAlign w:val="center"/>
            <w:hideMark/>
          </w:tcPr>
          <w:p w14:paraId="7DED69FF" w14:textId="77777777" w:rsidR="004357F4" w:rsidRPr="004357F4" w:rsidRDefault="004357F4" w:rsidP="004357F4">
            <w:pPr>
              <w:jc w:val="center"/>
              <w:rPr>
                <w:rFonts w:ascii="Arial" w:hAnsi="Arial" w:cs="Arial"/>
                <w:sz w:val="16"/>
                <w:szCs w:val="16"/>
                <w:lang w:val="pt-BR"/>
              </w:rPr>
            </w:pPr>
            <w:r w:rsidRPr="004357F4">
              <w:rPr>
                <w:rFonts w:ascii="Arial" w:hAnsi="Arial" w:cs="Arial"/>
                <w:sz w:val="16"/>
                <w:szCs w:val="16"/>
                <w:lang w:val="pt-BR"/>
              </w:rPr>
              <w:t>0,90</w:t>
            </w:r>
          </w:p>
        </w:tc>
        <w:tc>
          <w:tcPr>
            <w:tcW w:w="0" w:type="auto"/>
            <w:shd w:val="clear" w:color="auto" w:fill="FFFFFF"/>
            <w:tcMar>
              <w:top w:w="30" w:type="dxa"/>
              <w:left w:w="45" w:type="dxa"/>
              <w:bottom w:w="30" w:type="dxa"/>
              <w:right w:w="45" w:type="dxa"/>
            </w:tcMar>
            <w:vAlign w:val="center"/>
            <w:hideMark/>
          </w:tcPr>
          <w:p w14:paraId="18085818" w14:textId="77777777" w:rsidR="004357F4" w:rsidRPr="004357F4" w:rsidRDefault="004357F4" w:rsidP="004357F4">
            <w:pPr>
              <w:jc w:val="center"/>
              <w:rPr>
                <w:rFonts w:ascii="Arial" w:hAnsi="Arial" w:cs="Arial"/>
                <w:sz w:val="16"/>
                <w:szCs w:val="16"/>
                <w:lang w:val="pt-BR"/>
              </w:rPr>
            </w:pPr>
            <w:r w:rsidRPr="004357F4">
              <w:rPr>
                <w:rFonts w:ascii="Arial" w:hAnsi="Arial" w:cs="Arial"/>
                <w:sz w:val="16"/>
                <w:szCs w:val="16"/>
                <w:lang w:val="pt-BR"/>
              </w:rPr>
              <w:t>16,97</w:t>
            </w:r>
          </w:p>
        </w:tc>
        <w:tc>
          <w:tcPr>
            <w:tcW w:w="0" w:type="auto"/>
            <w:shd w:val="clear" w:color="auto" w:fill="FFFFFF"/>
            <w:tcMar>
              <w:top w:w="30" w:type="dxa"/>
              <w:left w:w="45" w:type="dxa"/>
              <w:bottom w:w="30" w:type="dxa"/>
              <w:right w:w="45" w:type="dxa"/>
            </w:tcMar>
            <w:vAlign w:val="center"/>
            <w:hideMark/>
          </w:tcPr>
          <w:p w14:paraId="13285F52" w14:textId="77777777" w:rsidR="004357F4" w:rsidRPr="004357F4" w:rsidRDefault="004357F4" w:rsidP="004357F4">
            <w:pPr>
              <w:jc w:val="center"/>
              <w:rPr>
                <w:rFonts w:ascii="Arial" w:hAnsi="Arial" w:cs="Arial"/>
                <w:sz w:val="16"/>
                <w:szCs w:val="16"/>
                <w:lang w:val="pt-BR"/>
              </w:rPr>
            </w:pPr>
            <w:r w:rsidRPr="004357F4">
              <w:rPr>
                <w:rFonts w:ascii="Arial" w:hAnsi="Arial" w:cs="Arial"/>
                <w:sz w:val="16"/>
                <w:szCs w:val="16"/>
                <w:lang w:val="pt-BR"/>
              </w:rPr>
              <w:t>68,42</w:t>
            </w:r>
          </w:p>
        </w:tc>
      </w:tr>
      <w:tr w:rsidR="004357F4" w:rsidRPr="004357F4" w14:paraId="652CC16D" w14:textId="77777777" w:rsidTr="004357F4">
        <w:trPr>
          <w:trHeight w:val="345"/>
          <w:tblCellSpacing w:w="0" w:type="dxa"/>
        </w:trPr>
        <w:tc>
          <w:tcPr>
            <w:tcW w:w="0" w:type="auto"/>
            <w:shd w:val="clear" w:color="auto" w:fill="FFFFFF"/>
            <w:tcMar>
              <w:top w:w="30" w:type="dxa"/>
              <w:left w:w="45" w:type="dxa"/>
              <w:bottom w:w="30" w:type="dxa"/>
              <w:right w:w="45" w:type="dxa"/>
            </w:tcMar>
            <w:vAlign w:val="center"/>
            <w:hideMark/>
          </w:tcPr>
          <w:p w14:paraId="65AABE8D" w14:textId="77777777" w:rsidR="004357F4" w:rsidRPr="004357F4" w:rsidRDefault="004357F4" w:rsidP="004357F4">
            <w:pPr>
              <w:jc w:val="center"/>
              <w:rPr>
                <w:rFonts w:ascii="Arial" w:hAnsi="Arial" w:cs="Arial"/>
                <w:b/>
                <w:bCs/>
                <w:sz w:val="16"/>
                <w:szCs w:val="16"/>
                <w:lang w:val="pt-BR"/>
              </w:rPr>
            </w:pPr>
            <w:r w:rsidRPr="004357F4">
              <w:rPr>
                <w:rFonts w:ascii="Arial" w:hAnsi="Arial" w:cs="Arial"/>
                <w:b/>
                <w:bCs/>
                <w:sz w:val="16"/>
                <w:szCs w:val="16"/>
                <w:lang w:val="pt-BR"/>
              </w:rPr>
              <w:t>BL-60-C</w:t>
            </w:r>
          </w:p>
        </w:tc>
        <w:tc>
          <w:tcPr>
            <w:tcW w:w="0" w:type="auto"/>
            <w:shd w:val="clear" w:color="auto" w:fill="FFFFFF"/>
            <w:tcMar>
              <w:top w:w="30" w:type="dxa"/>
              <w:left w:w="45" w:type="dxa"/>
              <w:bottom w:w="30" w:type="dxa"/>
              <w:right w:w="45" w:type="dxa"/>
            </w:tcMar>
            <w:vAlign w:val="center"/>
            <w:hideMark/>
          </w:tcPr>
          <w:p w14:paraId="625D09FA" w14:textId="77777777" w:rsidR="004357F4" w:rsidRPr="004357F4" w:rsidRDefault="004357F4" w:rsidP="004357F4">
            <w:pPr>
              <w:jc w:val="center"/>
              <w:rPr>
                <w:rFonts w:ascii="Arial" w:hAnsi="Arial" w:cs="Arial"/>
                <w:sz w:val="16"/>
                <w:szCs w:val="16"/>
                <w:lang w:val="pt-BR"/>
              </w:rPr>
            </w:pPr>
            <w:r w:rsidRPr="004357F4">
              <w:rPr>
                <w:rFonts w:ascii="Arial" w:hAnsi="Arial" w:cs="Arial"/>
                <w:sz w:val="16"/>
                <w:szCs w:val="16"/>
                <w:lang w:val="pt-BR"/>
              </w:rPr>
              <w:t>40</w:t>
            </w:r>
          </w:p>
        </w:tc>
        <w:tc>
          <w:tcPr>
            <w:tcW w:w="0" w:type="auto"/>
            <w:shd w:val="clear" w:color="auto" w:fill="FFFFFF"/>
            <w:tcMar>
              <w:top w:w="30" w:type="dxa"/>
              <w:left w:w="45" w:type="dxa"/>
              <w:bottom w:w="30" w:type="dxa"/>
              <w:right w:w="45" w:type="dxa"/>
            </w:tcMar>
            <w:vAlign w:val="center"/>
            <w:hideMark/>
          </w:tcPr>
          <w:p w14:paraId="2654A519" w14:textId="77777777" w:rsidR="004357F4" w:rsidRPr="004357F4" w:rsidRDefault="004357F4" w:rsidP="004357F4">
            <w:pPr>
              <w:jc w:val="center"/>
              <w:rPr>
                <w:rFonts w:ascii="Arial" w:hAnsi="Arial" w:cs="Arial"/>
                <w:sz w:val="16"/>
                <w:szCs w:val="16"/>
                <w:lang w:val="pt-BR"/>
              </w:rPr>
            </w:pPr>
            <w:r w:rsidRPr="004357F4">
              <w:rPr>
                <w:rFonts w:ascii="Arial" w:hAnsi="Arial" w:cs="Arial"/>
                <w:sz w:val="16"/>
                <w:szCs w:val="16"/>
                <w:lang w:val="pt-BR"/>
              </w:rPr>
              <w:t>60</w:t>
            </w:r>
          </w:p>
        </w:tc>
        <w:tc>
          <w:tcPr>
            <w:tcW w:w="0" w:type="auto"/>
            <w:vMerge/>
            <w:tcBorders>
              <w:bottom w:val="single" w:sz="12" w:space="0" w:color="000000"/>
            </w:tcBorders>
            <w:vAlign w:val="center"/>
            <w:hideMark/>
          </w:tcPr>
          <w:p w14:paraId="184E6B6E" w14:textId="77777777" w:rsidR="004357F4" w:rsidRPr="004357F4" w:rsidRDefault="004357F4" w:rsidP="004357F4">
            <w:pPr>
              <w:jc w:val="left"/>
              <w:rPr>
                <w:rFonts w:ascii="Arial" w:hAnsi="Arial" w:cs="Arial"/>
                <w:sz w:val="16"/>
                <w:szCs w:val="16"/>
                <w:lang w:val="pt-BR"/>
              </w:rPr>
            </w:pPr>
          </w:p>
        </w:tc>
        <w:tc>
          <w:tcPr>
            <w:tcW w:w="0" w:type="auto"/>
            <w:shd w:val="clear" w:color="auto" w:fill="FFFFFF"/>
            <w:tcMar>
              <w:top w:w="30" w:type="dxa"/>
              <w:left w:w="45" w:type="dxa"/>
              <w:bottom w:w="30" w:type="dxa"/>
              <w:right w:w="45" w:type="dxa"/>
            </w:tcMar>
            <w:vAlign w:val="center"/>
            <w:hideMark/>
          </w:tcPr>
          <w:p w14:paraId="137C090B" w14:textId="77777777" w:rsidR="004357F4" w:rsidRPr="004357F4" w:rsidRDefault="004357F4" w:rsidP="004357F4">
            <w:pPr>
              <w:jc w:val="center"/>
              <w:rPr>
                <w:rFonts w:ascii="Arial" w:hAnsi="Arial" w:cs="Arial"/>
                <w:sz w:val="16"/>
                <w:szCs w:val="16"/>
                <w:lang w:val="pt-BR"/>
              </w:rPr>
            </w:pPr>
            <w:r w:rsidRPr="004357F4">
              <w:rPr>
                <w:rFonts w:ascii="Arial" w:hAnsi="Arial" w:cs="Arial"/>
                <w:sz w:val="16"/>
                <w:szCs w:val="16"/>
                <w:lang w:val="pt-BR"/>
              </w:rPr>
              <w:t>27,60</w:t>
            </w:r>
          </w:p>
        </w:tc>
        <w:tc>
          <w:tcPr>
            <w:tcW w:w="0" w:type="auto"/>
            <w:shd w:val="clear" w:color="auto" w:fill="FFFFFF"/>
            <w:tcMar>
              <w:top w:w="30" w:type="dxa"/>
              <w:left w:w="45" w:type="dxa"/>
              <w:bottom w:w="30" w:type="dxa"/>
              <w:right w:w="45" w:type="dxa"/>
            </w:tcMar>
            <w:vAlign w:val="center"/>
            <w:hideMark/>
          </w:tcPr>
          <w:p w14:paraId="1873B9AC" w14:textId="77777777" w:rsidR="004357F4" w:rsidRPr="004357F4" w:rsidRDefault="004357F4" w:rsidP="004357F4">
            <w:pPr>
              <w:jc w:val="center"/>
              <w:rPr>
                <w:rFonts w:ascii="Arial" w:hAnsi="Arial" w:cs="Arial"/>
                <w:sz w:val="16"/>
                <w:szCs w:val="16"/>
                <w:lang w:val="pt-BR"/>
              </w:rPr>
            </w:pPr>
            <w:r w:rsidRPr="004357F4">
              <w:rPr>
                <w:rFonts w:ascii="Arial" w:hAnsi="Arial" w:cs="Arial"/>
                <w:sz w:val="16"/>
                <w:szCs w:val="16"/>
                <w:lang w:val="pt-BR"/>
              </w:rPr>
              <w:t>42,40</w:t>
            </w:r>
          </w:p>
        </w:tc>
        <w:tc>
          <w:tcPr>
            <w:tcW w:w="0" w:type="auto"/>
            <w:shd w:val="clear" w:color="auto" w:fill="FFFFFF"/>
            <w:tcMar>
              <w:top w:w="30" w:type="dxa"/>
              <w:left w:w="45" w:type="dxa"/>
              <w:bottom w:w="30" w:type="dxa"/>
              <w:right w:w="45" w:type="dxa"/>
            </w:tcMar>
            <w:vAlign w:val="center"/>
            <w:hideMark/>
          </w:tcPr>
          <w:p w14:paraId="2AA6CAAF" w14:textId="77777777" w:rsidR="004357F4" w:rsidRPr="004357F4" w:rsidRDefault="004357F4" w:rsidP="004357F4">
            <w:pPr>
              <w:jc w:val="center"/>
              <w:rPr>
                <w:rFonts w:ascii="Arial" w:hAnsi="Arial" w:cs="Arial"/>
                <w:sz w:val="16"/>
                <w:szCs w:val="16"/>
                <w:lang w:val="pt-BR"/>
              </w:rPr>
            </w:pPr>
            <w:r w:rsidRPr="004357F4">
              <w:rPr>
                <w:rFonts w:ascii="Arial" w:hAnsi="Arial" w:cs="Arial"/>
                <w:sz w:val="16"/>
                <w:szCs w:val="16"/>
                <w:lang w:val="pt-BR"/>
              </w:rPr>
              <w:t>0,80</w:t>
            </w:r>
          </w:p>
        </w:tc>
        <w:tc>
          <w:tcPr>
            <w:tcW w:w="0" w:type="auto"/>
            <w:shd w:val="clear" w:color="auto" w:fill="FFFFFF"/>
            <w:tcMar>
              <w:top w:w="30" w:type="dxa"/>
              <w:left w:w="45" w:type="dxa"/>
              <w:bottom w:w="30" w:type="dxa"/>
              <w:right w:w="45" w:type="dxa"/>
            </w:tcMar>
            <w:vAlign w:val="center"/>
            <w:hideMark/>
          </w:tcPr>
          <w:p w14:paraId="5BBA7530" w14:textId="77777777" w:rsidR="004357F4" w:rsidRPr="004357F4" w:rsidRDefault="004357F4" w:rsidP="004357F4">
            <w:pPr>
              <w:jc w:val="center"/>
              <w:rPr>
                <w:rFonts w:ascii="Arial" w:hAnsi="Arial" w:cs="Arial"/>
                <w:sz w:val="16"/>
                <w:szCs w:val="16"/>
                <w:lang w:val="pt-BR"/>
              </w:rPr>
            </w:pPr>
            <w:r w:rsidRPr="004357F4">
              <w:rPr>
                <w:rFonts w:ascii="Arial" w:hAnsi="Arial" w:cs="Arial"/>
                <w:sz w:val="16"/>
                <w:szCs w:val="16"/>
                <w:lang w:val="pt-BR"/>
              </w:rPr>
              <w:t>15,33</w:t>
            </w:r>
          </w:p>
        </w:tc>
        <w:tc>
          <w:tcPr>
            <w:tcW w:w="0" w:type="auto"/>
            <w:shd w:val="clear" w:color="auto" w:fill="FFFFFF"/>
            <w:tcMar>
              <w:top w:w="30" w:type="dxa"/>
              <w:left w:w="45" w:type="dxa"/>
              <w:bottom w:w="30" w:type="dxa"/>
              <w:right w:w="45" w:type="dxa"/>
            </w:tcMar>
            <w:vAlign w:val="center"/>
            <w:hideMark/>
          </w:tcPr>
          <w:p w14:paraId="1B2E9592" w14:textId="77777777" w:rsidR="004357F4" w:rsidRPr="004357F4" w:rsidRDefault="004357F4" w:rsidP="004357F4">
            <w:pPr>
              <w:jc w:val="center"/>
              <w:rPr>
                <w:rFonts w:ascii="Arial" w:hAnsi="Arial" w:cs="Arial"/>
                <w:sz w:val="16"/>
                <w:szCs w:val="16"/>
                <w:lang w:val="pt-BR"/>
              </w:rPr>
            </w:pPr>
            <w:r w:rsidRPr="004357F4">
              <w:rPr>
                <w:rFonts w:ascii="Arial" w:hAnsi="Arial" w:cs="Arial"/>
                <w:sz w:val="16"/>
                <w:szCs w:val="16"/>
                <w:lang w:val="pt-BR"/>
              </w:rPr>
              <w:t>68,00</w:t>
            </w:r>
          </w:p>
        </w:tc>
      </w:tr>
      <w:tr w:rsidR="004357F4" w:rsidRPr="004357F4" w14:paraId="56F40988" w14:textId="77777777" w:rsidTr="004357F4">
        <w:trPr>
          <w:trHeight w:val="345"/>
          <w:tblCellSpacing w:w="0" w:type="dxa"/>
        </w:trPr>
        <w:tc>
          <w:tcPr>
            <w:tcW w:w="0" w:type="auto"/>
            <w:tcBorders>
              <w:bottom w:val="single" w:sz="12" w:space="0" w:color="000000"/>
            </w:tcBorders>
            <w:shd w:val="clear" w:color="auto" w:fill="FFFFFF"/>
            <w:tcMar>
              <w:top w:w="30" w:type="dxa"/>
              <w:left w:w="45" w:type="dxa"/>
              <w:bottom w:w="30" w:type="dxa"/>
              <w:right w:w="45" w:type="dxa"/>
            </w:tcMar>
            <w:vAlign w:val="center"/>
            <w:hideMark/>
          </w:tcPr>
          <w:p w14:paraId="01056611" w14:textId="77777777" w:rsidR="004357F4" w:rsidRPr="004357F4" w:rsidRDefault="004357F4" w:rsidP="004357F4">
            <w:pPr>
              <w:jc w:val="center"/>
              <w:rPr>
                <w:rFonts w:ascii="Arial" w:hAnsi="Arial" w:cs="Arial"/>
                <w:b/>
                <w:bCs/>
                <w:sz w:val="16"/>
                <w:szCs w:val="16"/>
                <w:lang w:val="pt-BR"/>
              </w:rPr>
            </w:pPr>
            <w:r w:rsidRPr="004357F4">
              <w:rPr>
                <w:rFonts w:ascii="Arial" w:hAnsi="Arial" w:cs="Arial"/>
                <w:b/>
                <w:bCs/>
                <w:sz w:val="16"/>
                <w:szCs w:val="16"/>
                <w:lang w:val="pt-BR"/>
              </w:rPr>
              <w:t>BL-70-C</w:t>
            </w:r>
          </w:p>
        </w:tc>
        <w:tc>
          <w:tcPr>
            <w:tcW w:w="0" w:type="auto"/>
            <w:tcBorders>
              <w:bottom w:val="single" w:sz="12" w:space="0" w:color="000000"/>
            </w:tcBorders>
            <w:shd w:val="clear" w:color="auto" w:fill="FFFFFF"/>
            <w:tcMar>
              <w:top w:w="30" w:type="dxa"/>
              <w:left w:w="45" w:type="dxa"/>
              <w:bottom w:w="30" w:type="dxa"/>
              <w:right w:w="45" w:type="dxa"/>
            </w:tcMar>
            <w:vAlign w:val="center"/>
            <w:hideMark/>
          </w:tcPr>
          <w:p w14:paraId="47294A21" w14:textId="77777777" w:rsidR="004357F4" w:rsidRPr="004357F4" w:rsidRDefault="004357F4" w:rsidP="004357F4">
            <w:pPr>
              <w:jc w:val="center"/>
              <w:rPr>
                <w:rFonts w:ascii="Arial" w:hAnsi="Arial" w:cs="Arial"/>
                <w:sz w:val="16"/>
                <w:szCs w:val="16"/>
                <w:lang w:val="pt-BR"/>
              </w:rPr>
            </w:pPr>
            <w:r w:rsidRPr="004357F4">
              <w:rPr>
                <w:rFonts w:ascii="Arial" w:hAnsi="Arial" w:cs="Arial"/>
                <w:sz w:val="16"/>
                <w:szCs w:val="16"/>
                <w:lang w:val="pt-BR"/>
              </w:rPr>
              <w:t>30</w:t>
            </w:r>
          </w:p>
        </w:tc>
        <w:tc>
          <w:tcPr>
            <w:tcW w:w="0" w:type="auto"/>
            <w:tcBorders>
              <w:bottom w:val="single" w:sz="12" w:space="0" w:color="000000"/>
            </w:tcBorders>
            <w:shd w:val="clear" w:color="auto" w:fill="FFFFFF"/>
            <w:tcMar>
              <w:top w:w="30" w:type="dxa"/>
              <w:left w:w="45" w:type="dxa"/>
              <w:bottom w:w="30" w:type="dxa"/>
              <w:right w:w="45" w:type="dxa"/>
            </w:tcMar>
            <w:vAlign w:val="center"/>
            <w:hideMark/>
          </w:tcPr>
          <w:p w14:paraId="160DB76C" w14:textId="77777777" w:rsidR="004357F4" w:rsidRPr="004357F4" w:rsidRDefault="004357F4" w:rsidP="004357F4">
            <w:pPr>
              <w:jc w:val="center"/>
              <w:rPr>
                <w:rFonts w:ascii="Arial" w:hAnsi="Arial" w:cs="Arial"/>
                <w:sz w:val="16"/>
                <w:szCs w:val="16"/>
                <w:lang w:val="pt-BR"/>
              </w:rPr>
            </w:pPr>
            <w:r w:rsidRPr="004357F4">
              <w:rPr>
                <w:rFonts w:ascii="Arial" w:hAnsi="Arial" w:cs="Arial"/>
                <w:sz w:val="16"/>
                <w:szCs w:val="16"/>
                <w:lang w:val="pt-BR"/>
              </w:rPr>
              <w:t>70</w:t>
            </w:r>
          </w:p>
        </w:tc>
        <w:tc>
          <w:tcPr>
            <w:tcW w:w="0" w:type="auto"/>
            <w:vMerge/>
            <w:tcBorders>
              <w:bottom w:val="single" w:sz="12" w:space="0" w:color="000000"/>
            </w:tcBorders>
            <w:vAlign w:val="center"/>
            <w:hideMark/>
          </w:tcPr>
          <w:p w14:paraId="27426A9A" w14:textId="77777777" w:rsidR="004357F4" w:rsidRPr="004357F4" w:rsidRDefault="004357F4" w:rsidP="004357F4">
            <w:pPr>
              <w:jc w:val="left"/>
              <w:rPr>
                <w:rFonts w:ascii="Arial" w:hAnsi="Arial" w:cs="Arial"/>
                <w:sz w:val="16"/>
                <w:szCs w:val="16"/>
                <w:lang w:val="pt-BR"/>
              </w:rPr>
            </w:pPr>
          </w:p>
        </w:tc>
        <w:tc>
          <w:tcPr>
            <w:tcW w:w="0" w:type="auto"/>
            <w:tcBorders>
              <w:bottom w:val="single" w:sz="12" w:space="0" w:color="000000"/>
            </w:tcBorders>
            <w:shd w:val="clear" w:color="auto" w:fill="FFFFFF"/>
            <w:tcMar>
              <w:top w:w="30" w:type="dxa"/>
              <w:left w:w="45" w:type="dxa"/>
              <w:bottom w:w="30" w:type="dxa"/>
              <w:right w:w="45" w:type="dxa"/>
            </w:tcMar>
            <w:vAlign w:val="center"/>
            <w:hideMark/>
          </w:tcPr>
          <w:p w14:paraId="3A004A8C" w14:textId="77777777" w:rsidR="004357F4" w:rsidRPr="004357F4" w:rsidRDefault="004357F4" w:rsidP="004357F4">
            <w:pPr>
              <w:jc w:val="center"/>
              <w:rPr>
                <w:rFonts w:ascii="Arial" w:hAnsi="Arial" w:cs="Arial"/>
                <w:sz w:val="16"/>
                <w:szCs w:val="16"/>
                <w:lang w:val="pt-BR"/>
              </w:rPr>
            </w:pPr>
            <w:r w:rsidRPr="004357F4">
              <w:rPr>
                <w:rFonts w:ascii="Arial" w:hAnsi="Arial" w:cs="Arial"/>
                <w:sz w:val="16"/>
                <w:szCs w:val="16"/>
                <w:lang w:val="pt-BR"/>
              </w:rPr>
              <w:t>22,95</w:t>
            </w:r>
          </w:p>
        </w:tc>
        <w:tc>
          <w:tcPr>
            <w:tcW w:w="0" w:type="auto"/>
            <w:tcBorders>
              <w:bottom w:val="single" w:sz="12" w:space="0" w:color="000000"/>
            </w:tcBorders>
            <w:shd w:val="clear" w:color="auto" w:fill="FFFFFF"/>
            <w:tcMar>
              <w:top w:w="30" w:type="dxa"/>
              <w:left w:w="45" w:type="dxa"/>
              <w:bottom w:w="30" w:type="dxa"/>
              <w:right w:w="45" w:type="dxa"/>
            </w:tcMar>
            <w:vAlign w:val="center"/>
            <w:hideMark/>
          </w:tcPr>
          <w:p w14:paraId="3838A3F8" w14:textId="77777777" w:rsidR="004357F4" w:rsidRPr="004357F4" w:rsidRDefault="004357F4" w:rsidP="004357F4">
            <w:pPr>
              <w:jc w:val="center"/>
              <w:rPr>
                <w:rFonts w:ascii="Arial" w:hAnsi="Arial" w:cs="Arial"/>
                <w:sz w:val="16"/>
                <w:szCs w:val="16"/>
                <w:lang w:val="pt-BR"/>
              </w:rPr>
            </w:pPr>
            <w:r w:rsidRPr="004357F4">
              <w:rPr>
                <w:rFonts w:ascii="Arial" w:hAnsi="Arial" w:cs="Arial"/>
                <w:sz w:val="16"/>
                <w:szCs w:val="16"/>
                <w:lang w:val="pt-BR"/>
              </w:rPr>
              <w:t>44,80</w:t>
            </w:r>
          </w:p>
        </w:tc>
        <w:tc>
          <w:tcPr>
            <w:tcW w:w="0" w:type="auto"/>
            <w:tcBorders>
              <w:bottom w:val="single" w:sz="12" w:space="0" w:color="000000"/>
            </w:tcBorders>
            <w:shd w:val="clear" w:color="auto" w:fill="FFFFFF"/>
            <w:tcMar>
              <w:top w:w="30" w:type="dxa"/>
              <w:left w:w="45" w:type="dxa"/>
              <w:bottom w:w="30" w:type="dxa"/>
              <w:right w:w="45" w:type="dxa"/>
            </w:tcMar>
            <w:vAlign w:val="center"/>
            <w:hideMark/>
          </w:tcPr>
          <w:p w14:paraId="6FF72307" w14:textId="77777777" w:rsidR="004357F4" w:rsidRPr="004357F4" w:rsidRDefault="004357F4" w:rsidP="004357F4">
            <w:pPr>
              <w:jc w:val="center"/>
              <w:rPr>
                <w:rFonts w:ascii="Arial" w:hAnsi="Arial" w:cs="Arial"/>
                <w:sz w:val="16"/>
                <w:szCs w:val="16"/>
                <w:lang w:val="pt-BR"/>
              </w:rPr>
            </w:pPr>
            <w:r w:rsidRPr="004357F4">
              <w:rPr>
                <w:rFonts w:ascii="Arial" w:hAnsi="Arial" w:cs="Arial"/>
                <w:sz w:val="16"/>
                <w:szCs w:val="16"/>
                <w:lang w:val="pt-BR"/>
              </w:rPr>
              <w:t>0,70</w:t>
            </w:r>
          </w:p>
        </w:tc>
        <w:tc>
          <w:tcPr>
            <w:tcW w:w="0" w:type="auto"/>
            <w:tcBorders>
              <w:bottom w:val="single" w:sz="12" w:space="0" w:color="000000"/>
            </w:tcBorders>
            <w:shd w:val="clear" w:color="auto" w:fill="FFFFFF"/>
            <w:tcMar>
              <w:top w:w="30" w:type="dxa"/>
              <w:left w:w="45" w:type="dxa"/>
              <w:bottom w:w="30" w:type="dxa"/>
              <w:right w:w="45" w:type="dxa"/>
            </w:tcMar>
            <w:vAlign w:val="center"/>
            <w:hideMark/>
          </w:tcPr>
          <w:p w14:paraId="7707BDBF" w14:textId="77777777" w:rsidR="004357F4" w:rsidRPr="004357F4" w:rsidRDefault="004357F4" w:rsidP="004357F4">
            <w:pPr>
              <w:jc w:val="center"/>
              <w:rPr>
                <w:rFonts w:ascii="Arial" w:hAnsi="Arial" w:cs="Arial"/>
                <w:sz w:val="16"/>
                <w:szCs w:val="16"/>
                <w:lang w:val="pt-BR"/>
              </w:rPr>
            </w:pPr>
            <w:r w:rsidRPr="004357F4">
              <w:rPr>
                <w:rFonts w:ascii="Arial" w:hAnsi="Arial" w:cs="Arial"/>
                <w:sz w:val="16"/>
                <w:szCs w:val="16"/>
                <w:lang w:val="pt-BR"/>
              </w:rPr>
              <w:t>13,50</w:t>
            </w:r>
          </w:p>
        </w:tc>
        <w:tc>
          <w:tcPr>
            <w:tcW w:w="0" w:type="auto"/>
            <w:tcBorders>
              <w:bottom w:val="single" w:sz="12" w:space="0" w:color="000000"/>
            </w:tcBorders>
            <w:shd w:val="clear" w:color="auto" w:fill="FFFFFF"/>
            <w:tcMar>
              <w:top w:w="30" w:type="dxa"/>
              <w:left w:w="45" w:type="dxa"/>
              <w:bottom w:w="30" w:type="dxa"/>
              <w:right w:w="45" w:type="dxa"/>
            </w:tcMar>
            <w:vAlign w:val="center"/>
            <w:hideMark/>
          </w:tcPr>
          <w:p w14:paraId="7F07527A" w14:textId="77777777" w:rsidR="004357F4" w:rsidRPr="004357F4" w:rsidRDefault="004357F4" w:rsidP="004357F4">
            <w:pPr>
              <w:jc w:val="center"/>
              <w:rPr>
                <w:rFonts w:ascii="Arial" w:hAnsi="Arial" w:cs="Arial"/>
                <w:sz w:val="16"/>
                <w:szCs w:val="16"/>
                <w:lang w:val="pt-BR"/>
              </w:rPr>
            </w:pPr>
            <w:r w:rsidRPr="004357F4">
              <w:rPr>
                <w:rFonts w:ascii="Arial" w:hAnsi="Arial" w:cs="Arial"/>
                <w:sz w:val="16"/>
                <w:szCs w:val="16"/>
                <w:lang w:val="pt-BR"/>
              </w:rPr>
              <w:t>67,53</w:t>
            </w:r>
          </w:p>
        </w:tc>
      </w:tr>
    </w:tbl>
    <w:p w14:paraId="2EE6DC79" w14:textId="77777777" w:rsidR="00702466" w:rsidRPr="00D644E2" w:rsidRDefault="0077271C">
      <w:pPr>
        <w:spacing w:after="240"/>
        <w:ind w:left="700"/>
        <w:rPr>
          <w:sz w:val="22"/>
          <w:szCs w:val="22"/>
        </w:rPr>
      </w:pPr>
      <w:r w:rsidRPr="00D644E2">
        <w:rPr>
          <w:sz w:val="18"/>
          <w:szCs w:val="18"/>
        </w:rPr>
        <w:t xml:space="preserve">Fonte: </w:t>
      </w:r>
      <w:proofErr w:type="spellStart"/>
      <w:r w:rsidRPr="00D644E2">
        <w:rPr>
          <w:sz w:val="18"/>
          <w:szCs w:val="18"/>
        </w:rPr>
        <w:t>Autoras</w:t>
      </w:r>
      <w:proofErr w:type="spellEnd"/>
      <w:r w:rsidRPr="00D644E2">
        <w:rPr>
          <w:sz w:val="18"/>
          <w:szCs w:val="18"/>
        </w:rPr>
        <w:t>.</w:t>
      </w:r>
    </w:p>
    <w:p w14:paraId="69A4E2A0" w14:textId="2FB4BBD5" w:rsidR="00702466" w:rsidRPr="005D2B08" w:rsidRDefault="0077271C">
      <w:pPr>
        <w:spacing w:after="120"/>
        <w:ind w:firstLine="360"/>
        <w:rPr>
          <w:lang w:val="pt-BR"/>
        </w:rPr>
      </w:pPr>
      <w:r w:rsidRPr="005D2B08">
        <w:rPr>
          <w:lang w:val="pt-BR"/>
        </w:rPr>
        <w:t>Os adobes foram moldados em fôrmas de madeira com dimensões de 10x10x20 cm (altura, largura, comprimento) e permaneceram em ambiente de laboratório por 28 dias para a execução do ensaio. O teor de água variou em função da umidade natural do solo e do SRMF e da consistência ideal de moldagem, que foi aferida em ensaio após a moldagem. A</w:t>
      </w:r>
      <w:r w:rsidR="004357F4">
        <w:rPr>
          <w:lang w:val="pt-BR"/>
        </w:rPr>
        <w:t>pós os</w:t>
      </w:r>
      <w:r w:rsidRPr="005D2B08">
        <w:rPr>
          <w:lang w:val="pt-BR"/>
        </w:rPr>
        <w:t xml:space="preserve"> 28 dias</w:t>
      </w:r>
      <w:r w:rsidR="004357F4">
        <w:rPr>
          <w:lang w:val="pt-BR"/>
        </w:rPr>
        <w:t xml:space="preserve"> de cura</w:t>
      </w:r>
      <w:r w:rsidRPr="005D2B08">
        <w:rPr>
          <w:lang w:val="pt-BR"/>
        </w:rPr>
        <w:t>, foi realizada análise dimensional dos adobes de acordo com a NBR 16814 (ABNT, 2020). Foram aferidas as médias dos valores de altura, largura, comprimento, massa, volume e densidade dos oito adobes moldados para cada mistura.</w:t>
      </w:r>
    </w:p>
    <w:p w14:paraId="7596F7B4" w14:textId="77777777" w:rsidR="00702466" w:rsidRPr="005D2B08" w:rsidRDefault="0077271C">
      <w:pPr>
        <w:pStyle w:val="Subttulo"/>
        <w:ind w:left="0" w:firstLine="0"/>
        <w:rPr>
          <w:rFonts w:ascii="Times New Roman" w:eastAsia="Times New Roman" w:hAnsi="Times New Roman" w:cs="Times New Roman"/>
          <w:lang w:val="pt-BR"/>
        </w:rPr>
      </w:pPr>
      <w:r w:rsidRPr="005D2B08">
        <w:rPr>
          <w:rFonts w:ascii="Times New Roman" w:eastAsia="Times New Roman" w:hAnsi="Times New Roman" w:cs="Times New Roman"/>
          <w:lang w:val="pt-BR"/>
        </w:rPr>
        <w:t>2.3. Absorção de água por capilaridade</w:t>
      </w:r>
    </w:p>
    <w:p w14:paraId="3BA99D97" w14:textId="2568BD4A" w:rsidR="00702466" w:rsidRPr="005D2B08" w:rsidRDefault="0077271C">
      <w:pPr>
        <w:spacing w:after="120"/>
        <w:ind w:firstLine="360"/>
        <w:rPr>
          <w:color w:val="FF0000"/>
          <w:lang w:val="pt-BR"/>
        </w:rPr>
      </w:pPr>
      <w:r w:rsidRPr="005D2B08">
        <w:rPr>
          <w:lang w:val="pt-BR"/>
        </w:rPr>
        <w:t>Ainda que a norma NBR 16814 (ABNT, 2020) trate a respeito da importância da proteção da alvenaria de adobe de maneira que não haja erosão e acúmulo de umidade, não há menção sobre o ensaio de capilaridade.</w:t>
      </w:r>
      <w:r w:rsidR="005B732B">
        <w:rPr>
          <w:lang w:val="pt-BR"/>
        </w:rPr>
        <w:t xml:space="preserve"> </w:t>
      </w:r>
      <w:r w:rsidR="005B732B" w:rsidRPr="00C20D4F">
        <w:rPr>
          <w:lang w:val="pt-BR"/>
        </w:rPr>
        <w:t>A</w:t>
      </w:r>
      <w:r w:rsidR="00C20D4F" w:rsidRPr="00C20D4F">
        <w:rPr>
          <w:lang w:val="pt-BR"/>
        </w:rPr>
        <w:t>lém dis</w:t>
      </w:r>
      <w:r w:rsidR="00C20D4F">
        <w:rPr>
          <w:lang w:val="pt-BR"/>
        </w:rPr>
        <w:t>t</w:t>
      </w:r>
      <w:r w:rsidR="00C20D4F" w:rsidRPr="00C20D4F">
        <w:rPr>
          <w:lang w:val="pt-BR"/>
        </w:rPr>
        <w:t xml:space="preserve">o, na </w:t>
      </w:r>
      <w:r w:rsidR="005B732B" w:rsidRPr="00C20D4F">
        <w:rPr>
          <w:lang w:val="pt-BR"/>
        </w:rPr>
        <w:t>literatura, não há</w:t>
      </w:r>
      <w:r w:rsidR="00C20D4F" w:rsidRPr="00C20D4F">
        <w:rPr>
          <w:lang w:val="pt-BR"/>
        </w:rPr>
        <w:t xml:space="preserve"> consenso do método de ensaio aceito </w:t>
      </w:r>
      <w:r w:rsidR="005B732B" w:rsidRPr="00C20D4F">
        <w:rPr>
          <w:lang w:val="pt-BR"/>
        </w:rPr>
        <w:t xml:space="preserve">para avaliar a resistência </w:t>
      </w:r>
      <w:r w:rsidR="00C20D4F">
        <w:rPr>
          <w:lang w:val="pt-BR"/>
        </w:rPr>
        <w:t xml:space="preserve">à água </w:t>
      </w:r>
      <w:r w:rsidR="005B732B" w:rsidRPr="00C20D4F">
        <w:rPr>
          <w:lang w:val="pt-BR"/>
        </w:rPr>
        <w:t>do material</w:t>
      </w:r>
      <w:r w:rsidR="00C20D4F">
        <w:rPr>
          <w:lang w:val="pt-BR"/>
        </w:rPr>
        <w:t>, através do</w:t>
      </w:r>
      <w:r w:rsidR="00C20D4F" w:rsidRPr="00C20D4F">
        <w:rPr>
          <w:lang w:val="pt-BR"/>
        </w:rPr>
        <w:t xml:space="preserve"> ensaio</w:t>
      </w:r>
      <w:r w:rsidR="00C20D4F">
        <w:rPr>
          <w:lang w:val="pt-BR"/>
        </w:rPr>
        <w:t xml:space="preserve"> de </w:t>
      </w:r>
      <w:r w:rsidR="00C20D4F" w:rsidRPr="00C20D4F">
        <w:rPr>
          <w:lang w:val="pt-BR"/>
        </w:rPr>
        <w:t>absorção por capilaridade</w:t>
      </w:r>
      <w:r w:rsidR="00C20D4F">
        <w:rPr>
          <w:lang w:val="pt-BR"/>
        </w:rPr>
        <w:t xml:space="preserve"> (BECKETT</w:t>
      </w:r>
      <w:r w:rsidR="00C20D4F" w:rsidRPr="00546B6E">
        <w:rPr>
          <w:i/>
          <w:lang w:val="pt-BR"/>
        </w:rPr>
        <w:t xml:space="preserve"> </w:t>
      </w:r>
      <w:r w:rsidR="00C20D4F" w:rsidRPr="005D2B08">
        <w:rPr>
          <w:i/>
          <w:lang w:val="pt-BR"/>
        </w:rPr>
        <w:t>et al</w:t>
      </w:r>
      <w:r w:rsidR="00C20D4F" w:rsidRPr="005D2B08">
        <w:rPr>
          <w:lang w:val="pt-BR"/>
        </w:rPr>
        <w:t xml:space="preserve">., </w:t>
      </w:r>
      <w:r w:rsidR="00C20D4F">
        <w:rPr>
          <w:lang w:val="pt-BR"/>
        </w:rPr>
        <w:t>2020)</w:t>
      </w:r>
      <w:r w:rsidR="005B732B" w:rsidRPr="00C20D4F">
        <w:rPr>
          <w:lang w:val="pt-BR"/>
        </w:rPr>
        <w:t>.</w:t>
      </w:r>
      <w:r w:rsidRPr="00C20D4F">
        <w:rPr>
          <w:lang w:val="pt-BR"/>
        </w:rPr>
        <w:t xml:space="preserve"> </w:t>
      </w:r>
      <w:r w:rsidRPr="005D2B08">
        <w:rPr>
          <w:lang w:val="pt-BR"/>
        </w:rPr>
        <w:t xml:space="preserve">Assim, o método de ensaio, a formulação e a análise dos resultados obtidos foram </w:t>
      </w:r>
      <w:proofErr w:type="gramStart"/>
      <w:r w:rsidRPr="005D2B08">
        <w:rPr>
          <w:lang w:val="pt-BR"/>
        </w:rPr>
        <w:t>definidos</w:t>
      </w:r>
      <w:proofErr w:type="gramEnd"/>
      <w:r w:rsidRPr="005D2B08">
        <w:rPr>
          <w:lang w:val="pt-BR"/>
        </w:rPr>
        <w:t xml:space="preserve"> em função da especificidade e das características do material e das práticas correntes de ensaio, apoiando </w:t>
      </w:r>
      <w:r w:rsidR="004357F4">
        <w:rPr>
          <w:lang w:val="pt-BR"/>
        </w:rPr>
        <w:t xml:space="preserve">os métodos </w:t>
      </w:r>
      <w:r w:rsidRPr="005D2B08">
        <w:rPr>
          <w:lang w:val="pt-BR"/>
        </w:rPr>
        <w:t>em ensaios adaptados de outras áreas de conhecimento.</w:t>
      </w:r>
      <w:r w:rsidRPr="005D2B08">
        <w:rPr>
          <w:color w:val="FF0000"/>
          <w:lang w:val="pt-BR"/>
        </w:rPr>
        <w:t xml:space="preserve"> </w:t>
      </w:r>
    </w:p>
    <w:p w14:paraId="750F8497" w14:textId="174AC84D" w:rsidR="00702466" w:rsidRPr="005D2B08" w:rsidRDefault="0077271C">
      <w:pPr>
        <w:spacing w:after="120"/>
        <w:ind w:firstLine="360"/>
        <w:rPr>
          <w:rFonts w:ascii="Arial" w:eastAsia="Arial" w:hAnsi="Arial" w:cs="Arial"/>
          <w:sz w:val="20"/>
          <w:szCs w:val="20"/>
          <w:lang w:val="pt-BR"/>
        </w:rPr>
      </w:pPr>
      <w:r w:rsidRPr="005D2B08">
        <w:rPr>
          <w:lang w:val="pt-BR"/>
        </w:rPr>
        <w:t>Dito isto, optou-se por seguir o método de ensaio da norma NBR 9779 (ABNT, 2012) que normatiza o ensaio de absorção por capilaridade em argamassas e concretos, com algumas adaptações</w:t>
      </w:r>
      <w:r w:rsidR="00F31DF9">
        <w:rPr>
          <w:lang w:val="pt-BR"/>
        </w:rPr>
        <w:t xml:space="preserve">, </w:t>
      </w:r>
      <w:r w:rsidRPr="005D2B08">
        <w:rPr>
          <w:lang w:val="pt-BR"/>
        </w:rPr>
        <w:t xml:space="preserve">por </w:t>
      </w:r>
      <w:r w:rsidR="00F31DF9">
        <w:rPr>
          <w:lang w:val="pt-BR"/>
        </w:rPr>
        <w:t>estas autoras, por</w:t>
      </w:r>
      <w:r w:rsidRPr="005D2B08">
        <w:rPr>
          <w:lang w:val="pt-BR"/>
        </w:rPr>
        <w:t xml:space="preserve"> se tratar de componente de terra. </w:t>
      </w:r>
    </w:p>
    <w:p w14:paraId="6F5E93C8" w14:textId="79639AF0" w:rsidR="00702466" w:rsidRPr="005D2B08" w:rsidRDefault="0077271C">
      <w:pPr>
        <w:spacing w:after="120"/>
        <w:ind w:firstLine="284"/>
        <w:rPr>
          <w:lang w:val="pt-BR"/>
        </w:rPr>
      </w:pPr>
      <w:r w:rsidRPr="005D2B08">
        <w:rPr>
          <w:lang w:val="pt-BR"/>
        </w:rPr>
        <w:lastRenderedPageBreak/>
        <w:t xml:space="preserve">Pela normativa utilizada (ABNT, 2012), deve-se colocar água em um recipiente e apoiar os adobes sobre bases que os mantenham afastados do fundo do recipiente e que permitam um contato efetivo entre sua face inferior e a água. Como base, foi utilizado espuma de baixa densidade em uma bandeja com água constante. Os adobes foram envelopados com filme de plástico, seguindo recomendação da literatura (TAALLAH, </w:t>
      </w:r>
      <w:r w:rsidRPr="005D2B08">
        <w:rPr>
          <w:i/>
          <w:lang w:val="pt-BR"/>
        </w:rPr>
        <w:t>et al.,</w:t>
      </w:r>
      <w:r w:rsidRPr="005D2B08">
        <w:rPr>
          <w:lang w:val="pt-BR"/>
        </w:rPr>
        <w:t xml:space="preserve"> 2016; MACHADO </w:t>
      </w:r>
      <w:r w:rsidRPr="005D2B08">
        <w:rPr>
          <w:i/>
          <w:lang w:val="pt-BR"/>
        </w:rPr>
        <w:t>et al.</w:t>
      </w:r>
      <w:r w:rsidRPr="005D2B08">
        <w:rPr>
          <w:lang w:val="pt-BR"/>
        </w:rPr>
        <w:t>, 2020), com exceção da face inferior, para que a absorção ocorresse exclusivamente p</w:t>
      </w:r>
      <w:r w:rsidR="004357F4">
        <w:rPr>
          <w:lang w:val="pt-BR"/>
        </w:rPr>
        <w:t>or esta</w:t>
      </w:r>
      <w:r w:rsidRPr="005D2B08">
        <w:rPr>
          <w:lang w:val="pt-BR"/>
        </w:rPr>
        <w:t xml:space="preserve"> face</w:t>
      </w:r>
      <w:r w:rsidR="004357F4">
        <w:rPr>
          <w:lang w:val="pt-BR"/>
        </w:rPr>
        <w:t>,</w:t>
      </w:r>
      <w:r w:rsidRPr="005D2B08">
        <w:rPr>
          <w:lang w:val="pt-BR"/>
        </w:rPr>
        <w:t xml:space="preserve"> que ficou em contato com a espuma molhada.</w:t>
      </w:r>
    </w:p>
    <w:p w14:paraId="1A585479" w14:textId="6970418B" w:rsidR="00702466" w:rsidRPr="005D2B08" w:rsidRDefault="0077271C">
      <w:pPr>
        <w:spacing w:after="120"/>
        <w:ind w:firstLine="284"/>
        <w:rPr>
          <w:b/>
          <w:sz w:val="20"/>
          <w:szCs w:val="20"/>
          <w:lang w:val="pt-BR"/>
        </w:rPr>
      </w:pPr>
      <w:r w:rsidRPr="005D2B08">
        <w:rPr>
          <w:lang w:val="pt-BR"/>
        </w:rPr>
        <w:t xml:space="preserve">Segundo a norma NBR 9779 (ABNT, 2012) após a colocação dos adobes em contato com a água, deve-se aferir a massa saturada de cada adobe em intervalos definidos até que se complete 72 horas. Contudo, por se tratar de um componente de terra, os intervalos foram adaptados e o ensaio foi realizado até que se completassem quatro horas, em concordância com estudo anterior que também utilizaram componentes de terra (INDEKEU </w:t>
      </w:r>
      <w:r w:rsidRPr="005D2B08">
        <w:rPr>
          <w:i/>
          <w:lang w:val="pt-BR"/>
        </w:rPr>
        <w:t>et al.</w:t>
      </w:r>
      <w:r w:rsidRPr="005D2B08">
        <w:rPr>
          <w:lang w:val="pt-BR"/>
        </w:rPr>
        <w:t xml:space="preserve">, 2021). Após a última aferição, foi realizada a medição da altura da camada de água no interior e no exterior do adobe. </w:t>
      </w:r>
    </w:p>
    <w:p w14:paraId="49AD6053" w14:textId="3206A18E" w:rsidR="00702466" w:rsidRDefault="00B11B56">
      <w:pPr>
        <w:numPr>
          <w:ilvl w:val="0"/>
          <w:numId w:val="1"/>
        </w:numPr>
        <w:pBdr>
          <w:top w:val="nil"/>
          <w:left w:val="nil"/>
          <w:bottom w:val="nil"/>
          <w:right w:val="nil"/>
          <w:between w:val="nil"/>
        </w:pBdr>
        <w:spacing w:after="120"/>
        <w:rPr>
          <w:b/>
          <w:color w:val="000000"/>
        </w:rPr>
      </w:pPr>
      <w:proofErr w:type="spellStart"/>
      <w:r>
        <w:rPr>
          <w:b/>
          <w:color w:val="000000"/>
        </w:rPr>
        <w:t>Análise</w:t>
      </w:r>
      <w:proofErr w:type="spellEnd"/>
      <w:r w:rsidR="0077271C">
        <w:rPr>
          <w:b/>
          <w:color w:val="000000"/>
        </w:rPr>
        <w:t xml:space="preserve"> dos </w:t>
      </w:r>
      <w:proofErr w:type="spellStart"/>
      <w:r w:rsidR="0077271C">
        <w:rPr>
          <w:b/>
          <w:color w:val="000000"/>
        </w:rPr>
        <w:t>Resultados</w:t>
      </w:r>
      <w:proofErr w:type="spellEnd"/>
    </w:p>
    <w:p w14:paraId="1B553D1A" w14:textId="2AD6F6E9" w:rsidR="00702466" w:rsidRPr="005D2B08" w:rsidRDefault="0077271C">
      <w:pPr>
        <w:spacing w:after="120"/>
        <w:ind w:firstLine="283"/>
        <w:rPr>
          <w:lang w:val="pt-BR"/>
        </w:rPr>
      </w:pPr>
      <w:r w:rsidRPr="005D2B08">
        <w:rPr>
          <w:lang w:val="pt-BR"/>
        </w:rPr>
        <w:t xml:space="preserve">Em relação a análise dimensional, na Tabela 4, estão apresentados os valores médios das dimensões relativos à altura, largura e comprimento dos adobes, </w:t>
      </w:r>
      <w:r w:rsidR="0038054D" w:rsidRPr="005D2B08">
        <w:rPr>
          <w:lang w:val="pt-BR"/>
        </w:rPr>
        <w:t>além dos valores médios</w:t>
      </w:r>
      <w:r w:rsidRPr="005D2B08">
        <w:rPr>
          <w:lang w:val="pt-BR"/>
        </w:rPr>
        <w:t xml:space="preserve"> de massa, volume e densidade. Os adobes tiveram o desvio das dimensões menor ou igual a 5 mm, como recomenda a NBR 16814 (ABNT, 2020).</w:t>
      </w:r>
    </w:p>
    <w:p w14:paraId="3015C5F8" w14:textId="77777777" w:rsidR="00702466" w:rsidRPr="005D2B08" w:rsidRDefault="0077271C">
      <w:pPr>
        <w:spacing w:after="120"/>
        <w:ind w:firstLine="360"/>
        <w:rPr>
          <w:lang w:val="pt-BR"/>
        </w:rPr>
      </w:pPr>
      <w:r w:rsidRPr="005D2B08">
        <w:rPr>
          <w:lang w:val="pt-BR"/>
        </w:rPr>
        <w:t>Foi possível perceber que a mistura com adição de cal, no geral, apresentou menores valores de densidade aos 28 dias. Em destaque, o valor de densidade obtido pela mistura REF-C que apresentou a menor densidade média. A densidade aparente dos adobes REF-C ficou em 8,05% menor que a média dos adobes REF, que não tem adição de cal.</w:t>
      </w:r>
    </w:p>
    <w:p w14:paraId="4E58856C" w14:textId="77777777" w:rsidR="00702466" w:rsidRPr="005D2B08" w:rsidRDefault="0077271C">
      <w:pPr>
        <w:spacing w:after="120"/>
        <w:ind w:firstLine="360"/>
        <w:rPr>
          <w:lang w:val="pt-BR"/>
        </w:rPr>
      </w:pPr>
      <w:r w:rsidRPr="005D2B08">
        <w:rPr>
          <w:lang w:val="pt-BR"/>
        </w:rPr>
        <w:t xml:space="preserve">De acordo com Machado </w:t>
      </w:r>
      <w:r w:rsidRPr="005D2B08">
        <w:rPr>
          <w:i/>
          <w:lang w:val="pt-BR"/>
        </w:rPr>
        <w:t>et al.</w:t>
      </w:r>
      <w:r w:rsidRPr="005D2B08">
        <w:rPr>
          <w:lang w:val="pt-BR"/>
        </w:rPr>
        <w:t>, (2020), devido às reações da cal, o tamanho do grão aumenta, levando a um aumento do vazio e uma subsequente diminuição da densidade máxima seca. Este achado corrobora com os resultados obtidos neste estudo, uma vez que as misturas com cal tiveram resultados de densidade menores que as misturas sem cal.</w:t>
      </w:r>
    </w:p>
    <w:p w14:paraId="5DB75028" w14:textId="77777777" w:rsidR="00702466" w:rsidRPr="00D644E2" w:rsidRDefault="0077271C">
      <w:pPr>
        <w:spacing w:before="240" w:after="240"/>
        <w:jc w:val="center"/>
        <w:rPr>
          <w:lang w:val="pt-BR"/>
        </w:rPr>
      </w:pPr>
      <w:r w:rsidRPr="00D644E2">
        <w:rPr>
          <w:rFonts w:ascii="Arial" w:eastAsia="Arial" w:hAnsi="Arial" w:cs="Arial"/>
          <w:bCs/>
          <w:sz w:val="18"/>
          <w:szCs w:val="18"/>
          <w:lang w:val="pt-BR"/>
        </w:rPr>
        <w:t>Tabela 4:</w:t>
      </w:r>
      <w:r w:rsidRPr="00D644E2">
        <w:rPr>
          <w:rFonts w:ascii="Arial" w:eastAsia="Arial" w:hAnsi="Arial" w:cs="Arial"/>
          <w:b/>
          <w:sz w:val="18"/>
          <w:szCs w:val="18"/>
          <w:lang w:val="pt-BR"/>
        </w:rPr>
        <w:t xml:space="preserve"> </w:t>
      </w:r>
      <w:r w:rsidRPr="00D644E2">
        <w:rPr>
          <w:rFonts w:ascii="Arial" w:eastAsia="Arial" w:hAnsi="Arial" w:cs="Arial"/>
          <w:sz w:val="18"/>
          <w:szCs w:val="18"/>
          <w:lang w:val="pt-BR"/>
        </w:rPr>
        <w:t>Análise física e dimensional dos adobes</w:t>
      </w:r>
    </w:p>
    <w:tbl>
      <w:tblPr>
        <w:tblStyle w:val="a2"/>
        <w:tblW w:w="8000" w:type="dxa"/>
        <w:jc w:val="center"/>
        <w:tblInd w:w="0" w:type="dxa"/>
        <w:tblBorders>
          <w:top w:val="nil"/>
          <w:left w:val="nil"/>
          <w:bottom w:val="nil"/>
          <w:right w:val="nil"/>
          <w:insideH w:val="nil"/>
          <w:insideV w:val="nil"/>
        </w:tblBorders>
        <w:tblLayout w:type="fixed"/>
        <w:tblLook w:val="0600" w:firstRow="0" w:lastRow="0" w:firstColumn="0" w:lastColumn="0" w:noHBand="1" w:noVBand="1"/>
      </w:tblPr>
      <w:tblGrid>
        <w:gridCol w:w="1165"/>
        <w:gridCol w:w="862"/>
        <w:gridCol w:w="1119"/>
        <w:gridCol w:w="1419"/>
        <w:gridCol w:w="995"/>
        <w:gridCol w:w="995"/>
        <w:gridCol w:w="1445"/>
      </w:tblGrid>
      <w:tr w:rsidR="00702466" w14:paraId="2797F972" w14:textId="77777777" w:rsidTr="00D644E2">
        <w:trPr>
          <w:trHeight w:val="570"/>
          <w:jc w:val="center"/>
        </w:trPr>
        <w:tc>
          <w:tcPr>
            <w:tcW w:w="1164" w:type="dxa"/>
            <w:tcBorders>
              <w:top w:val="single" w:sz="12" w:space="0" w:color="000000"/>
              <w:left w:val="nil"/>
              <w:bottom w:val="single" w:sz="12" w:space="0" w:color="000000"/>
              <w:right w:val="nil"/>
            </w:tcBorders>
            <w:tcMar>
              <w:top w:w="40" w:type="dxa"/>
              <w:left w:w="40" w:type="dxa"/>
              <w:bottom w:w="40" w:type="dxa"/>
              <w:right w:w="40" w:type="dxa"/>
            </w:tcMar>
            <w:vAlign w:val="center"/>
          </w:tcPr>
          <w:p w14:paraId="5C8B024B" w14:textId="77777777" w:rsidR="00702466" w:rsidRDefault="0077271C">
            <w:pPr>
              <w:widowControl w:val="0"/>
              <w:pBdr>
                <w:top w:val="nil"/>
                <w:left w:val="nil"/>
                <w:bottom w:val="nil"/>
                <w:right w:val="nil"/>
                <w:between w:val="nil"/>
              </w:pBdr>
              <w:spacing w:line="276" w:lineRule="auto"/>
              <w:jc w:val="center"/>
              <w:rPr>
                <w:rFonts w:ascii="Arial" w:eastAsia="Arial" w:hAnsi="Arial" w:cs="Arial"/>
                <w:sz w:val="18"/>
                <w:szCs w:val="18"/>
              </w:rPr>
            </w:pPr>
            <w:r>
              <w:rPr>
                <w:rFonts w:ascii="Arial" w:eastAsia="Arial" w:hAnsi="Arial" w:cs="Arial"/>
                <w:b/>
                <w:sz w:val="18"/>
                <w:szCs w:val="18"/>
              </w:rPr>
              <w:t>Mistura</w:t>
            </w:r>
          </w:p>
        </w:tc>
        <w:tc>
          <w:tcPr>
            <w:tcW w:w="861" w:type="dxa"/>
            <w:tcBorders>
              <w:top w:val="single" w:sz="12" w:space="0" w:color="000000"/>
              <w:left w:val="nil"/>
              <w:bottom w:val="single" w:sz="12" w:space="0" w:color="000000"/>
              <w:right w:val="nil"/>
            </w:tcBorders>
            <w:tcMar>
              <w:top w:w="40" w:type="dxa"/>
              <w:left w:w="40" w:type="dxa"/>
              <w:bottom w:w="40" w:type="dxa"/>
              <w:right w:w="40" w:type="dxa"/>
            </w:tcMar>
            <w:vAlign w:val="center"/>
          </w:tcPr>
          <w:p w14:paraId="5BE3E96F" w14:textId="77777777" w:rsidR="00702466" w:rsidRDefault="0077271C">
            <w:pPr>
              <w:widowControl w:val="0"/>
              <w:spacing w:line="276" w:lineRule="auto"/>
              <w:jc w:val="center"/>
              <w:rPr>
                <w:rFonts w:ascii="Arial" w:eastAsia="Arial" w:hAnsi="Arial" w:cs="Arial"/>
                <w:sz w:val="18"/>
                <w:szCs w:val="18"/>
              </w:rPr>
            </w:pPr>
            <w:r>
              <w:rPr>
                <w:rFonts w:ascii="Arial" w:eastAsia="Arial" w:hAnsi="Arial" w:cs="Arial"/>
                <w:b/>
                <w:sz w:val="18"/>
                <w:szCs w:val="18"/>
              </w:rPr>
              <w:t xml:space="preserve">Altura </w:t>
            </w:r>
            <w:r>
              <w:rPr>
                <w:rFonts w:ascii="Arial" w:eastAsia="Arial" w:hAnsi="Arial" w:cs="Arial"/>
                <w:sz w:val="18"/>
                <w:szCs w:val="18"/>
              </w:rPr>
              <w:t>(cm)</w:t>
            </w:r>
          </w:p>
        </w:tc>
        <w:tc>
          <w:tcPr>
            <w:tcW w:w="1119" w:type="dxa"/>
            <w:tcBorders>
              <w:top w:val="single" w:sz="12" w:space="0" w:color="000000"/>
              <w:left w:val="nil"/>
              <w:bottom w:val="single" w:sz="12" w:space="0" w:color="000000"/>
              <w:right w:val="nil"/>
            </w:tcBorders>
            <w:tcMar>
              <w:top w:w="40" w:type="dxa"/>
              <w:left w:w="40" w:type="dxa"/>
              <w:bottom w:w="40" w:type="dxa"/>
              <w:right w:w="40" w:type="dxa"/>
            </w:tcMar>
            <w:vAlign w:val="center"/>
          </w:tcPr>
          <w:p w14:paraId="517F40A2" w14:textId="77777777" w:rsidR="00702466" w:rsidRDefault="0077271C">
            <w:pPr>
              <w:widowControl w:val="0"/>
              <w:spacing w:line="276" w:lineRule="auto"/>
              <w:jc w:val="center"/>
              <w:rPr>
                <w:rFonts w:ascii="Arial" w:eastAsia="Arial" w:hAnsi="Arial" w:cs="Arial"/>
                <w:sz w:val="18"/>
                <w:szCs w:val="18"/>
              </w:rPr>
            </w:pPr>
            <w:proofErr w:type="spellStart"/>
            <w:r>
              <w:rPr>
                <w:rFonts w:ascii="Arial" w:eastAsia="Arial" w:hAnsi="Arial" w:cs="Arial"/>
                <w:b/>
                <w:sz w:val="18"/>
                <w:szCs w:val="18"/>
              </w:rPr>
              <w:t>Largura</w:t>
            </w:r>
            <w:proofErr w:type="spellEnd"/>
            <w:r>
              <w:rPr>
                <w:rFonts w:ascii="Arial" w:eastAsia="Arial" w:hAnsi="Arial" w:cs="Arial"/>
                <w:b/>
                <w:sz w:val="18"/>
                <w:szCs w:val="18"/>
              </w:rPr>
              <w:t xml:space="preserve"> </w:t>
            </w:r>
            <w:r>
              <w:rPr>
                <w:rFonts w:ascii="Arial" w:eastAsia="Arial" w:hAnsi="Arial" w:cs="Arial"/>
                <w:sz w:val="18"/>
                <w:szCs w:val="18"/>
              </w:rPr>
              <w:t>(cm)</w:t>
            </w:r>
          </w:p>
        </w:tc>
        <w:tc>
          <w:tcPr>
            <w:tcW w:w="1419" w:type="dxa"/>
            <w:tcBorders>
              <w:top w:val="single" w:sz="12" w:space="0" w:color="000000"/>
              <w:left w:val="nil"/>
              <w:bottom w:val="single" w:sz="12" w:space="0" w:color="000000"/>
              <w:right w:val="nil"/>
            </w:tcBorders>
            <w:tcMar>
              <w:top w:w="40" w:type="dxa"/>
              <w:left w:w="40" w:type="dxa"/>
              <w:bottom w:w="40" w:type="dxa"/>
              <w:right w:w="40" w:type="dxa"/>
            </w:tcMar>
            <w:vAlign w:val="center"/>
          </w:tcPr>
          <w:p w14:paraId="19DF639E" w14:textId="77777777" w:rsidR="00702466" w:rsidRDefault="0077271C">
            <w:pPr>
              <w:widowControl w:val="0"/>
              <w:spacing w:line="276" w:lineRule="auto"/>
              <w:jc w:val="center"/>
              <w:rPr>
                <w:rFonts w:ascii="Arial" w:eastAsia="Arial" w:hAnsi="Arial" w:cs="Arial"/>
                <w:sz w:val="18"/>
                <w:szCs w:val="18"/>
              </w:rPr>
            </w:pPr>
            <w:proofErr w:type="spellStart"/>
            <w:r>
              <w:rPr>
                <w:rFonts w:ascii="Arial" w:eastAsia="Arial" w:hAnsi="Arial" w:cs="Arial"/>
                <w:b/>
                <w:sz w:val="18"/>
                <w:szCs w:val="18"/>
              </w:rPr>
              <w:t>Comprimento</w:t>
            </w:r>
            <w:proofErr w:type="spellEnd"/>
            <w:r>
              <w:rPr>
                <w:rFonts w:ascii="Arial" w:eastAsia="Arial" w:hAnsi="Arial" w:cs="Arial"/>
                <w:sz w:val="18"/>
                <w:szCs w:val="18"/>
              </w:rPr>
              <w:t xml:space="preserve"> (cm)</w:t>
            </w:r>
          </w:p>
        </w:tc>
        <w:tc>
          <w:tcPr>
            <w:tcW w:w="995" w:type="dxa"/>
            <w:tcBorders>
              <w:top w:val="single" w:sz="12" w:space="0" w:color="000000"/>
              <w:left w:val="nil"/>
              <w:bottom w:val="single" w:sz="12" w:space="0" w:color="000000"/>
              <w:right w:val="nil"/>
            </w:tcBorders>
            <w:tcMar>
              <w:top w:w="40" w:type="dxa"/>
              <w:left w:w="40" w:type="dxa"/>
              <w:bottom w:w="40" w:type="dxa"/>
              <w:right w:w="40" w:type="dxa"/>
            </w:tcMar>
            <w:vAlign w:val="center"/>
          </w:tcPr>
          <w:p w14:paraId="29FD52EE" w14:textId="77777777" w:rsidR="00702466" w:rsidRDefault="0077271C">
            <w:pPr>
              <w:widowControl w:val="0"/>
              <w:spacing w:line="276" w:lineRule="auto"/>
              <w:jc w:val="center"/>
              <w:rPr>
                <w:rFonts w:ascii="Arial" w:eastAsia="Arial" w:hAnsi="Arial" w:cs="Arial"/>
                <w:b/>
                <w:sz w:val="18"/>
                <w:szCs w:val="18"/>
              </w:rPr>
            </w:pPr>
            <w:r>
              <w:rPr>
                <w:rFonts w:ascii="Arial" w:eastAsia="Arial" w:hAnsi="Arial" w:cs="Arial"/>
                <w:b/>
                <w:sz w:val="18"/>
                <w:szCs w:val="18"/>
              </w:rPr>
              <w:t>Massa</w:t>
            </w:r>
          </w:p>
          <w:p w14:paraId="76634694" w14:textId="77777777" w:rsidR="00702466" w:rsidRDefault="0077271C">
            <w:pPr>
              <w:widowControl w:val="0"/>
              <w:spacing w:line="276" w:lineRule="auto"/>
              <w:jc w:val="center"/>
              <w:rPr>
                <w:rFonts w:ascii="Arial" w:eastAsia="Arial" w:hAnsi="Arial" w:cs="Arial"/>
                <w:sz w:val="18"/>
                <w:szCs w:val="18"/>
              </w:rPr>
            </w:pPr>
            <w:r>
              <w:rPr>
                <w:rFonts w:ascii="Arial" w:eastAsia="Arial" w:hAnsi="Arial" w:cs="Arial"/>
                <w:b/>
                <w:sz w:val="18"/>
                <w:szCs w:val="18"/>
              </w:rPr>
              <w:t xml:space="preserve"> </w:t>
            </w:r>
            <w:r>
              <w:rPr>
                <w:rFonts w:ascii="Arial" w:eastAsia="Arial" w:hAnsi="Arial" w:cs="Arial"/>
                <w:sz w:val="18"/>
                <w:szCs w:val="18"/>
              </w:rPr>
              <w:t>(kg)</w:t>
            </w:r>
          </w:p>
        </w:tc>
        <w:tc>
          <w:tcPr>
            <w:tcW w:w="995" w:type="dxa"/>
            <w:tcBorders>
              <w:top w:val="single" w:sz="12" w:space="0" w:color="000000"/>
              <w:left w:val="nil"/>
              <w:bottom w:val="single" w:sz="12" w:space="0" w:color="000000"/>
              <w:right w:val="nil"/>
            </w:tcBorders>
            <w:tcMar>
              <w:top w:w="40" w:type="dxa"/>
              <w:left w:w="40" w:type="dxa"/>
              <w:bottom w:w="40" w:type="dxa"/>
              <w:right w:w="40" w:type="dxa"/>
            </w:tcMar>
            <w:vAlign w:val="center"/>
          </w:tcPr>
          <w:p w14:paraId="59979EF7" w14:textId="77777777" w:rsidR="00702466" w:rsidRDefault="0077271C">
            <w:pPr>
              <w:widowControl w:val="0"/>
              <w:spacing w:line="276" w:lineRule="auto"/>
              <w:jc w:val="center"/>
              <w:rPr>
                <w:rFonts w:ascii="Arial" w:eastAsia="Arial" w:hAnsi="Arial" w:cs="Arial"/>
                <w:sz w:val="18"/>
                <w:szCs w:val="18"/>
              </w:rPr>
            </w:pPr>
            <w:r>
              <w:rPr>
                <w:rFonts w:ascii="Arial" w:eastAsia="Arial" w:hAnsi="Arial" w:cs="Arial"/>
                <w:b/>
                <w:sz w:val="18"/>
                <w:szCs w:val="18"/>
              </w:rPr>
              <w:t xml:space="preserve">Volume </w:t>
            </w:r>
            <w:r>
              <w:rPr>
                <w:rFonts w:ascii="Arial" w:eastAsia="Arial" w:hAnsi="Arial" w:cs="Arial"/>
                <w:sz w:val="18"/>
                <w:szCs w:val="18"/>
              </w:rPr>
              <w:t>(m³)</w:t>
            </w:r>
          </w:p>
        </w:tc>
        <w:tc>
          <w:tcPr>
            <w:tcW w:w="1445" w:type="dxa"/>
            <w:tcBorders>
              <w:top w:val="single" w:sz="12" w:space="0" w:color="000000"/>
              <w:left w:val="nil"/>
              <w:bottom w:val="single" w:sz="12" w:space="0" w:color="000000"/>
              <w:right w:val="nil"/>
            </w:tcBorders>
            <w:tcMar>
              <w:top w:w="40" w:type="dxa"/>
              <w:left w:w="40" w:type="dxa"/>
              <w:bottom w:w="40" w:type="dxa"/>
              <w:right w:w="40" w:type="dxa"/>
            </w:tcMar>
            <w:vAlign w:val="center"/>
          </w:tcPr>
          <w:p w14:paraId="28BA45AB" w14:textId="77777777" w:rsidR="00702466" w:rsidRDefault="0077271C">
            <w:pPr>
              <w:widowControl w:val="0"/>
              <w:spacing w:line="276" w:lineRule="auto"/>
              <w:jc w:val="center"/>
              <w:rPr>
                <w:rFonts w:ascii="Arial" w:eastAsia="Arial" w:hAnsi="Arial" w:cs="Arial"/>
                <w:b/>
                <w:sz w:val="18"/>
                <w:szCs w:val="18"/>
              </w:rPr>
            </w:pPr>
            <w:proofErr w:type="spellStart"/>
            <w:r>
              <w:rPr>
                <w:rFonts w:ascii="Arial" w:eastAsia="Arial" w:hAnsi="Arial" w:cs="Arial"/>
                <w:b/>
                <w:sz w:val="18"/>
                <w:szCs w:val="18"/>
              </w:rPr>
              <w:t>Densidade</w:t>
            </w:r>
            <w:proofErr w:type="spellEnd"/>
          </w:p>
          <w:p w14:paraId="0D0F8618" w14:textId="77777777" w:rsidR="00702466" w:rsidRDefault="0077271C">
            <w:pPr>
              <w:widowControl w:val="0"/>
              <w:spacing w:line="276" w:lineRule="auto"/>
              <w:jc w:val="center"/>
              <w:rPr>
                <w:rFonts w:ascii="Arial" w:eastAsia="Arial" w:hAnsi="Arial" w:cs="Arial"/>
                <w:sz w:val="18"/>
                <w:szCs w:val="18"/>
              </w:rPr>
            </w:pPr>
            <w:r>
              <w:rPr>
                <w:rFonts w:ascii="Arial" w:eastAsia="Arial" w:hAnsi="Arial" w:cs="Arial"/>
                <w:b/>
                <w:sz w:val="18"/>
                <w:szCs w:val="18"/>
              </w:rPr>
              <w:t xml:space="preserve"> </w:t>
            </w:r>
            <w:r>
              <w:rPr>
                <w:rFonts w:ascii="Arial" w:eastAsia="Arial" w:hAnsi="Arial" w:cs="Arial"/>
                <w:sz w:val="18"/>
                <w:szCs w:val="18"/>
              </w:rPr>
              <w:t>(kg/m³)</w:t>
            </w:r>
          </w:p>
        </w:tc>
      </w:tr>
      <w:tr w:rsidR="00702466" w14:paraId="32BC02A1" w14:textId="77777777" w:rsidTr="00D644E2">
        <w:trPr>
          <w:trHeight w:val="315"/>
          <w:jc w:val="center"/>
        </w:trPr>
        <w:tc>
          <w:tcPr>
            <w:tcW w:w="1164" w:type="dxa"/>
            <w:tcBorders>
              <w:top w:val="nil"/>
              <w:left w:val="nil"/>
              <w:bottom w:val="single" w:sz="6" w:space="0" w:color="000000"/>
              <w:right w:val="nil"/>
            </w:tcBorders>
            <w:tcMar>
              <w:top w:w="40" w:type="dxa"/>
              <w:left w:w="40" w:type="dxa"/>
              <w:bottom w:w="40" w:type="dxa"/>
              <w:right w:w="40" w:type="dxa"/>
            </w:tcMar>
            <w:vAlign w:val="center"/>
          </w:tcPr>
          <w:p w14:paraId="0C496322" w14:textId="77777777" w:rsidR="00702466" w:rsidRDefault="0077271C">
            <w:pPr>
              <w:widowControl w:val="0"/>
              <w:spacing w:line="276" w:lineRule="auto"/>
              <w:jc w:val="center"/>
              <w:rPr>
                <w:rFonts w:ascii="Arial" w:eastAsia="Arial" w:hAnsi="Arial" w:cs="Arial"/>
                <w:sz w:val="18"/>
                <w:szCs w:val="18"/>
              </w:rPr>
            </w:pPr>
            <w:r>
              <w:rPr>
                <w:rFonts w:ascii="Arial" w:eastAsia="Arial" w:hAnsi="Arial" w:cs="Arial"/>
                <w:b/>
                <w:sz w:val="18"/>
                <w:szCs w:val="18"/>
              </w:rPr>
              <w:t>REF</w:t>
            </w:r>
          </w:p>
        </w:tc>
        <w:tc>
          <w:tcPr>
            <w:tcW w:w="861" w:type="dxa"/>
            <w:tcBorders>
              <w:top w:val="nil"/>
              <w:left w:val="nil"/>
              <w:bottom w:val="single" w:sz="6" w:space="0" w:color="000000"/>
              <w:right w:val="nil"/>
            </w:tcBorders>
            <w:tcMar>
              <w:top w:w="40" w:type="dxa"/>
              <w:left w:w="40" w:type="dxa"/>
              <w:bottom w:w="40" w:type="dxa"/>
              <w:right w:w="40" w:type="dxa"/>
            </w:tcMar>
            <w:vAlign w:val="center"/>
          </w:tcPr>
          <w:p w14:paraId="766CC539" w14:textId="77777777" w:rsidR="00702466" w:rsidRDefault="0077271C">
            <w:pPr>
              <w:widowControl w:val="0"/>
              <w:spacing w:line="276" w:lineRule="auto"/>
              <w:jc w:val="center"/>
              <w:rPr>
                <w:rFonts w:ascii="Arial" w:eastAsia="Arial" w:hAnsi="Arial" w:cs="Arial"/>
                <w:sz w:val="18"/>
                <w:szCs w:val="18"/>
              </w:rPr>
            </w:pPr>
            <w:r>
              <w:rPr>
                <w:rFonts w:ascii="Arial" w:eastAsia="Arial" w:hAnsi="Arial" w:cs="Arial"/>
                <w:sz w:val="18"/>
                <w:szCs w:val="18"/>
              </w:rPr>
              <w:t>9,60</w:t>
            </w:r>
          </w:p>
        </w:tc>
        <w:tc>
          <w:tcPr>
            <w:tcW w:w="1119" w:type="dxa"/>
            <w:tcBorders>
              <w:top w:val="nil"/>
              <w:left w:val="nil"/>
              <w:bottom w:val="single" w:sz="6" w:space="0" w:color="000000"/>
              <w:right w:val="nil"/>
            </w:tcBorders>
            <w:tcMar>
              <w:top w:w="40" w:type="dxa"/>
              <w:left w:w="40" w:type="dxa"/>
              <w:bottom w:w="40" w:type="dxa"/>
              <w:right w:w="40" w:type="dxa"/>
            </w:tcMar>
            <w:vAlign w:val="center"/>
          </w:tcPr>
          <w:p w14:paraId="45D70C8D" w14:textId="77777777" w:rsidR="00702466" w:rsidRDefault="0077271C">
            <w:pPr>
              <w:widowControl w:val="0"/>
              <w:spacing w:line="276" w:lineRule="auto"/>
              <w:jc w:val="center"/>
              <w:rPr>
                <w:rFonts w:ascii="Arial" w:eastAsia="Arial" w:hAnsi="Arial" w:cs="Arial"/>
                <w:sz w:val="18"/>
                <w:szCs w:val="18"/>
              </w:rPr>
            </w:pPr>
            <w:r>
              <w:rPr>
                <w:rFonts w:ascii="Arial" w:eastAsia="Arial" w:hAnsi="Arial" w:cs="Arial"/>
                <w:sz w:val="18"/>
                <w:szCs w:val="18"/>
              </w:rPr>
              <w:t>9,58</w:t>
            </w:r>
          </w:p>
        </w:tc>
        <w:tc>
          <w:tcPr>
            <w:tcW w:w="1419" w:type="dxa"/>
            <w:tcBorders>
              <w:top w:val="nil"/>
              <w:left w:val="nil"/>
              <w:bottom w:val="single" w:sz="6" w:space="0" w:color="000000"/>
              <w:right w:val="nil"/>
            </w:tcBorders>
            <w:tcMar>
              <w:top w:w="40" w:type="dxa"/>
              <w:left w:w="40" w:type="dxa"/>
              <w:bottom w:w="40" w:type="dxa"/>
              <w:right w:w="40" w:type="dxa"/>
            </w:tcMar>
            <w:vAlign w:val="center"/>
          </w:tcPr>
          <w:p w14:paraId="660945FA" w14:textId="77777777" w:rsidR="00702466" w:rsidRDefault="0077271C">
            <w:pPr>
              <w:widowControl w:val="0"/>
              <w:spacing w:line="276" w:lineRule="auto"/>
              <w:jc w:val="center"/>
              <w:rPr>
                <w:rFonts w:ascii="Arial" w:eastAsia="Arial" w:hAnsi="Arial" w:cs="Arial"/>
                <w:sz w:val="18"/>
                <w:szCs w:val="18"/>
              </w:rPr>
            </w:pPr>
            <w:r>
              <w:rPr>
                <w:rFonts w:ascii="Arial" w:eastAsia="Arial" w:hAnsi="Arial" w:cs="Arial"/>
                <w:sz w:val="18"/>
                <w:szCs w:val="18"/>
              </w:rPr>
              <w:t>19,78</w:t>
            </w:r>
          </w:p>
        </w:tc>
        <w:tc>
          <w:tcPr>
            <w:tcW w:w="995" w:type="dxa"/>
            <w:tcBorders>
              <w:top w:val="nil"/>
              <w:left w:val="nil"/>
              <w:bottom w:val="single" w:sz="6" w:space="0" w:color="000000"/>
              <w:right w:val="nil"/>
            </w:tcBorders>
            <w:tcMar>
              <w:top w:w="40" w:type="dxa"/>
              <w:left w:w="40" w:type="dxa"/>
              <w:bottom w:w="40" w:type="dxa"/>
              <w:right w:w="40" w:type="dxa"/>
            </w:tcMar>
            <w:vAlign w:val="center"/>
          </w:tcPr>
          <w:p w14:paraId="0CCE6FF9" w14:textId="77777777" w:rsidR="00702466" w:rsidRDefault="0077271C">
            <w:pPr>
              <w:widowControl w:val="0"/>
              <w:spacing w:line="276" w:lineRule="auto"/>
              <w:jc w:val="center"/>
              <w:rPr>
                <w:rFonts w:ascii="Arial" w:eastAsia="Arial" w:hAnsi="Arial" w:cs="Arial"/>
                <w:sz w:val="18"/>
                <w:szCs w:val="18"/>
              </w:rPr>
            </w:pPr>
            <w:r>
              <w:rPr>
                <w:rFonts w:ascii="Arial" w:eastAsia="Arial" w:hAnsi="Arial" w:cs="Arial"/>
                <w:sz w:val="18"/>
                <w:szCs w:val="18"/>
              </w:rPr>
              <w:t>3,296</w:t>
            </w:r>
          </w:p>
        </w:tc>
        <w:tc>
          <w:tcPr>
            <w:tcW w:w="995" w:type="dxa"/>
            <w:tcBorders>
              <w:top w:val="nil"/>
              <w:left w:val="nil"/>
              <w:bottom w:val="single" w:sz="6" w:space="0" w:color="000000"/>
              <w:right w:val="nil"/>
            </w:tcBorders>
            <w:tcMar>
              <w:top w:w="40" w:type="dxa"/>
              <w:left w:w="40" w:type="dxa"/>
              <w:bottom w:w="40" w:type="dxa"/>
              <w:right w:w="40" w:type="dxa"/>
            </w:tcMar>
            <w:vAlign w:val="center"/>
          </w:tcPr>
          <w:p w14:paraId="66AA695D" w14:textId="77777777" w:rsidR="00702466" w:rsidRPr="00DE36EC" w:rsidRDefault="0077271C">
            <w:pPr>
              <w:widowControl w:val="0"/>
              <w:spacing w:line="276" w:lineRule="auto"/>
              <w:jc w:val="center"/>
              <w:rPr>
                <w:rFonts w:ascii="Arial" w:eastAsia="Arial" w:hAnsi="Arial" w:cs="Arial"/>
                <w:sz w:val="18"/>
                <w:szCs w:val="18"/>
              </w:rPr>
            </w:pPr>
            <w:r w:rsidRPr="00DE36EC">
              <w:rPr>
                <w:rFonts w:ascii="Arial" w:eastAsia="Arial" w:hAnsi="Arial" w:cs="Arial"/>
                <w:sz w:val="18"/>
                <w:szCs w:val="18"/>
              </w:rPr>
              <w:t>1.819,8</w:t>
            </w:r>
          </w:p>
        </w:tc>
        <w:tc>
          <w:tcPr>
            <w:tcW w:w="1445" w:type="dxa"/>
            <w:tcBorders>
              <w:top w:val="nil"/>
              <w:left w:val="nil"/>
              <w:bottom w:val="single" w:sz="6" w:space="0" w:color="000000"/>
              <w:right w:val="nil"/>
            </w:tcBorders>
            <w:tcMar>
              <w:top w:w="40" w:type="dxa"/>
              <w:left w:w="40" w:type="dxa"/>
              <w:bottom w:w="40" w:type="dxa"/>
              <w:right w:w="40" w:type="dxa"/>
            </w:tcMar>
            <w:vAlign w:val="center"/>
          </w:tcPr>
          <w:p w14:paraId="329900AF" w14:textId="77777777" w:rsidR="00702466" w:rsidRDefault="0077271C">
            <w:pPr>
              <w:widowControl w:val="0"/>
              <w:spacing w:line="276" w:lineRule="auto"/>
              <w:jc w:val="center"/>
              <w:rPr>
                <w:rFonts w:ascii="Arial" w:eastAsia="Arial" w:hAnsi="Arial" w:cs="Arial"/>
                <w:sz w:val="18"/>
                <w:szCs w:val="18"/>
              </w:rPr>
            </w:pPr>
            <w:r>
              <w:rPr>
                <w:rFonts w:ascii="Arial" w:eastAsia="Arial" w:hAnsi="Arial" w:cs="Arial"/>
                <w:sz w:val="18"/>
                <w:szCs w:val="18"/>
              </w:rPr>
              <w:t>1811,42</w:t>
            </w:r>
          </w:p>
        </w:tc>
      </w:tr>
      <w:tr w:rsidR="00702466" w14:paraId="01F2042D" w14:textId="77777777" w:rsidTr="00D644E2">
        <w:trPr>
          <w:trHeight w:val="315"/>
          <w:jc w:val="center"/>
        </w:trPr>
        <w:tc>
          <w:tcPr>
            <w:tcW w:w="1164" w:type="dxa"/>
            <w:tcBorders>
              <w:top w:val="nil"/>
              <w:left w:val="nil"/>
              <w:bottom w:val="single" w:sz="6" w:space="0" w:color="000000"/>
              <w:right w:val="nil"/>
            </w:tcBorders>
            <w:tcMar>
              <w:top w:w="40" w:type="dxa"/>
              <w:left w:w="40" w:type="dxa"/>
              <w:bottom w:w="40" w:type="dxa"/>
              <w:right w:w="40" w:type="dxa"/>
            </w:tcMar>
            <w:vAlign w:val="center"/>
          </w:tcPr>
          <w:p w14:paraId="71BDB825" w14:textId="77777777" w:rsidR="00702466" w:rsidRDefault="0077271C">
            <w:pPr>
              <w:widowControl w:val="0"/>
              <w:spacing w:line="276" w:lineRule="auto"/>
              <w:jc w:val="center"/>
              <w:rPr>
                <w:rFonts w:ascii="Arial" w:eastAsia="Arial" w:hAnsi="Arial" w:cs="Arial"/>
                <w:sz w:val="18"/>
                <w:szCs w:val="18"/>
              </w:rPr>
            </w:pPr>
            <w:r>
              <w:rPr>
                <w:rFonts w:ascii="Arial" w:eastAsia="Arial" w:hAnsi="Arial" w:cs="Arial"/>
                <w:b/>
                <w:sz w:val="18"/>
                <w:szCs w:val="18"/>
              </w:rPr>
              <w:t>BL-50</w:t>
            </w:r>
          </w:p>
        </w:tc>
        <w:tc>
          <w:tcPr>
            <w:tcW w:w="861" w:type="dxa"/>
            <w:tcBorders>
              <w:top w:val="nil"/>
              <w:left w:val="nil"/>
              <w:bottom w:val="single" w:sz="6" w:space="0" w:color="000000"/>
              <w:right w:val="nil"/>
            </w:tcBorders>
            <w:tcMar>
              <w:top w:w="40" w:type="dxa"/>
              <w:left w:w="40" w:type="dxa"/>
              <w:bottom w:w="40" w:type="dxa"/>
              <w:right w:w="40" w:type="dxa"/>
            </w:tcMar>
            <w:vAlign w:val="center"/>
          </w:tcPr>
          <w:p w14:paraId="164E6598" w14:textId="77777777" w:rsidR="00702466" w:rsidRDefault="0077271C">
            <w:pPr>
              <w:widowControl w:val="0"/>
              <w:spacing w:line="276" w:lineRule="auto"/>
              <w:jc w:val="center"/>
              <w:rPr>
                <w:rFonts w:ascii="Arial" w:eastAsia="Arial" w:hAnsi="Arial" w:cs="Arial"/>
                <w:sz w:val="18"/>
                <w:szCs w:val="18"/>
              </w:rPr>
            </w:pPr>
            <w:r>
              <w:rPr>
                <w:rFonts w:ascii="Arial" w:eastAsia="Arial" w:hAnsi="Arial" w:cs="Arial"/>
                <w:sz w:val="18"/>
                <w:szCs w:val="18"/>
              </w:rPr>
              <w:t>9,75</w:t>
            </w:r>
          </w:p>
        </w:tc>
        <w:tc>
          <w:tcPr>
            <w:tcW w:w="1119" w:type="dxa"/>
            <w:tcBorders>
              <w:top w:val="nil"/>
              <w:left w:val="nil"/>
              <w:bottom w:val="single" w:sz="6" w:space="0" w:color="000000"/>
              <w:right w:val="nil"/>
            </w:tcBorders>
            <w:tcMar>
              <w:top w:w="40" w:type="dxa"/>
              <w:left w:w="40" w:type="dxa"/>
              <w:bottom w:w="40" w:type="dxa"/>
              <w:right w:w="40" w:type="dxa"/>
            </w:tcMar>
            <w:vAlign w:val="center"/>
          </w:tcPr>
          <w:p w14:paraId="589C3F53" w14:textId="77777777" w:rsidR="00702466" w:rsidRDefault="0077271C">
            <w:pPr>
              <w:widowControl w:val="0"/>
              <w:spacing w:line="276" w:lineRule="auto"/>
              <w:jc w:val="center"/>
              <w:rPr>
                <w:rFonts w:ascii="Arial" w:eastAsia="Arial" w:hAnsi="Arial" w:cs="Arial"/>
                <w:sz w:val="18"/>
                <w:szCs w:val="18"/>
              </w:rPr>
            </w:pPr>
            <w:r>
              <w:rPr>
                <w:rFonts w:ascii="Arial" w:eastAsia="Arial" w:hAnsi="Arial" w:cs="Arial"/>
                <w:sz w:val="18"/>
                <w:szCs w:val="18"/>
              </w:rPr>
              <w:t>9,78</w:t>
            </w:r>
          </w:p>
        </w:tc>
        <w:tc>
          <w:tcPr>
            <w:tcW w:w="1419" w:type="dxa"/>
            <w:tcBorders>
              <w:top w:val="nil"/>
              <w:left w:val="nil"/>
              <w:bottom w:val="single" w:sz="6" w:space="0" w:color="000000"/>
              <w:right w:val="nil"/>
            </w:tcBorders>
            <w:tcMar>
              <w:top w:w="40" w:type="dxa"/>
              <w:left w:w="40" w:type="dxa"/>
              <w:bottom w:w="40" w:type="dxa"/>
              <w:right w:w="40" w:type="dxa"/>
            </w:tcMar>
            <w:vAlign w:val="center"/>
          </w:tcPr>
          <w:p w14:paraId="7D363B73" w14:textId="77777777" w:rsidR="00702466" w:rsidRDefault="0077271C">
            <w:pPr>
              <w:widowControl w:val="0"/>
              <w:spacing w:line="276" w:lineRule="auto"/>
              <w:jc w:val="center"/>
              <w:rPr>
                <w:rFonts w:ascii="Arial" w:eastAsia="Arial" w:hAnsi="Arial" w:cs="Arial"/>
                <w:sz w:val="18"/>
                <w:szCs w:val="18"/>
              </w:rPr>
            </w:pPr>
            <w:r>
              <w:rPr>
                <w:rFonts w:ascii="Arial" w:eastAsia="Arial" w:hAnsi="Arial" w:cs="Arial"/>
                <w:sz w:val="18"/>
                <w:szCs w:val="18"/>
              </w:rPr>
              <w:t>19,90</w:t>
            </w:r>
          </w:p>
        </w:tc>
        <w:tc>
          <w:tcPr>
            <w:tcW w:w="995" w:type="dxa"/>
            <w:tcBorders>
              <w:top w:val="nil"/>
              <w:left w:val="nil"/>
              <w:bottom w:val="single" w:sz="6" w:space="0" w:color="000000"/>
              <w:right w:val="nil"/>
            </w:tcBorders>
            <w:tcMar>
              <w:top w:w="40" w:type="dxa"/>
              <w:left w:w="40" w:type="dxa"/>
              <w:bottom w:w="40" w:type="dxa"/>
              <w:right w:w="40" w:type="dxa"/>
            </w:tcMar>
            <w:vAlign w:val="center"/>
          </w:tcPr>
          <w:p w14:paraId="2493A4FD" w14:textId="77777777" w:rsidR="00702466" w:rsidRDefault="0077271C">
            <w:pPr>
              <w:widowControl w:val="0"/>
              <w:spacing w:line="276" w:lineRule="auto"/>
              <w:jc w:val="center"/>
              <w:rPr>
                <w:rFonts w:ascii="Arial" w:eastAsia="Arial" w:hAnsi="Arial" w:cs="Arial"/>
                <w:sz w:val="18"/>
                <w:szCs w:val="18"/>
              </w:rPr>
            </w:pPr>
            <w:r>
              <w:rPr>
                <w:rFonts w:ascii="Arial" w:eastAsia="Arial" w:hAnsi="Arial" w:cs="Arial"/>
                <w:sz w:val="18"/>
                <w:szCs w:val="18"/>
              </w:rPr>
              <w:t>3,577</w:t>
            </w:r>
          </w:p>
        </w:tc>
        <w:tc>
          <w:tcPr>
            <w:tcW w:w="995" w:type="dxa"/>
            <w:tcBorders>
              <w:top w:val="nil"/>
              <w:left w:val="nil"/>
              <w:bottom w:val="single" w:sz="6" w:space="0" w:color="000000"/>
              <w:right w:val="nil"/>
            </w:tcBorders>
            <w:tcMar>
              <w:top w:w="40" w:type="dxa"/>
              <w:left w:w="40" w:type="dxa"/>
              <w:bottom w:w="40" w:type="dxa"/>
              <w:right w:w="40" w:type="dxa"/>
            </w:tcMar>
            <w:vAlign w:val="center"/>
          </w:tcPr>
          <w:p w14:paraId="4F2D3B47" w14:textId="77777777" w:rsidR="00702466" w:rsidRPr="00DE36EC" w:rsidRDefault="0077271C">
            <w:pPr>
              <w:widowControl w:val="0"/>
              <w:spacing w:line="276" w:lineRule="auto"/>
              <w:jc w:val="center"/>
              <w:rPr>
                <w:rFonts w:ascii="Arial" w:eastAsia="Arial" w:hAnsi="Arial" w:cs="Arial"/>
                <w:sz w:val="18"/>
                <w:szCs w:val="18"/>
              </w:rPr>
            </w:pPr>
            <w:r w:rsidRPr="00DE36EC">
              <w:rPr>
                <w:rFonts w:ascii="Arial" w:eastAsia="Arial" w:hAnsi="Arial" w:cs="Arial"/>
                <w:sz w:val="18"/>
                <w:szCs w:val="18"/>
              </w:rPr>
              <w:t>1.901,1</w:t>
            </w:r>
          </w:p>
        </w:tc>
        <w:tc>
          <w:tcPr>
            <w:tcW w:w="1445" w:type="dxa"/>
            <w:tcBorders>
              <w:top w:val="nil"/>
              <w:left w:val="nil"/>
              <w:bottom w:val="single" w:sz="6" w:space="0" w:color="000000"/>
              <w:right w:val="nil"/>
            </w:tcBorders>
            <w:tcMar>
              <w:top w:w="40" w:type="dxa"/>
              <w:left w:w="40" w:type="dxa"/>
              <w:bottom w:w="40" w:type="dxa"/>
              <w:right w:w="40" w:type="dxa"/>
            </w:tcMar>
            <w:vAlign w:val="center"/>
          </w:tcPr>
          <w:p w14:paraId="1547E392" w14:textId="77777777" w:rsidR="00702466" w:rsidRDefault="0077271C">
            <w:pPr>
              <w:widowControl w:val="0"/>
              <w:spacing w:line="276" w:lineRule="auto"/>
              <w:jc w:val="center"/>
              <w:rPr>
                <w:rFonts w:ascii="Arial" w:eastAsia="Arial" w:hAnsi="Arial" w:cs="Arial"/>
                <w:sz w:val="18"/>
                <w:szCs w:val="18"/>
              </w:rPr>
            </w:pPr>
            <w:r>
              <w:rPr>
                <w:rFonts w:ascii="Arial" w:eastAsia="Arial" w:hAnsi="Arial" w:cs="Arial"/>
                <w:sz w:val="18"/>
                <w:szCs w:val="18"/>
              </w:rPr>
              <w:t>1881,47</w:t>
            </w:r>
          </w:p>
        </w:tc>
      </w:tr>
      <w:tr w:rsidR="00702466" w14:paraId="5CF1A687" w14:textId="77777777" w:rsidTr="00D644E2">
        <w:trPr>
          <w:trHeight w:val="315"/>
          <w:jc w:val="center"/>
        </w:trPr>
        <w:tc>
          <w:tcPr>
            <w:tcW w:w="1164" w:type="dxa"/>
            <w:tcBorders>
              <w:top w:val="nil"/>
              <w:left w:val="nil"/>
              <w:bottom w:val="single" w:sz="6" w:space="0" w:color="000000"/>
              <w:right w:val="nil"/>
            </w:tcBorders>
            <w:tcMar>
              <w:top w:w="40" w:type="dxa"/>
              <w:left w:w="40" w:type="dxa"/>
              <w:bottom w:w="40" w:type="dxa"/>
              <w:right w:w="40" w:type="dxa"/>
            </w:tcMar>
            <w:vAlign w:val="center"/>
          </w:tcPr>
          <w:p w14:paraId="3C96E54D" w14:textId="77777777" w:rsidR="00702466" w:rsidRDefault="0077271C">
            <w:pPr>
              <w:widowControl w:val="0"/>
              <w:spacing w:line="276" w:lineRule="auto"/>
              <w:jc w:val="center"/>
              <w:rPr>
                <w:rFonts w:ascii="Arial" w:eastAsia="Arial" w:hAnsi="Arial" w:cs="Arial"/>
                <w:sz w:val="18"/>
                <w:szCs w:val="18"/>
              </w:rPr>
            </w:pPr>
            <w:r>
              <w:rPr>
                <w:rFonts w:ascii="Arial" w:eastAsia="Arial" w:hAnsi="Arial" w:cs="Arial"/>
                <w:b/>
                <w:sz w:val="18"/>
                <w:szCs w:val="18"/>
              </w:rPr>
              <w:t>BL-60</w:t>
            </w:r>
          </w:p>
        </w:tc>
        <w:tc>
          <w:tcPr>
            <w:tcW w:w="861" w:type="dxa"/>
            <w:tcBorders>
              <w:top w:val="nil"/>
              <w:left w:val="nil"/>
              <w:bottom w:val="single" w:sz="6" w:space="0" w:color="000000"/>
              <w:right w:val="nil"/>
            </w:tcBorders>
            <w:tcMar>
              <w:top w:w="40" w:type="dxa"/>
              <w:left w:w="40" w:type="dxa"/>
              <w:bottom w:w="40" w:type="dxa"/>
              <w:right w:w="40" w:type="dxa"/>
            </w:tcMar>
            <w:vAlign w:val="center"/>
          </w:tcPr>
          <w:p w14:paraId="03E7823C" w14:textId="77777777" w:rsidR="00702466" w:rsidRDefault="0077271C">
            <w:pPr>
              <w:widowControl w:val="0"/>
              <w:spacing w:line="276" w:lineRule="auto"/>
              <w:jc w:val="center"/>
              <w:rPr>
                <w:rFonts w:ascii="Arial" w:eastAsia="Arial" w:hAnsi="Arial" w:cs="Arial"/>
                <w:sz w:val="18"/>
                <w:szCs w:val="18"/>
              </w:rPr>
            </w:pPr>
            <w:r>
              <w:rPr>
                <w:rFonts w:ascii="Arial" w:eastAsia="Arial" w:hAnsi="Arial" w:cs="Arial"/>
                <w:sz w:val="18"/>
                <w:szCs w:val="18"/>
              </w:rPr>
              <w:t>9,55</w:t>
            </w:r>
          </w:p>
        </w:tc>
        <w:tc>
          <w:tcPr>
            <w:tcW w:w="1119" w:type="dxa"/>
            <w:tcBorders>
              <w:top w:val="nil"/>
              <w:left w:val="nil"/>
              <w:bottom w:val="single" w:sz="6" w:space="0" w:color="000000"/>
              <w:right w:val="nil"/>
            </w:tcBorders>
            <w:tcMar>
              <w:top w:w="40" w:type="dxa"/>
              <w:left w:w="40" w:type="dxa"/>
              <w:bottom w:w="40" w:type="dxa"/>
              <w:right w:w="40" w:type="dxa"/>
            </w:tcMar>
            <w:vAlign w:val="center"/>
          </w:tcPr>
          <w:p w14:paraId="637BF84F" w14:textId="77777777" w:rsidR="00702466" w:rsidRDefault="0077271C">
            <w:pPr>
              <w:widowControl w:val="0"/>
              <w:spacing w:line="276" w:lineRule="auto"/>
              <w:jc w:val="center"/>
              <w:rPr>
                <w:rFonts w:ascii="Arial" w:eastAsia="Arial" w:hAnsi="Arial" w:cs="Arial"/>
                <w:sz w:val="18"/>
                <w:szCs w:val="18"/>
              </w:rPr>
            </w:pPr>
            <w:r>
              <w:rPr>
                <w:rFonts w:ascii="Arial" w:eastAsia="Arial" w:hAnsi="Arial" w:cs="Arial"/>
                <w:sz w:val="18"/>
                <w:szCs w:val="18"/>
              </w:rPr>
              <w:t>10,00</w:t>
            </w:r>
          </w:p>
        </w:tc>
        <w:tc>
          <w:tcPr>
            <w:tcW w:w="1419" w:type="dxa"/>
            <w:tcBorders>
              <w:top w:val="nil"/>
              <w:left w:val="nil"/>
              <w:bottom w:val="single" w:sz="6" w:space="0" w:color="000000"/>
              <w:right w:val="nil"/>
            </w:tcBorders>
            <w:tcMar>
              <w:top w:w="40" w:type="dxa"/>
              <w:left w:w="40" w:type="dxa"/>
              <w:bottom w:w="40" w:type="dxa"/>
              <w:right w:w="40" w:type="dxa"/>
            </w:tcMar>
            <w:vAlign w:val="center"/>
          </w:tcPr>
          <w:p w14:paraId="25F1D79A" w14:textId="77777777" w:rsidR="00702466" w:rsidRDefault="0077271C">
            <w:pPr>
              <w:widowControl w:val="0"/>
              <w:spacing w:line="276" w:lineRule="auto"/>
              <w:jc w:val="center"/>
              <w:rPr>
                <w:rFonts w:ascii="Arial" w:eastAsia="Arial" w:hAnsi="Arial" w:cs="Arial"/>
                <w:sz w:val="18"/>
                <w:szCs w:val="18"/>
              </w:rPr>
            </w:pPr>
            <w:r>
              <w:rPr>
                <w:rFonts w:ascii="Arial" w:eastAsia="Arial" w:hAnsi="Arial" w:cs="Arial"/>
                <w:sz w:val="18"/>
                <w:szCs w:val="18"/>
              </w:rPr>
              <w:t>19,53</w:t>
            </w:r>
          </w:p>
        </w:tc>
        <w:tc>
          <w:tcPr>
            <w:tcW w:w="995" w:type="dxa"/>
            <w:tcBorders>
              <w:top w:val="nil"/>
              <w:left w:val="nil"/>
              <w:bottom w:val="single" w:sz="6" w:space="0" w:color="000000"/>
              <w:right w:val="nil"/>
            </w:tcBorders>
            <w:tcMar>
              <w:top w:w="40" w:type="dxa"/>
              <w:left w:w="40" w:type="dxa"/>
              <w:bottom w:w="40" w:type="dxa"/>
              <w:right w:w="40" w:type="dxa"/>
            </w:tcMar>
            <w:vAlign w:val="center"/>
          </w:tcPr>
          <w:p w14:paraId="49E8EDCF" w14:textId="77777777" w:rsidR="00702466" w:rsidRDefault="0077271C">
            <w:pPr>
              <w:widowControl w:val="0"/>
              <w:spacing w:line="276" w:lineRule="auto"/>
              <w:jc w:val="center"/>
              <w:rPr>
                <w:rFonts w:ascii="Arial" w:eastAsia="Arial" w:hAnsi="Arial" w:cs="Arial"/>
                <w:sz w:val="18"/>
                <w:szCs w:val="18"/>
              </w:rPr>
            </w:pPr>
            <w:r>
              <w:rPr>
                <w:rFonts w:ascii="Arial" w:eastAsia="Arial" w:hAnsi="Arial" w:cs="Arial"/>
                <w:sz w:val="18"/>
                <w:szCs w:val="18"/>
              </w:rPr>
              <w:t>3,524</w:t>
            </w:r>
          </w:p>
        </w:tc>
        <w:tc>
          <w:tcPr>
            <w:tcW w:w="995" w:type="dxa"/>
            <w:tcBorders>
              <w:top w:val="nil"/>
              <w:left w:val="nil"/>
              <w:bottom w:val="single" w:sz="6" w:space="0" w:color="000000"/>
              <w:right w:val="nil"/>
            </w:tcBorders>
            <w:tcMar>
              <w:top w:w="40" w:type="dxa"/>
              <w:left w:w="40" w:type="dxa"/>
              <w:bottom w:w="40" w:type="dxa"/>
              <w:right w:w="40" w:type="dxa"/>
            </w:tcMar>
            <w:vAlign w:val="center"/>
          </w:tcPr>
          <w:p w14:paraId="07F80741" w14:textId="77777777" w:rsidR="00702466" w:rsidRPr="00DE36EC" w:rsidRDefault="0077271C">
            <w:pPr>
              <w:widowControl w:val="0"/>
              <w:spacing w:line="276" w:lineRule="auto"/>
              <w:jc w:val="center"/>
              <w:rPr>
                <w:rFonts w:ascii="Arial" w:eastAsia="Arial" w:hAnsi="Arial" w:cs="Arial"/>
                <w:sz w:val="18"/>
                <w:szCs w:val="18"/>
              </w:rPr>
            </w:pPr>
            <w:r w:rsidRPr="00DE36EC">
              <w:rPr>
                <w:rFonts w:ascii="Arial" w:eastAsia="Arial" w:hAnsi="Arial" w:cs="Arial"/>
                <w:sz w:val="18"/>
                <w:szCs w:val="18"/>
              </w:rPr>
              <w:t>1.855,8</w:t>
            </w:r>
          </w:p>
        </w:tc>
        <w:tc>
          <w:tcPr>
            <w:tcW w:w="1445" w:type="dxa"/>
            <w:tcBorders>
              <w:top w:val="nil"/>
              <w:left w:val="nil"/>
              <w:bottom w:val="single" w:sz="6" w:space="0" w:color="000000"/>
              <w:right w:val="nil"/>
            </w:tcBorders>
            <w:tcMar>
              <w:top w:w="40" w:type="dxa"/>
              <w:left w:w="40" w:type="dxa"/>
              <w:bottom w:w="40" w:type="dxa"/>
              <w:right w:w="40" w:type="dxa"/>
            </w:tcMar>
            <w:vAlign w:val="center"/>
          </w:tcPr>
          <w:p w14:paraId="513AEF0D" w14:textId="77777777" w:rsidR="00702466" w:rsidRDefault="0077271C">
            <w:pPr>
              <w:widowControl w:val="0"/>
              <w:spacing w:line="276" w:lineRule="auto"/>
              <w:jc w:val="center"/>
              <w:rPr>
                <w:rFonts w:ascii="Arial" w:eastAsia="Arial" w:hAnsi="Arial" w:cs="Arial"/>
                <w:sz w:val="18"/>
                <w:szCs w:val="18"/>
              </w:rPr>
            </w:pPr>
            <w:r>
              <w:rPr>
                <w:rFonts w:ascii="Arial" w:eastAsia="Arial" w:hAnsi="Arial" w:cs="Arial"/>
                <w:sz w:val="18"/>
                <w:szCs w:val="18"/>
              </w:rPr>
              <w:t>1899,14</w:t>
            </w:r>
          </w:p>
        </w:tc>
      </w:tr>
      <w:tr w:rsidR="00702466" w14:paraId="03711944" w14:textId="77777777" w:rsidTr="00D644E2">
        <w:trPr>
          <w:trHeight w:val="315"/>
          <w:jc w:val="center"/>
        </w:trPr>
        <w:tc>
          <w:tcPr>
            <w:tcW w:w="1164" w:type="dxa"/>
            <w:tcBorders>
              <w:top w:val="nil"/>
              <w:left w:val="nil"/>
              <w:bottom w:val="single" w:sz="12" w:space="0" w:color="000000"/>
              <w:right w:val="nil"/>
            </w:tcBorders>
            <w:tcMar>
              <w:top w:w="40" w:type="dxa"/>
              <w:left w:w="40" w:type="dxa"/>
              <w:bottom w:w="40" w:type="dxa"/>
              <w:right w:w="40" w:type="dxa"/>
            </w:tcMar>
            <w:vAlign w:val="center"/>
          </w:tcPr>
          <w:p w14:paraId="3D8E7CF5" w14:textId="77777777" w:rsidR="00702466" w:rsidRDefault="0077271C">
            <w:pPr>
              <w:widowControl w:val="0"/>
              <w:spacing w:line="276" w:lineRule="auto"/>
              <w:jc w:val="center"/>
              <w:rPr>
                <w:rFonts w:ascii="Arial" w:eastAsia="Arial" w:hAnsi="Arial" w:cs="Arial"/>
                <w:sz w:val="18"/>
                <w:szCs w:val="18"/>
              </w:rPr>
            </w:pPr>
            <w:r>
              <w:rPr>
                <w:rFonts w:ascii="Arial" w:eastAsia="Arial" w:hAnsi="Arial" w:cs="Arial"/>
                <w:b/>
                <w:sz w:val="18"/>
                <w:szCs w:val="18"/>
              </w:rPr>
              <w:t>BL-70</w:t>
            </w:r>
          </w:p>
        </w:tc>
        <w:tc>
          <w:tcPr>
            <w:tcW w:w="861" w:type="dxa"/>
            <w:tcBorders>
              <w:top w:val="nil"/>
              <w:left w:val="nil"/>
              <w:bottom w:val="single" w:sz="12" w:space="0" w:color="000000"/>
              <w:right w:val="nil"/>
            </w:tcBorders>
            <w:tcMar>
              <w:top w:w="40" w:type="dxa"/>
              <w:left w:w="40" w:type="dxa"/>
              <w:bottom w:w="40" w:type="dxa"/>
              <w:right w:w="40" w:type="dxa"/>
            </w:tcMar>
            <w:vAlign w:val="center"/>
          </w:tcPr>
          <w:p w14:paraId="1E5C9CC5" w14:textId="77777777" w:rsidR="00702466" w:rsidRDefault="0077271C">
            <w:pPr>
              <w:widowControl w:val="0"/>
              <w:spacing w:line="276" w:lineRule="auto"/>
              <w:jc w:val="center"/>
              <w:rPr>
                <w:rFonts w:ascii="Arial" w:eastAsia="Arial" w:hAnsi="Arial" w:cs="Arial"/>
                <w:sz w:val="18"/>
                <w:szCs w:val="18"/>
              </w:rPr>
            </w:pPr>
            <w:r>
              <w:rPr>
                <w:rFonts w:ascii="Arial" w:eastAsia="Arial" w:hAnsi="Arial" w:cs="Arial"/>
                <w:sz w:val="18"/>
                <w:szCs w:val="18"/>
              </w:rPr>
              <w:t>9,55</w:t>
            </w:r>
          </w:p>
        </w:tc>
        <w:tc>
          <w:tcPr>
            <w:tcW w:w="1119" w:type="dxa"/>
            <w:tcBorders>
              <w:top w:val="nil"/>
              <w:left w:val="nil"/>
              <w:bottom w:val="single" w:sz="12" w:space="0" w:color="000000"/>
              <w:right w:val="nil"/>
            </w:tcBorders>
            <w:tcMar>
              <w:top w:w="40" w:type="dxa"/>
              <w:left w:w="40" w:type="dxa"/>
              <w:bottom w:w="40" w:type="dxa"/>
              <w:right w:w="40" w:type="dxa"/>
            </w:tcMar>
            <w:vAlign w:val="center"/>
          </w:tcPr>
          <w:p w14:paraId="61F6FC45" w14:textId="77777777" w:rsidR="00702466" w:rsidRDefault="0077271C">
            <w:pPr>
              <w:widowControl w:val="0"/>
              <w:spacing w:line="276" w:lineRule="auto"/>
              <w:jc w:val="center"/>
              <w:rPr>
                <w:rFonts w:ascii="Arial" w:eastAsia="Arial" w:hAnsi="Arial" w:cs="Arial"/>
                <w:sz w:val="18"/>
                <w:szCs w:val="18"/>
              </w:rPr>
            </w:pPr>
            <w:r>
              <w:rPr>
                <w:rFonts w:ascii="Arial" w:eastAsia="Arial" w:hAnsi="Arial" w:cs="Arial"/>
                <w:sz w:val="18"/>
                <w:szCs w:val="18"/>
              </w:rPr>
              <w:t>10,00</w:t>
            </w:r>
          </w:p>
        </w:tc>
        <w:tc>
          <w:tcPr>
            <w:tcW w:w="1419" w:type="dxa"/>
            <w:tcBorders>
              <w:top w:val="nil"/>
              <w:left w:val="nil"/>
              <w:bottom w:val="single" w:sz="12" w:space="0" w:color="000000"/>
              <w:right w:val="nil"/>
            </w:tcBorders>
            <w:tcMar>
              <w:top w:w="40" w:type="dxa"/>
              <w:left w:w="40" w:type="dxa"/>
              <w:bottom w:w="40" w:type="dxa"/>
              <w:right w:w="40" w:type="dxa"/>
            </w:tcMar>
            <w:vAlign w:val="center"/>
          </w:tcPr>
          <w:p w14:paraId="5B38C093" w14:textId="77777777" w:rsidR="00702466" w:rsidRDefault="0077271C">
            <w:pPr>
              <w:widowControl w:val="0"/>
              <w:spacing w:line="276" w:lineRule="auto"/>
              <w:jc w:val="center"/>
              <w:rPr>
                <w:rFonts w:ascii="Arial" w:eastAsia="Arial" w:hAnsi="Arial" w:cs="Arial"/>
                <w:sz w:val="18"/>
                <w:szCs w:val="18"/>
              </w:rPr>
            </w:pPr>
            <w:r>
              <w:rPr>
                <w:rFonts w:ascii="Arial" w:eastAsia="Arial" w:hAnsi="Arial" w:cs="Arial"/>
                <w:sz w:val="18"/>
                <w:szCs w:val="18"/>
              </w:rPr>
              <w:t>19,53</w:t>
            </w:r>
          </w:p>
        </w:tc>
        <w:tc>
          <w:tcPr>
            <w:tcW w:w="995" w:type="dxa"/>
            <w:tcBorders>
              <w:top w:val="nil"/>
              <w:left w:val="nil"/>
              <w:bottom w:val="single" w:sz="12" w:space="0" w:color="000000"/>
              <w:right w:val="nil"/>
            </w:tcBorders>
            <w:tcMar>
              <w:top w:w="40" w:type="dxa"/>
              <w:left w:w="40" w:type="dxa"/>
              <w:bottom w:w="40" w:type="dxa"/>
              <w:right w:w="40" w:type="dxa"/>
            </w:tcMar>
            <w:vAlign w:val="center"/>
          </w:tcPr>
          <w:p w14:paraId="2B40BB9E" w14:textId="77777777" w:rsidR="00702466" w:rsidRDefault="0077271C">
            <w:pPr>
              <w:widowControl w:val="0"/>
              <w:spacing w:line="276" w:lineRule="auto"/>
              <w:jc w:val="center"/>
              <w:rPr>
                <w:rFonts w:ascii="Arial" w:eastAsia="Arial" w:hAnsi="Arial" w:cs="Arial"/>
                <w:sz w:val="18"/>
                <w:szCs w:val="18"/>
              </w:rPr>
            </w:pPr>
            <w:r>
              <w:rPr>
                <w:rFonts w:ascii="Arial" w:eastAsia="Arial" w:hAnsi="Arial" w:cs="Arial"/>
                <w:sz w:val="18"/>
                <w:szCs w:val="18"/>
              </w:rPr>
              <w:t>3,645</w:t>
            </w:r>
          </w:p>
        </w:tc>
        <w:tc>
          <w:tcPr>
            <w:tcW w:w="995" w:type="dxa"/>
            <w:tcBorders>
              <w:top w:val="nil"/>
              <w:left w:val="nil"/>
              <w:bottom w:val="single" w:sz="12" w:space="0" w:color="000000"/>
              <w:right w:val="nil"/>
            </w:tcBorders>
            <w:tcMar>
              <w:top w:w="40" w:type="dxa"/>
              <w:left w:w="40" w:type="dxa"/>
              <w:bottom w:w="40" w:type="dxa"/>
              <w:right w:w="40" w:type="dxa"/>
            </w:tcMar>
            <w:vAlign w:val="center"/>
          </w:tcPr>
          <w:p w14:paraId="6D6A6BAC" w14:textId="77777777" w:rsidR="00702466" w:rsidRPr="00DE36EC" w:rsidRDefault="0077271C">
            <w:pPr>
              <w:widowControl w:val="0"/>
              <w:spacing w:line="276" w:lineRule="auto"/>
              <w:jc w:val="center"/>
              <w:rPr>
                <w:rFonts w:ascii="Arial" w:eastAsia="Arial" w:hAnsi="Arial" w:cs="Arial"/>
                <w:sz w:val="18"/>
                <w:szCs w:val="18"/>
              </w:rPr>
            </w:pPr>
            <w:r w:rsidRPr="00DE36EC">
              <w:rPr>
                <w:rFonts w:ascii="Arial" w:eastAsia="Arial" w:hAnsi="Arial" w:cs="Arial"/>
                <w:sz w:val="18"/>
                <w:szCs w:val="18"/>
              </w:rPr>
              <w:t>1.855,8</w:t>
            </w:r>
          </w:p>
        </w:tc>
        <w:tc>
          <w:tcPr>
            <w:tcW w:w="1445" w:type="dxa"/>
            <w:tcBorders>
              <w:top w:val="nil"/>
              <w:left w:val="nil"/>
              <w:bottom w:val="single" w:sz="12" w:space="0" w:color="000000"/>
              <w:right w:val="nil"/>
            </w:tcBorders>
            <w:tcMar>
              <w:top w:w="40" w:type="dxa"/>
              <w:left w:w="40" w:type="dxa"/>
              <w:bottom w:w="40" w:type="dxa"/>
              <w:right w:w="40" w:type="dxa"/>
            </w:tcMar>
            <w:vAlign w:val="center"/>
          </w:tcPr>
          <w:p w14:paraId="26B18612" w14:textId="77777777" w:rsidR="00702466" w:rsidRDefault="0077271C">
            <w:pPr>
              <w:widowControl w:val="0"/>
              <w:spacing w:line="276" w:lineRule="auto"/>
              <w:jc w:val="center"/>
              <w:rPr>
                <w:rFonts w:ascii="Arial" w:eastAsia="Arial" w:hAnsi="Arial" w:cs="Arial"/>
                <w:sz w:val="18"/>
                <w:szCs w:val="18"/>
              </w:rPr>
            </w:pPr>
            <w:r>
              <w:rPr>
                <w:rFonts w:ascii="Arial" w:eastAsia="Arial" w:hAnsi="Arial" w:cs="Arial"/>
                <w:sz w:val="18"/>
                <w:szCs w:val="18"/>
              </w:rPr>
              <w:t>1964,34</w:t>
            </w:r>
          </w:p>
        </w:tc>
      </w:tr>
      <w:tr w:rsidR="00702466" w14:paraId="1BD6A7CB" w14:textId="77777777" w:rsidTr="00D644E2">
        <w:trPr>
          <w:trHeight w:val="315"/>
          <w:jc w:val="center"/>
        </w:trPr>
        <w:tc>
          <w:tcPr>
            <w:tcW w:w="1164" w:type="dxa"/>
            <w:tcBorders>
              <w:top w:val="single" w:sz="12" w:space="0" w:color="000000"/>
              <w:left w:val="nil"/>
              <w:bottom w:val="single" w:sz="6" w:space="0" w:color="000000"/>
              <w:right w:val="nil"/>
            </w:tcBorders>
            <w:tcMar>
              <w:top w:w="40" w:type="dxa"/>
              <w:left w:w="40" w:type="dxa"/>
              <w:bottom w:w="40" w:type="dxa"/>
              <w:right w:w="40" w:type="dxa"/>
            </w:tcMar>
            <w:vAlign w:val="center"/>
          </w:tcPr>
          <w:p w14:paraId="24E2E613" w14:textId="77777777" w:rsidR="00702466" w:rsidRDefault="0077271C">
            <w:pPr>
              <w:widowControl w:val="0"/>
              <w:spacing w:line="276" w:lineRule="auto"/>
              <w:jc w:val="center"/>
              <w:rPr>
                <w:rFonts w:ascii="Arial" w:eastAsia="Arial" w:hAnsi="Arial" w:cs="Arial"/>
                <w:sz w:val="18"/>
                <w:szCs w:val="18"/>
              </w:rPr>
            </w:pPr>
            <w:r>
              <w:rPr>
                <w:rFonts w:ascii="Arial" w:eastAsia="Arial" w:hAnsi="Arial" w:cs="Arial"/>
                <w:b/>
                <w:sz w:val="18"/>
                <w:szCs w:val="18"/>
              </w:rPr>
              <w:t>REF-C</w:t>
            </w:r>
          </w:p>
        </w:tc>
        <w:tc>
          <w:tcPr>
            <w:tcW w:w="861" w:type="dxa"/>
            <w:tcBorders>
              <w:top w:val="single" w:sz="12" w:space="0" w:color="000000"/>
              <w:left w:val="nil"/>
              <w:bottom w:val="single" w:sz="6" w:space="0" w:color="000000"/>
              <w:right w:val="nil"/>
            </w:tcBorders>
            <w:tcMar>
              <w:top w:w="40" w:type="dxa"/>
              <w:left w:w="40" w:type="dxa"/>
              <w:bottom w:w="40" w:type="dxa"/>
              <w:right w:w="40" w:type="dxa"/>
            </w:tcMar>
            <w:vAlign w:val="center"/>
          </w:tcPr>
          <w:p w14:paraId="2FA12C5D" w14:textId="77777777" w:rsidR="00702466" w:rsidRDefault="0077271C">
            <w:pPr>
              <w:widowControl w:val="0"/>
              <w:spacing w:line="276" w:lineRule="auto"/>
              <w:jc w:val="center"/>
              <w:rPr>
                <w:rFonts w:ascii="Arial" w:eastAsia="Arial" w:hAnsi="Arial" w:cs="Arial"/>
                <w:sz w:val="18"/>
                <w:szCs w:val="18"/>
              </w:rPr>
            </w:pPr>
            <w:r>
              <w:rPr>
                <w:rFonts w:ascii="Arial" w:eastAsia="Arial" w:hAnsi="Arial" w:cs="Arial"/>
                <w:sz w:val="18"/>
                <w:szCs w:val="18"/>
              </w:rPr>
              <w:t>9,80</w:t>
            </w:r>
          </w:p>
        </w:tc>
        <w:tc>
          <w:tcPr>
            <w:tcW w:w="1119" w:type="dxa"/>
            <w:tcBorders>
              <w:top w:val="single" w:sz="12" w:space="0" w:color="000000"/>
              <w:left w:val="nil"/>
              <w:bottom w:val="single" w:sz="6" w:space="0" w:color="000000"/>
              <w:right w:val="nil"/>
            </w:tcBorders>
            <w:tcMar>
              <w:top w:w="40" w:type="dxa"/>
              <w:left w:w="40" w:type="dxa"/>
              <w:bottom w:w="40" w:type="dxa"/>
              <w:right w:w="40" w:type="dxa"/>
            </w:tcMar>
            <w:vAlign w:val="center"/>
          </w:tcPr>
          <w:p w14:paraId="552FADDF" w14:textId="77777777" w:rsidR="00702466" w:rsidRDefault="0077271C">
            <w:pPr>
              <w:widowControl w:val="0"/>
              <w:spacing w:line="276" w:lineRule="auto"/>
              <w:jc w:val="center"/>
              <w:rPr>
                <w:rFonts w:ascii="Arial" w:eastAsia="Arial" w:hAnsi="Arial" w:cs="Arial"/>
                <w:sz w:val="18"/>
                <w:szCs w:val="18"/>
              </w:rPr>
            </w:pPr>
            <w:r>
              <w:rPr>
                <w:rFonts w:ascii="Arial" w:eastAsia="Arial" w:hAnsi="Arial" w:cs="Arial"/>
                <w:sz w:val="18"/>
                <w:szCs w:val="18"/>
              </w:rPr>
              <w:t>9,78</w:t>
            </w:r>
          </w:p>
        </w:tc>
        <w:tc>
          <w:tcPr>
            <w:tcW w:w="1419" w:type="dxa"/>
            <w:tcBorders>
              <w:top w:val="single" w:sz="12" w:space="0" w:color="000000"/>
              <w:left w:val="nil"/>
              <w:bottom w:val="single" w:sz="6" w:space="0" w:color="000000"/>
              <w:right w:val="nil"/>
            </w:tcBorders>
            <w:tcMar>
              <w:top w:w="40" w:type="dxa"/>
              <w:left w:w="40" w:type="dxa"/>
              <w:bottom w:w="40" w:type="dxa"/>
              <w:right w:w="40" w:type="dxa"/>
            </w:tcMar>
            <w:vAlign w:val="center"/>
          </w:tcPr>
          <w:p w14:paraId="212E25CC" w14:textId="77777777" w:rsidR="00702466" w:rsidRDefault="0077271C">
            <w:pPr>
              <w:widowControl w:val="0"/>
              <w:spacing w:line="276" w:lineRule="auto"/>
              <w:jc w:val="center"/>
              <w:rPr>
                <w:rFonts w:ascii="Arial" w:eastAsia="Arial" w:hAnsi="Arial" w:cs="Arial"/>
                <w:sz w:val="18"/>
                <w:szCs w:val="18"/>
              </w:rPr>
            </w:pPr>
            <w:r>
              <w:rPr>
                <w:rFonts w:ascii="Arial" w:eastAsia="Arial" w:hAnsi="Arial" w:cs="Arial"/>
                <w:sz w:val="18"/>
                <w:szCs w:val="18"/>
              </w:rPr>
              <w:t>20,23</w:t>
            </w:r>
          </w:p>
        </w:tc>
        <w:tc>
          <w:tcPr>
            <w:tcW w:w="995" w:type="dxa"/>
            <w:tcBorders>
              <w:top w:val="single" w:sz="12" w:space="0" w:color="000000"/>
              <w:left w:val="nil"/>
              <w:bottom w:val="single" w:sz="6" w:space="0" w:color="000000"/>
              <w:right w:val="nil"/>
            </w:tcBorders>
            <w:tcMar>
              <w:top w:w="40" w:type="dxa"/>
              <w:left w:w="40" w:type="dxa"/>
              <w:bottom w:w="40" w:type="dxa"/>
              <w:right w:w="40" w:type="dxa"/>
            </w:tcMar>
            <w:vAlign w:val="center"/>
          </w:tcPr>
          <w:p w14:paraId="026CB82A" w14:textId="77777777" w:rsidR="00702466" w:rsidRDefault="0077271C">
            <w:pPr>
              <w:widowControl w:val="0"/>
              <w:spacing w:line="276" w:lineRule="auto"/>
              <w:jc w:val="center"/>
              <w:rPr>
                <w:rFonts w:ascii="Arial" w:eastAsia="Arial" w:hAnsi="Arial" w:cs="Arial"/>
                <w:sz w:val="18"/>
                <w:szCs w:val="18"/>
              </w:rPr>
            </w:pPr>
            <w:r>
              <w:rPr>
                <w:rFonts w:ascii="Arial" w:eastAsia="Arial" w:hAnsi="Arial" w:cs="Arial"/>
                <w:sz w:val="18"/>
                <w:szCs w:val="18"/>
              </w:rPr>
              <w:t>3,260</w:t>
            </w:r>
          </w:p>
        </w:tc>
        <w:tc>
          <w:tcPr>
            <w:tcW w:w="995" w:type="dxa"/>
            <w:tcBorders>
              <w:top w:val="single" w:sz="12" w:space="0" w:color="000000"/>
              <w:left w:val="nil"/>
              <w:bottom w:val="single" w:sz="6" w:space="0" w:color="000000"/>
              <w:right w:val="nil"/>
            </w:tcBorders>
            <w:tcMar>
              <w:top w:w="40" w:type="dxa"/>
              <w:left w:w="40" w:type="dxa"/>
              <w:bottom w:w="40" w:type="dxa"/>
              <w:right w:w="40" w:type="dxa"/>
            </w:tcMar>
            <w:vAlign w:val="center"/>
          </w:tcPr>
          <w:p w14:paraId="1FE1C773" w14:textId="77777777" w:rsidR="00702466" w:rsidRPr="00DE36EC" w:rsidRDefault="0077271C">
            <w:pPr>
              <w:widowControl w:val="0"/>
              <w:spacing w:line="276" w:lineRule="auto"/>
              <w:jc w:val="center"/>
              <w:rPr>
                <w:rFonts w:ascii="Arial" w:eastAsia="Arial" w:hAnsi="Arial" w:cs="Arial"/>
                <w:sz w:val="18"/>
                <w:szCs w:val="18"/>
              </w:rPr>
            </w:pPr>
            <w:r w:rsidRPr="00DE36EC">
              <w:rPr>
                <w:rFonts w:ascii="Arial" w:eastAsia="Arial" w:hAnsi="Arial" w:cs="Arial"/>
                <w:sz w:val="18"/>
                <w:szCs w:val="18"/>
              </w:rPr>
              <w:t>1.957,3</w:t>
            </w:r>
          </w:p>
        </w:tc>
        <w:tc>
          <w:tcPr>
            <w:tcW w:w="1445" w:type="dxa"/>
            <w:tcBorders>
              <w:top w:val="single" w:sz="12" w:space="0" w:color="000000"/>
              <w:left w:val="nil"/>
              <w:bottom w:val="single" w:sz="6" w:space="0" w:color="000000"/>
              <w:right w:val="nil"/>
            </w:tcBorders>
            <w:tcMar>
              <w:top w:w="40" w:type="dxa"/>
              <w:left w:w="40" w:type="dxa"/>
              <w:bottom w:w="40" w:type="dxa"/>
              <w:right w:w="40" w:type="dxa"/>
            </w:tcMar>
            <w:vAlign w:val="center"/>
          </w:tcPr>
          <w:p w14:paraId="33AD565B" w14:textId="77777777" w:rsidR="00702466" w:rsidRDefault="0077271C">
            <w:pPr>
              <w:widowControl w:val="0"/>
              <w:spacing w:line="276" w:lineRule="auto"/>
              <w:jc w:val="center"/>
              <w:rPr>
                <w:rFonts w:ascii="Arial" w:eastAsia="Arial" w:hAnsi="Arial" w:cs="Arial"/>
                <w:sz w:val="18"/>
                <w:szCs w:val="18"/>
              </w:rPr>
            </w:pPr>
            <w:r>
              <w:rPr>
                <w:rFonts w:ascii="Arial" w:eastAsia="Arial" w:hAnsi="Arial" w:cs="Arial"/>
                <w:sz w:val="18"/>
                <w:szCs w:val="18"/>
              </w:rPr>
              <w:t>1665,68</w:t>
            </w:r>
          </w:p>
        </w:tc>
      </w:tr>
      <w:tr w:rsidR="00702466" w14:paraId="2D3578A1" w14:textId="77777777" w:rsidTr="00D644E2">
        <w:trPr>
          <w:trHeight w:val="315"/>
          <w:jc w:val="center"/>
        </w:trPr>
        <w:tc>
          <w:tcPr>
            <w:tcW w:w="1164" w:type="dxa"/>
            <w:tcBorders>
              <w:top w:val="nil"/>
              <w:left w:val="nil"/>
              <w:bottom w:val="single" w:sz="6" w:space="0" w:color="000000"/>
              <w:right w:val="nil"/>
            </w:tcBorders>
            <w:tcMar>
              <w:top w:w="40" w:type="dxa"/>
              <w:left w:w="40" w:type="dxa"/>
              <w:bottom w:w="40" w:type="dxa"/>
              <w:right w:w="40" w:type="dxa"/>
            </w:tcMar>
            <w:vAlign w:val="center"/>
          </w:tcPr>
          <w:p w14:paraId="14EFDC35" w14:textId="77777777" w:rsidR="00702466" w:rsidRDefault="0077271C">
            <w:pPr>
              <w:widowControl w:val="0"/>
              <w:spacing w:line="276" w:lineRule="auto"/>
              <w:jc w:val="center"/>
              <w:rPr>
                <w:rFonts w:ascii="Arial" w:eastAsia="Arial" w:hAnsi="Arial" w:cs="Arial"/>
                <w:sz w:val="18"/>
                <w:szCs w:val="18"/>
              </w:rPr>
            </w:pPr>
            <w:r>
              <w:rPr>
                <w:rFonts w:ascii="Arial" w:eastAsia="Arial" w:hAnsi="Arial" w:cs="Arial"/>
                <w:b/>
                <w:sz w:val="18"/>
                <w:szCs w:val="18"/>
              </w:rPr>
              <w:t>BL-50-C</w:t>
            </w:r>
          </w:p>
        </w:tc>
        <w:tc>
          <w:tcPr>
            <w:tcW w:w="861" w:type="dxa"/>
            <w:tcBorders>
              <w:top w:val="nil"/>
              <w:left w:val="nil"/>
              <w:bottom w:val="single" w:sz="6" w:space="0" w:color="000000"/>
              <w:right w:val="nil"/>
            </w:tcBorders>
            <w:tcMar>
              <w:top w:w="40" w:type="dxa"/>
              <w:left w:w="40" w:type="dxa"/>
              <w:bottom w:w="40" w:type="dxa"/>
              <w:right w:w="40" w:type="dxa"/>
            </w:tcMar>
            <w:vAlign w:val="center"/>
          </w:tcPr>
          <w:p w14:paraId="50DF9F57" w14:textId="77777777" w:rsidR="00702466" w:rsidRDefault="0077271C">
            <w:pPr>
              <w:widowControl w:val="0"/>
              <w:spacing w:line="276" w:lineRule="auto"/>
              <w:jc w:val="center"/>
              <w:rPr>
                <w:rFonts w:ascii="Arial" w:eastAsia="Arial" w:hAnsi="Arial" w:cs="Arial"/>
                <w:sz w:val="18"/>
                <w:szCs w:val="18"/>
              </w:rPr>
            </w:pPr>
            <w:r>
              <w:rPr>
                <w:rFonts w:ascii="Arial" w:eastAsia="Arial" w:hAnsi="Arial" w:cs="Arial"/>
                <w:sz w:val="18"/>
                <w:szCs w:val="18"/>
              </w:rPr>
              <w:t>9,93</w:t>
            </w:r>
          </w:p>
        </w:tc>
        <w:tc>
          <w:tcPr>
            <w:tcW w:w="1119" w:type="dxa"/>
            <w:tcBorders>
              <w:top w:val="nil"/>
              <w:left w:val="nil"/>
              <w:bottom w:val="single" w:sz="6" w:space="0" w:color="000000"/>
              <w:right w:val="nil"/>
            </w:tcBorders>
            <w:tcMar>
              <w:top w:w="40" w:type="dxa"/>
              <w:left w:w="40" w:type="dxa"/>
              <w:bottom w:w="40" w:type="dxa"/>
              <w:right w:w="40" w:type="dxa"/>
            </w:tcMar>
            <w:vAlign w:val="center"/>
          </w:tcPr>
          <w:p w14:paraId="2DF0AE63" w14:textId="77777777" w:rsidR="00702466" w:rsidRDefault="0077271C">
            <w:pPr>
              <w:widowControl w:val="0"/>
              <w:spacing w:line="276" w:lineRule="auto"/>
              <w:jc w:val="center"/>
              <w:rPr>
                <w:rFonts w:ascii="Arial" w:eastAsia="Arial" w:hAnsi="Arial" w:cs="Arial"/>
                <w:sz w:val="18"/>
                <w:szCs w:val="18"/>
              </w:rPr>
            </w:pPr>
            <w:r>
              <w:rPr>
                <w:rFonts w:ascii="Arial" w:eastAsia="Arial" w:hAnsi="Arial" w:cs="Arial"/>
                <w:sz w:val="18"/>
                <w:szCs w:val="18"/>
              </w:rPr>
              <w:t>9,90</w:t>
            </w:r>
          </w:p>
        </w:tc>
        <w:tc>
          <w:tcPr>
            <w:tcW w:w="1419" w:type="dxa"/>
            <w:tcBorders>
              <w:top w:val="nil"/>
              <w:left w:val="nil"/>
              <w:bottom w:val="single" w:sz="6" w:space="0" w:color="000000"/>
              <w:right w:val="nil"/>
            </w:tcBorders>
            <w:tcMar>
              <w:top w:w="40" w:type="dxa"/>
              <w:left w:w="40" w:type="dxa"/>
              <w:bottom w:w="40" w:type="dxa"/>
              <w:right w:w="40" w:type="dxa"/>
            </w:tcMar>
            <w:vAlign w:val="center"/>
          </w:tcPr>
          <w:p w14:paraId="055EE762" w14:textId="77777777" w:rsidR="00702466" w:rsidRDefault="0077271C">
            <w:pPr>
              <w:widowControl w:val="0"/>
              <w:spacing w:line="276" w:lineRule="auto"/>
              <w:jc w:val="center"/>
              <w:rPr>
                <w:rFonts w:ascii="Arial" w:eastAsia="Arial" w:hAnsi="Arial" w:cs="Arial"/>
                <w:sz w:val="18"/>
                <w:szCs w:val="18"/>
              </w:rPr>
            </w:pPr>
            <w:r>
              <w:rPr>
                <w:rFonts w:ascii="Arial" w:eastAsia="Arial" w:hAnsi="Arial" w:cs="Arial"/>
                <w:sz w:val="18"/>
                <w:szCs w:val="18"/>
              </w:rPr>
              <w:t>20,20</w:t>
            </w:r>
          </w:p>
        </w:tc>
        <w:tc>
          <w:tcPr>
            <w:tcW w:w="995" w:type="dxa"/>
            <w:tcBorders>
              <w:top w:val="nil"/>
              <w:left w:val="nil"/>
              <w:bottom w:val="single" w:sz="6" w:space="0" w:color="000000"/>
              <w:right w:val="nil"/>
            </w:tcBorders>
            <w:tcMar>
              <w:top w:w="40" w:type="dxa"/>
              <w:left w:w="40" w:type="dxa"/>
              <w:bottom w:w="40" w:type="dxa"/>
              <w:right w:w="40" w:type="dxa"/>
            </w:tcMar>
            <w:vAlign w:val="center"/>
          </w:tcPr>
          <w:p w14:paraId="24DF3ECB" w14:textId="77777777" w:rsidR="00702466" w:rsidRDefault="0077271C">
            <w:pPr>
              <w:widowControl w:val="0"/>
              <w:spacing w:line="276" w:lineRule="auto"/>
              <w:jc w:val="center"/>
              <w:rPr>
                <w:rFonts w:ascii="Arial" w:eastAsia="Arial" w:hAnsi="Arial" w:cs="Arial"/>
                <w:sz w:val="18"/>
                <w:szCs w:val="18"/>
              </w:rPr>
            </w:pPr>
            <w:r>
              <w:rPr>
                <w:rFonts w:ascii="Arial" w:eastAsia="Arial" w:hAnsi="Arial" w:cs="Arial"/>
                <w:sz w:val="18"/>
                <w:szCs w:val="18"/>
              </w:rPr>
              <w:t>3,426</w:t>
            </w:r>
          </w:p>
        </w:tc>
        <w:tc>
          <w:tcPr>
            <w:tcW w:w="995" w:type="dxa"/>
            <w:tcBorders>
              <w:top w:val="nil"/>
              <w:left w:val="nil"/>
              <w:bottom w:val="single" w:sz="6" w:space="0" w:color="000000"/>
              <w:right w:val="nil"/>
            </w:tcBorders>
            <w:tcMar>
              <w:top w:w="40" w:type="dxa"/>
              <w:left w:w="40" w:type="dxa"/>
              <w:bottom w:w="40" w:type="dxa"/>
              <w:right w:w="40" w:type="dxa"/>
            </w:tcMar>
            <w:vAlign w:val="center"/>
          </w:tcPr>
          <w:p w14:paraId="2378C152" w14:textId="77777777" w:rsidR="00702466" w:rsidRPr="00DE36EC" w:rsidRDefault="0077271C">
            <w:pPr>
              <w:widowControl w:val="0"/>
              <w:spacing w:line="276" w:lineRule="auto"/>
              <w:jc w:val="center"/>
              <w:rPr>
                <w:rFonts w:ascii="Arial" w:eastAsia="Arial" w:hAnsi="Arial" w:cs="Arial"/>
                <w:sz w:val="18"/>
                <w:szCs w:val="18"/>
              </w:rPr>
            </w:pPr>
            <w:r w:rsidRPr="00DE36EC">
              <w:rPr>
                <w:rFonts w:ascii="Arial" w:eastAsia="Arial" w:hAnsi="Arial" w:cs="Arial"/>
                <w:sz w:val="18"/>
                <w:szCs w:val="18"/>
              </w:rPr>
              <w:t>1.984,4</w:t>
            </w:r>
          </w:p>
        </w:tc>
        <w:tc>
          <w:tcPr>
            <w:tcW w:w="1445" w:type="dxa"/>
            <w:tcBorders>
              <w:top w:val="nil"/>
              <w:left w:val="nil"/>
              <w:bottom w:val="single" w:sz="6" w:space="0" w:color="000000"/>
              <w:right w:val="nil"/>
            </w:tcBorders>
            <w:tcMar>
              <w:top w:w="40" w:type="dxa"/>
              <w:left w:w="40" w:type="dxa"/>
              <w:bottom w:w="40" w:type="dxa"/>
              <w:right w:w="40" w:type="dxa"/>
            </w:tcMar>
            <w:vAlign w:val="center"/>
          </w:tcPr>
          <w:p w14:paraId="6A9D3CE1" w14:textId="77777777" w:rsidR="00702466" w:rsidRDefault="0077271C">
            <w:pPr>
              <w:widowControl w:val="0"/>
              <w:spacing w:line="276" w:lineRule="auto"/>
              <w:jc w:val="center"/>
              <w:rPr>
                <w:rFonts w:ascii="Arial" w:eastAsia="Arial" w:hAnsi="Arial" w:cs="Arial"/>
                <w:sz w:val="18"/>
                <w:szCs w:val="18"/>
              </w:rPr>
            </w:pPr>
            <w:r>
              <w:rPr>
                <w:rFonts w:ascii="Arial" w:eastAsia="Arial" w:hAnsi="Arial" w:cs="Arial"/>
                <w:sz w:val="18"/>
                <w:szCs w:val="18"/>
              </w:rPr>
              <w:t>1726,83</w:t>
            </w:r>
          </w:p>
        </w:tc>
      </w:tr>
      <w:tr w:rsidR="00702466" w14:paraId="4A70E8B3" w14:textId="77777777" w:rsidTr="00D644E2">
        <w:trPr>
          <w:trHeight w:val="315"/>
          <w:jc w:val="center"/>
        </w:trPr>
        <w:tc>
          <w:tcPr>
            <w:tcW w:w="1164" w:type="dxa"/>
            <w:tcBorders>
              <w:top w:val="nil"/>
              <w:left w:val="nil"/>
              <w:bottom w:val="single" w:sz="6" w:space="0" w:color="000000"/>
              <w:right w:val="nil"/>
            </w:tcBorders>
            <w:tcMar>
              <w:top w:w="40" w:type="dxa"/>
              <w:left w:w="40" w:type="dxa"/>
              <w:bottom w:w="40" w:type="dxa"/>
              <w:right w:w="40" w:type="dxa"/>
            </w:tcMar>
            <w:vAlign w:val="center"/>
          </w:tcPr>
          <w:p w14:paraId="776179BF" w14:textId="77777777" w:rsidR="00702466" w:rsidRDefault="0077271C">
            <w:pPr>
              <w:widowControl w:val="0"/>
              <w:spacing w:line="276" w:lineRule="auto"/>
              <w:jc w:val="center"/>
              <w:rPr>
                <w:rFonts w:ascii="Arial" w:eastAsia="Arial" w:hAnsi="Arial" w:cs="Arial"/>
                <w:sz w:val="18"/>
                <w:szCs w:val="18"/>
              </w:rPr>
            </w:pPr>
            <w:r>
              <w:rPr>
                <w:rFonts w:ascii="Arial" w:eastAsia="Arial" w:hAnsi="Arial" w:cs="Arial"/>
                <w:b/>
                <w:sz w:val="18"/>
                <w:szCs w:val="18"/>
              </w:rPr>
              <w:t>BL-60-C</w:t>
            </w:r>
          </w:p>
        </w:tc>
        <w:tc>
          <w:tcPr>
            <w:tcW w:w="861" w:type="dxa"/>
            <w:tcBorders>
              <w:top w:val="nil"/>
              <w:left w:val="nil"/>
              <w:bottom w:val="single" w:sz="6" w:space="0" w:color="000000"/>
              <w:right w:val="nil"/>
            </w:tcBorders>
            <w:tcMar>
              <w:top w:w="40" w:type="dxa"/>
              <w:left w:w="40" w:type="dxa"/>
              <w:bottom w:w="40" w:type="dxa"/>
              <w:right w:w="40" w:type="dxa"/>
            </w:tcMar>
            <w:vAlign w:val="center"/>
          </w:tcPr>
          <w:p w14:paraId="71889C9B" w14:textId="77777777" w:rsidR="00702466" w:rsidRDefault="0077271C">
            <w:pPr>
              <w:widowControl w:val="0"/>
              <w:spacing w:line="276" w:lineRule="auto"/>
              <w:jc w:val="center"/>
              <w:rPr>
                <w:rFonts w:ascii="Arial" w:eastAsia="Arial" w:hAnsi="Arial" w:cs="Arial"/>
                <w:sz w:val="18"/>
                <w:szCs w:val="18"/>
              </w:rPr>
            </w:pPr>
            <w:r>
              <w:rPr>
                <w:rFonts w:ascii="Arial" w:eastAsia="Arial" w:hAnsi="Arial" w:cs="Arial"/>
                <w:sz w:val="18"/>
                <w:szCs w:val="18"/>
              </w:rPr>
              <w:t>10,00</w:t>
            </w:r>
          </w:p>
        </w:tc>
        <w:tc>
          <w:tcPr>
            <w:tcW w:w="1119" w:type="dxa"/>
            <w:tcBorders>
              <w:top w:val="nil"/>
              <w:left w:val="nil"/>
              <w:bottom w:val="single" w:sz="6" w:space="0" w:color="000000"/>
              <w:right w:val="nil"/>
            </w:tcBorders>
            <w:tcMar>
              <w:top w:w="40" w:type="dxa"/>
              <w:left w:w="40" w:type="dxa"/>
              <w:bottom w:w="40" w:type="dxa"/>
              <w:right w:w="40" w:type="dxa"/>
            </w:tcMar>
            <w:vAlign w:val="center"/>
          </w:tcPr>
          <w:p w14:paraId="20ECC8D7" w14:textId="77777777" w:rsidR="00702466" w:rsidRDefault="0077271C">
            <w:pPr>
              <w:widowControl w:val="0"/>
              <w:spacing w:line="276" w:lineRule="auto"/>
              <w:jc w:val="center"/>
              <w:rPr>
                <w:rFonts w:ascii="Arial" w:eastAsia="Arial" w:hAnsi="Arial" w:cs="Arial"/>
                <w:sz w:val="18"/>
                <w:szCs w:val="18"/>
              </w:rPr>
            </w:pPr>
            <w:r>
              <w:rPr>
                <w:rFonts w:ascii="Arial" w:eastAsia="Arial" w:hAnsi="Arial" w:cs="Arial"/>
                <w:sz w:val="18"/>
                <w:szCs w:val="18"/>
              </w:rPr>
              <w:t>9,95</w:t>
            </w:r>
          </w:p>
        </w:tc>
        <w:tc>
          <w:tcPr>
            <w:tcW w:w="1419" w:type="dxa"/>
            <w:tcBorders>
              <w:top w:val="nil"/>
              <w:left w:val="nil"/>
              <w:bottom w:val="single" w:sz="6" w:space="0" w:color="000000"/>
              <w:right w:val="nil"/>
            </w:tcBorders>
            <w:tcMar>
              <w:top w:w="40" w:type="dxa"/>
              <w:left w:w="40" w:type="dxa"/>
              <w:bottom w:w="40" w:type="dxa"/>
              <w:right w:w="40" w:type="dxa"/>
            </w:tcMar>
            <w:vAlign w:val="center"/>
          </w:tcPr>
          <w:p w14:paraId="36E1B48D" w14:textId="77777777" w:rsidR="00702466" w:rsidRDefault="0077271C">
            <w:pPr>
              <w:widowControl w:val="0"/>
              <w:spacing w:line="276" w:lineRule="auto"/>
              <w:jc w:val="center"/>
              <w:rPr>
                <w:rFonts w:ascii="Arial" w:eastAsia="Arial" w:hAnsi="Arial" w:cs="Arial"/>
                <w:sz w:val="18"/>
                <w:szCs w:val="18"/>
              </w:rPr>
            </w:pPr>
            <w:r>
              <w:rPr>
                <w:rFonts w:ascii="Arial" w:eastAsia="Arial" w:hAnsi="Arial" w:cs="Arial"/>
                <w:sz w:val="18"/>
                <w:szCs w:val="18"/>
              </w:rPr>
              <w:t>20,13</w:t>
            </w:r>
          </w:p>
        </w:tc>
        <w:tc>
          <w:tcPr>
            <w:tcW w:w="995" w:type="dxa"/>
            <w:tcBorders>
              <w:top w:val="nil"/>
              <w:left w:val="nil"/>
              <w:bottom w:val="single" w:sz="6" w:space="0" w:color="000000"/>
              <w:right w:val="nil"/>
            </w:tcBorders>
            <w:tcMar>
              <w:top w:w="40" w:type="dxa"/>
              <w:left w:w="40" w:type="dxa"/>
              <w:bottom w:w="40" w:type="dxa"/>
              <w:right w:w="40" w:type="dxa"/>
            </w:tcMar>
            <w:vAlign w:val="center"/>
          </w:tcPr>
          <w:p w14:paraId="0BD853E7" w14:textId="77777777" w:rsidR="00702466" w:rsidRDefault="0077271C">
            <w:pPr>
              <w:widowControl w:val="0"/>
              <w:spacing w:line="276" w:lineRule="auto"/>
              <w:jc w:val="center"/>
              <w:rPr>
                <w:rFonts w:ascii="Arial" w:eastAsia="Arial" w:hAnsi="Arial" w:cs="Arial"/>
                <w:sz w:val="18"/>
                <w:szCs w:val="18"/>
              </w:rPr>
            </w:pPr>
            <w:r>
              <w:rPr>
                <w:rFonts w:ascii="Arial" w:eastAsia="Arial" w:hAnsi="Arial" w:cs="Arial"/>
                <w:sz w:val="18"/>
                <w:szCs w:val="18"/>
              </w:rPr>
              <w:t>3,535</w:t>
            </w:r>
          </w:p>
        </w:tc>
        <w:tc>
          <w:tcPr>
            <w:tcW w:w="995" w:type="dxa"/>
            <w:tcBorders>
              <w:top w:val="nil"/>
              <w:left w:val="nil"/>
              <w:bottom w:val="single" w:sz="6" w:space="0" w:color="000000"/>
              <w:right w:val="nil"/>
            </w:tcBorders>
            <w:tcMar>
              <w:top w:w="40" w:type="dxa"/>
              <w:left w:w="40" w:type="dxa"/>
              <w:bottom w:w="40" w:type="dxa"/>
              <w:right w:w="40" w:type="dxa"/>
            </w:tcMar>
            <w:vAlign w:val="center"/>
          </w:tcPr>
          <w:p w14:paraId="05176DC2" w14:textId="77777777" w:rsidR="00702466" w:rsidRPr="00DE36EC" w:rsidRDefault="0077271C">
            <w:pPr>
              <w:widowControl w:val="0"/>
              <w:spacing w:line="276" w:lineRule="auto"/>
              <w:jc w:val="center"/>
              <w:rPr>
                <w:rFonts w:ascii="Arial" w:eastAsia="Arial" w:hAnsi="Arial" w:cs="Arial"/>
                <w:sz w:val="18"/>
                <w:szCs w:val="18"/>
              </w:rPr>
            </w:pPr>
            <w:r w:rsidRPr="00DE36EC">
              <w:rPr>
                <w:rFonts w:ascii="Arial" w:eastAsia="Arial" w:hAnsi="Arial" w:cs="Arial"/>
                <w:sz w:val="18"/>
                <w:szCs w:val="18"/>
              </w:rPr>
              <w:t>2.002,2</w:t>
            </w:r>
          </w:p>
        </w:tc>
        <w:tc>
          <w:tcPr>
            <w:tcW w:w="1445" w:type="dxa"/>
            <w:tcBorders>
              <w:top w:val="nil"/>
              <w:left w:val="nil"/>
              <w:bottom w:val="single" w:sz="6" w:space="0" w:color="000000"/>
              <w:right w:val="nil"/>
            </w:tcBorders>
            <w:tcMar>
              <w:top w:w="40" w:type="dxa"/>
              <w:left w:w="40" w:type="dxa"/>
              <w:bottom w:w="40" w:type="dxa"/>
              <w:right w:w="40" w:type="dxa"/>
            </w:tcMar>
            <w:vAlign w:val="center"/>
          </w:tcPr>
          <w:p w14:paraId="6EDA5EBA" w14:textId="77777777" w:rsidR="00702466" w:rsidRDefault="0077271C">
            <w:pPr>
              <w:widowControl w:val="0"/>
              <w:spacing w:line="276" w:lineRule="auto"/>
              <w:jc w:val="center"/>
              <w:rPr>
                <w:rFonts w:ascii="Arial" w:eastAsia="Arial" w:hAnsi="Arial" w:cs="Arial"/>
                <w:sz w:val="18"/>
                <w:szCs w:val="18"/>
              </w:rPr>
            </w:pPr>
            <w:r>
              <w:rPr>
                <w:rFonts w:ascii="Arial" w:eastAsia="Arial" w:hAnsi="Arial" w:cs="Arial"/>
                <w:sz w:val="18"/>
                <w:szCs w:val="18"/>
              </w:rPr>
              <w:t>1765,75</w:t>
            </w:r>
          </w:p>
        </w:tc>
      </w:tr>
      <w:tr w:rsidR="00702466" w14:paraId="798A519B" w14:textId="77777777" w:rsidTr="00D644E2">
        <w:trPr>
          <w:trHeight w:val="315"/>
          <w:jc w:val="center"/>
        </w:trPr>
        <w:tc>
          <w:tcPr>
            <w:tcW w:w="1164" w:type="dxa"/>
            <w:tcBorders>
              <w:top w:val="nil"/>
              <w:left w:val="nil"/>
              <w:bottom w:val="single" w:sz="12" w:space="0" w:color="000000"/>
              <w:right w:val="nil"/>
            </w:tcBorders>
            <w:tcMar>
              <w:top w:w="40" w:type="dxa"/>
              <w:left w:w="40" w:type="dxa"/>
              <w:bottom w:w="40" w:type="dxa"/>
              <w:right w:w="40" w:type="dxa"/>
            </w:tcMar>
            <w:vAlign w:val="center"/>
          </w:tcPr>
          <w:p w14:paraId="689C00DA" w14:textId="77777777" w:rsidR="00702466" w:rsidRDefault="0077271C">
            <w:pPr>
              <w:widowControl w:val="0"/>
              <w:spacing w:line="276" w:lineRule="auto"/>
              <w:jc w:val="center"/>
              <w:rPr>
                <w:rFonts w:ascii="Arial" w:eastAsia="Arial" w:hAnsi="Arial" w:cs="Arial"/>
                <w:sz w:val="18"/>
                <w:szCs w:val="18"/>
              </w:rPr>
            </w:pPr>
            <w:r>
              <w:rPr>
                <w:rFonts w:ascii="Arial" w:eastAsia="Arial" w:hAnsi="Arial" w:cs="Arial"/>
                <w:b/>
                <w:sz w:val="18"/>
                <w:szCs w:val="18"/>
              </w:rPr>
              <w:t>BL-70-C</w:t>
            </w:r>
          </w:p>
        </w:tc>
        <w:tc>
          <w:tcPr>
            <w:tcW w:w="861" w:type="dxa"/>
            <w:tcBorders>
              <w:top w:val="nil"/>
              <w:left w:val="nil"/>
              <w:bottom w:val="single" w:sz="12" w:space="0" w:color="000000"/>
              <w:right w:val="nil"/>
            </w:tcBorders>
            <w:tcMar>
              <w:top w:w="40" w:type="dxa"/>
              <w:left w:w="40" w:type="dxa"/>
              <w:bottom w:w="40" w:type="dxa"/>
              <w:right w:w="40" w:type="dxa"/>
            </w:tcMar>
            <w:vAlign w:val="center"/>
          </w:tcPr>
          <w:p w14:paraId="43D9A5A1" w14:textId="77777777" w:rsidR="00702466" w:rsidRDefault="0077271C">
            <w:pPr>
              <w:widowControl w:val="0"/>
              <w:spacing w:line="276" w:lineRule="auto"/>
              <w:jc w:val="center"/>
              <w:rPr>
                <w:rFonts w:ascii="Arial" w:eastAsia="Arial" w:hAnsi="Arial" w:cs="Arial"/>
                <w:sz w:val="18"/>
                <w:szCs w:val="18"/>
              </w:rPr>
            </w:pPr>
            <w:r>
              <w:rPr>
                <w:rFonts w:ascii="Arial" w:eastAsia="Arial" w:hAnsi="Arial" w:cs="Arial"/>
                <w:sz w:val="18"/>
                <w:szCs w:val="18"/>
              </w:rPr>
              <w:t>9,93</w:t>
            </w:r>
          </w:p>
        </w:tc>
        <w:tc>
          <w:tcPr>
            <w:tcW w:w="1119" w:type="dxa"/>
            <w:tcBorders>
              <w:top w:val="nil"/>
              <w:left w:val="nil"/>
              <w:bottom w:val="single" w:sz="12" w:space="0" w:color="000000"/>
              <w:right w:val="nil"/>
            </w:tcBorders>
            <w:tcMar>
              <w:top w:w="40" w:type="dxa"/>
              <w:left w:w="40" w:type="dxa"/>
              <w:bottom w:w="40" w:type="dxa"/>
              <w:right w:w="40" w:type="dxa"/>
            </w:tcMar>
            <w:vAlign w:val="center"/>
          </w:tcPr>
          <w:p w14:paraId="0FB3E3B0" w14:textId="77777777" w:rsidR="00702466" w:rsidRDefault="0077271C">
            <w:pPr>
              <w:widowControl w:val="0"/>
              <w:spacing w:line="276" w:lineRule="auto"/>
              <w:jc w:val="center"/>
              <w:rPr>
                <w:rFonts w:ascii="Arial" w:eastAsia="Arial" w:hAnsi="Arial" w:cs="Arial"/>
                <w:sz w:val="18"/>
                <w:szCs w:val="18"/>
              </w:rPr>
            </w:pPr>
            <w:r>
              <w:rPr>
                <w:rFonts w:ascii="Arial" w:eastAsia="Arial" w:hAnsi="Arial" w:cs="Arial"/>
                <w:sz w:val="18"/>
                <w:szCs w:val="18"/>
              </w:rPr>
              <w:t>9,90</w:t>
            </w:r>
          </w:p>
        </w:tc>
        <w:tc>
          <w:tcPr>
            <w:tcW w:w="1419" w:type="dxa"/>
            <w:tcBorders>
              <w:top w:val="nil"/>
              <w:left w:val="nil"/>
              <w:bottom w:val="single" w:sz="12" w:space="0" w:color="000000"/>
              <w:right w:val="nil"/>
            </w:tcBorders>
            <w:tcMar>
              <w:top w:w="40" w:type="dxa"/>
              <w:left w:w="40" w:type="dxa"/>
              <w:bottom w:w="40" w:type="dxa"/>
              <w:right w:w="40" w:type="dxa"/>
            </w:tcMar>
            <w:vAlign w:val="center"/>
          </w:tcPr>
          <w:p w14:paraId="03329462" w14:textId="77777777" w:rsidR="00702466" w:rsidRDefault="0077271C">
            <w:pPr>
              <w:widowControl w:val="0"/>
              <w:spacing w:line="276" w:lineRule="auto"/>
              <w:jc w:val="center"/>
              <w:rPr>
                <w:rFonts w:ascii="Arial" w:eastAsia="Arial" w:hAnsi="Arial" w:cs="Arial"/>
                <w:sz w:val="18"/>
                <w:szCs w:val="18"/>
              </w:rPr>
            </w:pPr>
            <w:r>
              <w:rPr>
                <w:rFonts w:ascii="Arial" w:eastAsia="Arial" w:hAnsi="Arial" w:cs="Arial"/>
                <w:sz w:val="18"/>
                <w:szCs w:val="18"/>
              </w:rPr>
              <w:t>20,13</w:t>
            </w:r>
          </w:p>
        </w:tc>
        <w:tc>
          <w:tcPr>
            <w:tcW w:w="995" w:type="dxa"/>
            <w:tcBorders>
              <w:top w:val="nil"/>
              <w:left w:val="nil"/>
              <w:bottom w:val="single" w:sz="12" w:space="0" w:color="000000"/>
              <w:right w:val="nil"/>
            </w:tcBorders>
            <w:tcMar>
              <w:top w:w="40" w:type="dxa"/>
              <w:left w:w="40" w:type="dxa"/>
              <w:bottom w:w="40" w:type="dxa"/>
              <w:right w:w="40" w:type="dxa"/>
            </w:tcMar>
            <w:vAlign w:val="center"/>
          </w:tcPr>
          <w:p w14:paraId="467324FB" w14:textId="77777777" w:rsidR="00702466" w:rsidRDefault="0077271C">
            <w:pPr>
              <w:widowControl w:val="0"/>
              <w:spacing w:line="276" w:lineRule="auto"/>
              <w:jc w:val="center"/>
              <w:rPr>
                <w:rFonts w:ascii="Arial" w:eastAsia="Arial" w:hAnsi="Arial" w:cs="Arial"/>
                <w:sz w:val="18"/>
                <w:szCs w:val="18"/>
              </w:rPr>
            </w:pPr>
            <w:r>
              <w:rPr>
                <w:rFonts w:ascii="Arial" w:eastAsia="Arial" w:hAnsi="Arial" w:cs="Arial"/>
                <w:sz w:val="18"/>
                <w:szCs w:val="18"/>
              </w:rPr>
              <w:t>3,575</w:t>
            </w:r>
          </w:p>
        </w:tc>
        <w:tc>
          <w:tcPr>
            <w:tcW w:w="995" w:type="dxa"/>
            <w:tcBorders>
              <w:top w:val="nil"/>
              <w:left w:val="nil"/>
              <w:bottom w:val="single" w:sz="12" w:space="0" w:color="000000"/>
              <w:right w:val="nil"/>
            </w:tcBorders>
            <w:tcMar>
              <w:top w:w="40" w:type="dxa"/>
              <w:left w:w="40" w:type="dxa"/>
              <w:bottom w:w="40" w:type="dxa"/>
              <w:right w:w="40" w:type="dxa"/>
            </w:tcMar>
            <w:vAlign w:val="center"/>
          </w:tcPr>
          <w:p w14:paraId="4A5E7F90" w14:textId="77777777" w:rsidR="00702466" w:rsidRPr="00DE36EC" w:rsidRDefault="0077271C">
            <w:pPr>
              <w:widowControl w:val="0"/>
              <w:spacing w:line="276" w:lineRule="auto"/>
              <w:jc w:val="center"/>
              <w:rPr>
                <w:rFonts w:ascii="Arial" w:eastAsia="Arial" w:hAnsi="Arial" w:cs="Arial"/>
                <w:sz w:val="18"/>
                <w:szCs w:val="18"/>
              </w:rPr>
            </w:pPr>
            <w:r w:rsidRPr="00DE36EC">
              <w:rPr>
                <w:rFonts w:ascii="Arial" w:eastAsia="Arial" w:hAnsi="Arial" w:cs="Arial"/>
                <w:sz w:val="18"/>
                <w:szCs w:val="18"/>
              </w:rPr>
              <w:t>1.944,5</w:t>
            </w:r>
          </w:p>
        </w:tc>
        <w:tc>
          <w:tcPr>
            <w:tcW w:w="1445" w:type="dxa"/>
            <w:tcBorders>
              <w:top w:val="nil"/>
              <w:left w:val="nil"/>
              <w:bottom w:val="single" w:sz="12" w:space="0" w:color="000000"/>
              <w:right w:val="nil"/>
            </w:tcBorders>
            <w:tcMar>
              <w:top w:w="40" w:type="dxa"/>
              <w:left w:w="40" w:type="dxa"/>
              <w:bottom w:w="40" w:type="dxa"/>
              <w:right w:w="40" w:type="dxa"/>
            </w:tcMar>
            <w:vAlign w:val="center"/>
          </w:tcPr>
          <w:p w14:paraId="265081A5" w14:textId="77777777" w:rsidR="00702466" w:rsidRDefault="0077271C">
            <w:pPr>
              <w:widowControl w:val="0"/>
              <w:spacing w:line="276" w:lineRule="auto"/>
              <w:jc w:val="center"/>
              <w:rPr>
                <w:rFonts w:ascii="Arial" w:eastAsia="Arial" w:hAnsi="Arial" w:cs="Arial"/>
                <w:sz w:val="18"/>
                <w:szCs w:val="18"/>
              </w:rPr>
            </w:pPr>
            <w:r>
              <w:rPr>
                <w:rFonts w:ascii="Arial" w:eastAsia="Arial" w:hAnsi="Arial" w:cs="Arial"/>
                <w:sz w:val="18"/>
                <w:szCs w:val="18"/>
              </w:rPr>
              <w:t>1838,96</w:t>
            </w:r>
          </w:p>
        </w:tc>
      </w:tr>
    </w:tbl>
    <w:p w14:paraId="4A69B021" w14:textId="77777777" w:rsidR="00702466" w:rsidRDefault="0077271C">
      <w:pPr>
        <w:spacing w:after="240"/>
        <w:ind w:left="700"/>
      </w:pPr>
      <w:r>
        <w:rPr>
          <w:sz w:val="20"/>
          <w:szCs w:val="20"/>
        </w:rPr>
        <w:t xml:space="preserve">Fonte: </w:t>
      </w:r>
      <w:proofErr w:type="spellStart"/>
      <w:r>
        <w:rPr>
          <w:sz w:val="20"/>
          <w:szCs w:val="20"/>
        </w:rPr>
        <w:t>Autoras</w:t>
      </w:r>
      <w:proofErr w:type="spellEnd"/>
      <w:r>
        <w:rPr>
          <w:sz w:val="20"/>
          <w:szCs w:val="20"/>
        </w:rPr>
        <w:t>.</w:t>
      </w:r>
    </w:p>
    <w:p w14:paraId="5396AF8A" w14:textId="784577E9" w:rsidR="00702466" w:rsidRPr="005D2B08" w:rsidRDefault="0077271C">
      <w:pPr>
        <w:spacing w:after="120"/>
        <w:ind w:firstLine="283"/>
        <w:rPr>
          <w:lang w:val="pt-BR"/>
        </w:rPr>
      </w:pPr>
      <w:r w:rsidRPr="005D2B08">
        <w:rPr>
          <w:lang w:val="pt-BR"/>
        </w:rPr>
        <w:lastRenderedPageBreak/>
        <w:t xml:space="preserve">Em relação ao </w:t>
      </w:r>
      <w:r w:rsidR="00135AAB">
        <w:rPr>
          <w:lang w:val="pt-BR"/>
        </w:rPr>
        <w:t xml:space="preserve">desenvolvimento do </w:t>
      </w:r>
      <w:r w:rsidRPr="005D2B08">
        <w:rPr>
          <w:lang w:val="pt-BR"/>
        </w:rPr>
        <w:t xml:space="preserve">ensaio de absorção de água por capilaridade, realizou-se o registro fotográfico de cada intervalo de medição conforme apresentado na Figura 2. Da esquerda para a direita, a primeira imagem é o adobe antes do contato com a água e, na sequência, </w:t>
      </w:r>
      <w:proofErr w:type="gramStart"/>
      <w:r w:rsidRPr="005D2B08">
        <w:rPr>
          <w:lang w:val="pt-BR"/>
        </w:rPr>
        <w:t>o mesmo</w:t>
      </w:r>
      <w:proofErr w:type="gramEnd"/>
      <w:r w:rsidRPr="005D2B08">
        <w:rPr>
          <w:lang w:val="pt-BR"/>
        </w:rPr>
        <w:t xml:space="preserve"> adobe nos intervalos de 10, 20, 40, 80, 120 e 240 minutos após o contato com a água, respectivamente.</w:t>
      </w:r>
    </w:p>
    <w:p w14:paraId="56D91AE5" w14:textId="77777777" w:rsidR="00702466" w:rsidRDefault="0077271C">
      <w:pPr>
        <w:spacing w:after="120"/>
        <w:ind w:right="4"/>
        <w:jc w:val="center"/>
      </w:pPr>
      <w:r>
        <w:rPr>
          <w:noProof/>
        </w:rPr>
        <w:drawing>
          <wp:inline distT="114300" distB="114300" distL="114300" distR="114300" wp14:anchorId="2CC59FAD" wp14:editId="348B729C">
            <wp:extent cx="5759775" cy="1460500"/>
            <wp:effectExtent l="0" t="0" r="0" b="0"/>
            <wp:docPr id="11" name="image6.jpg"/>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11"/>
                    <a:srcRect/>
                    <a:stretch>
                      <a:fillRect/>
                    </a:stretch>
                  </pic:blipFill>
                  <pic:spPr>
                    <a:xfrm>
                      <a:off x="0" y="0"/>
                      <a:ext cx="5759775" cy="1460500"/>
                    </a:xfrm>
                    <a:prstGeom prst="rect">
                      <a:avLst/>
                    </a:prstGeom>
                    <a:ln/>
                  </pic:spPr>
                </pic:pic>
              </a:graphicData>
            </a:graphic>
          </wp:inline>
        </w:drawing>
      </w:r>
    </w:p>
    <w:p w14:paraId="61E9B442" w14:textId="77777777" w:rsidR="00702466" w:rsidRPr="00D644E2" w:rsidRDefault="0077271C">
      <w:pPr>
        <w:spacing w:after="160" w:line="259" w:lineRule="auto"/>
        <w:jc w:val="center"/>
        <w:rPr>
          <w:bCs/>
          <w:sz w:val="20"/>
          <w:szCs w:val="20"/>
          <w:lang w:val="pt-BR"/>
        </w:rPr>
      </w:pPr>
      <w:r w:rsidRPr="005D2B08">
        <w:rPr>
          <w:b/>
          <w:sz w:val="20"/>
          <w:szCs w:val="20"/>
          <w:lang w:val="pt-BR"/>
        </w:rPr>
        <w:t xml:space="preserve">Figura 2: </w:t>
      </w:r>
      <w:r w:rsidRPr="00D644E2">
        <w:rPr>
          <w:b/>
          <w:sz w:val="20"/>
          <w:szCs w:val="20"/>
          <w:lang w:val="pt-BR"/>
        </w:rPr>
        <w:t>Sequência fotográfica do processo de ascensão capilar da água no adobe. Fonte: Autoras</w:t>
      </w:r>
    </w:p>
    <w:p w14:paraId="5DB5257C" w14:textId="77777777" w:rsidR="00702466" w:rsidRPr="005D2B08" w:rsidRDefault="0077271C">
      <w:pPr>
        <w:spacing w:after="120"/>
        <w:ind w:firstLine="360"/>
        <w:rPr>
          <w:lang w:val="pt-BR"/>
        </w:rPr>
      </w:pPr>
      <w:r w:rsidRPr="005D2B08">
        <w:rPr>
          <w:lang w:val="pt-BR"/>
        </w:rPr>
        <w:t>Cada mistura analisada obteve ao menos quatro resultados significativos. Na Figura 3, pode-se verificar os quatro adobes do mesmo traço (BL-70-C). As fotografias foram feitas após o último intervalo de 240 minutos e a altura e o formato da absorção de água, pertinente aos intervalos anteriores foram marcados em cores diferentes. Dessa forma, é possível observar que a ascensão ocorreu de forma homogênea em relação ao tempo dentro de um mesmo grupo, uma vez que as alturas da ascensão se mantiveram similares entre os blocos de adobe.</w:t>
      </w:r>
    </w:p>
    <w:p w14:paraId="096BFA44" w14:textId="77777777" w:rsidR="00702466" w:rsidRDefault="0077271C">
      <w:pPr>
        <w:spacing w:after="120"/>
        <w:jc w:val="center"/>
      </w:pPr>
      <w:r>
        <w:rPr>
          <w:noProof/>
        </w:rPr>
        <w:drawing>
          <wp:inline distT="114300" distB="114300" distL="114300" distR="114300" wp14:anchorId="64B89E71" wp14:editId="19A331BD">
            <wp:extent cx="3788565" cy="1669703"/>
            <wp:effectExtent l="0" t="0" r="0" b="0"/>
            <wp:docPr id="9"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12"/>
                    <a:srcRect/>
                    <a:stretch>
                      <a:fillRect/>
                    </a:stretch>
                  </pic:blipFill>
                  <pic:spPr>
                    <a:xfrm>
                      <a:off x="0" y="0"/>
                      <a:ext cx="3788565" cy="1669703"/>
                    </a:xfrm>
                    <a:prstGeom prst="rect">
                      <a:avLst/>
                    </a:prstGeom>
                    <a:ln/>
                  </pic:spPr>
                </pic:pic>
              </a:graphicData>
            </a:graphic>
          </wp:inline>
        </w:drawing>
      </w:r>
    </w:p>
    <w:p w14:paraId="0E6CAB9E" w14:textId="77777777" w:rsidR="00702466" w:rsidRPr="00D644E2" w:rsidRDefault="0077271C">
      <w:pPr>
        <w:spacing w:after="160" w:line="259" w:lineRule="auto"/>
        <w:jc w:val="center"/>
        <w:rPr>
          <w:b/>
          <w:lang w:val="pt-BR"/>
        </w:rPr>
      </w:pPr>
      <w:r w:rsidRPr="005D2B08">
        <w:rPr>
          <w:b/>
          <w:sz w:val="20"/>
          <w:szCs w:val="20"/>
          <w:lang w:val="pt-BR"/>
        </w:rPr>
        <w:t xml:space="preserve">Figura 3: </w:t>
      </w:r>
      <w:r w:rsidRPr="00D644E2">
        <w:rPr>
          <w:b/>
          <w:sz w:val="20"/>
          <w:szCs w:val="20"/>
          <w:lang w:val="pt-BR"/>
        </w:rPr>
        <w:t>Sequência fotográfica do processo de ascensão capilar da água no adobe. Fonte: Autoras</w:t>
      </w:r>
    </w:p>
    <w:p w14:paraId="7A00869D" w14:textId="77777777" w:rsidR="00702466" w:rsidRDefault="0077271C">
      <w:pPr>
        <w:spacing w:after="120"/>
        <w:ind w:firstLine="360"/>
        <w:rPr>
          <w:lang w:val="pt-BR"/>
        </w:rPr>
      </w:pPr>
      <w:r w:rsidRPr="005D2B08">
        <w:rPr>
          <w:lang w:val="pt-BR"/>
        </w:rPr>
        <w:t>Com os Gráficos 1 e 2, é possível analisar comparativamente os resultados da absorção de água por capilaridade nos adobes produzidos sem e com a adição de cal, respectivamente. O valor do coeficiente de AC variou entre 1,22 e 2,38 g/cm</w:t>
      </w:r>
      <w:r w:rsidRPr="005D2B08">
        <w:rPr>
          <w:vertAlign w:val="superscript"/>
          <w:lang w:val="pt-BR"/>
        </w:rPr>
        <w:t>2</w:t>
      </w:r>
      <w:r w:rsidRPr="005D2B08">
        <w:rPr>
          <w:lang w:val="pt-BR"/>
        </w:rPr>
        <w:t xml:space="preserve"> nos adobes sem adição de cal, enquanto o valor para adobe com adição de cal, variou entre 2,08 e 4,81 g/cm</w:t>
      </w:r>
      <w:r w:rsidRPr="005D2B08">
        <w:rPr>
          <w:vertAlign w:val="superscript"/>
          <w:lang w:val="pt-BR"/>
        </w:rPr>
        <w:t>2</w:t>
      </w:r>
      <w:r w:rsidRPr="005D2B08">
        <w:rPr>
          <w:lang w:val="pt-BR"/>
        </w:rPr>
        <w:t xml:space="preserve">, com destaque para os adobes REF-C. </w:t>
      </w:r>
    </w:p>
    <w:p w14:paraId="34550936" w14:textId="77777777" w:rsidR="008859CC" w:rsidRDefault="008859CC">
      <w:pPr>
        <w:spacing w:after="120"/>
        <w:ind w:firstLine="360"/>
        <w:rPr>
          <w:lang w:val="pt-BR"/>
        </w:rPr>
      </w:pPr>
    </w:p>
    <w:p w14:paraId="23701219" w14:textId="77777777" w:rsidR="008859CC" w:rsidRDefault="008859CC">
      <w:pPr>
        <w:spacing w:after="120"/>
        <w:ind w:firstLine="360"/>
        <w:rPr>
          <w:lang w:val="pt-BR"/>
        </w:rPr>
      </w:pPr>
    </w:p>
    <w:p w14:paraId="64B66D6A" w14:textId="77777777" w:rsidR="008859CC" w:rsidRDefault="008859CC">
      <w:pPr>
        <w:spacing w:after="120"/>
        <w:ind w:firstLine="360"/>
        <w:rPr>
          <w:lang w:val="pt-BR"/>
        </w:rPr>
      </w:pPr>
    </w:p>
    <w:p w14:paraId="4EFB93EC" w14:textId="77777777" w:rsidR="008859CC" w:rsidRDefault="008859CC">
      <w:pPr>
        <w:spacing w:after="120"/>
        <w:ind w:firstLine="360"/>
        <w:rPr>
          <w:lang w:val="pt-BR"/>
        </w:rPr>
      </w:pPr>
    </w:p>
    <w:p w14:paraId="129E7F64" w14:textId="77777777" w:rsidR="008859CC" w:rsidRPr="005D2B08" w:rsidRDefault="008859CC">
      <w:pPr>
        <w:spacing w:after="120"/>
        <w:ind w:firstLine="360"/>
        <w:rPr>
          <w:lang w:val="pt-BR"/>
        </w:rPr>
      </w:pPr>
    </w:p>
    <w:p w14:paraId="01393A69" w14:textId="7157591D" w:rsidR="00702466" w:rsidRPr="00FE1152" w:rsidRDefault="0077271C">
      <w:pPr>
        <w:spacing w:before="240" w:after="240"/>
        <w:jc w:val="center"/>
        <w:rPr>
          <w:lang w:val="pt-BR"/>
        </w:rPr>
      </w:pPr>
      <w:r w:rsidRPr="00D644E2">
        <w:rPr>
          <w:rFonts w:eastAsia="Arial"/>
          <w:sz w:val="20"/>
          <w:szCs w:val="20"/>
          <w:lang w:val="pt-BR"/>
        </w:rPr>
        <w:lastRenderedPageBreak/>
        <w:t>Gráfico 1</w:t>
      </w:r>
      <w:r w:rsidR="00D644E2">
        <w:rPr>
          <w:rFonts w:eastAsia="Arial"/>
          <w:sz w:val="20"/>
          <w:szCs w:val="20"/>
          <w:lang w:val="pt-BR"/>
        </w:rPr>
        <w:t>:</w:t>
      </w:r>
      <w:r w:rsidRPr="00D644E2">
        <w:rPr>
          <w:rFonts w:eastAsia="Arial"/>
          <w:sz w:val="20"/>
          <w:szCs w:val="20"/>
          <w:lang w:val="pt-BR"/>
        </w:rPr>
        <w:t xml:space="preserve"> Absorção por capilaridade dos adobes sem adição de cal </w:t>
      </w:r>
      <w:r w:rsidR="00FE1152">
        <w:rPr>
          <w:rFonts w:eastAsia="Arial"/>
          <w:sz w:val="20"/>
          <w:szCs w:val="20"/>
          <w:lang w:val="pt-BR"/>
        </w:rPr>
        <w:t xml:space="preserve">(esq.) </w:t>
      </w:r>
      <w:r w:rsidRPr="00D644E2">
        <w:rPr>
          <w:rFonts w:eastAsia="Arial"/>
          <w:sz w:val="20"/>
          <w:szCs w:val="20"/>
          <w:lang w:val="pt-BR"/>
        </w:rPr>
        <w:t>e com adição de cal</w:t>
      </w:r>
      <w:r w:rsidR="00FE1152">
        <w:rPr>
          <w:rFonts w:eastAsia="Arial"/>
          <w:sz w:val="20"/>
          <w:szCs w:val="20"/>
          <w:lang w:val="pt-BR"/>
        </w:rPr>
        <w:t xml:space="preserve"> (dir.)</w:t>
      </w:r>
    </w:p>
    <w:p w14:paraId="0B828DE9" w14:textId="77777777" w:rsidR="00702466" w:rsidRDefault="0077271C">
      <w:pPr>
        <w:spacing w:after="120"/>
        <w:jc w:val="center"/>
      </w:pPr>
      <w:r>
        <w:rPr>
          <w:noProof/>
        </w:rPr>
        <w:drawing>
          <wp:inline distT="114300" distB="114300" distL="114300" distR="114300" wp14:anchorId="24B7ED96" wp14:editId="3F2269BC">
            <wp:extent cx="2807490" cy="1772647"/>
            <wp:effectExtent l="0" t="0" r="0" b="0"/>
            <wp:docPr id="15" name="image4.png" descr="Gráfico">
              <a:extLst xmlns:a="http://schemas.openxmlformats.org/drawingml/2006/main">
                <a:ext uri="http://customooxmlschemas.google.com/">
                  <go:docsCustomData xmlns="" xmlns:o="urn:schemas-microsoft-com:office:office" xmlns:v="urn:schemas-microsoft-com:vml" xmlns:w10="urn:schemas-microsoft-com:office:word" xmlns:w="http://schemas.openxmlformats.org/wordprocessingml/2006/main" xmlns:sl="http://schemas.openxmlformats.org/schemaLibrary/2006/main" xmlns:pic="http://schemas.openxmlformats.org/drawingml/2006/picture" xmlns:c="http://schemas.openxmlformats.org/drawingml/2006/chart" xmlns:lc="http://schemas.openxmlformats.org/drawingml/2006/lockedCanvas" xmlns:dgm="http://schemas.openxmlformats.org/drawingml/2006/diagram" xmlns:go="http://customooxmlschemas.google.com/" roundtripId="29"/>
                </a:ext>
              </a:extLst>
            </wp:docPr>
            <wp:cNvGraphicFramePr/>
            <a:graphic xmlns:a="http://schemas.openxmlformats.org/drawingml/2006/main">
              <a:graphicData uri="http://schemas.openxmlformats.org/drawingml/2006/picture">
                <pic:pic xmlns:pic="http://schemas.openxmlformats.org/drawingml/2006/picture">
                  <pic:nvPicPr>
                    <pic:cNvPr id="0" name="image4.png" descr="Gráfico"/>
                    <pic:cNvPicPr preferRelativeResize="0"/>
                  </pic:nvPicPr>
                  <pic:blipFill>
                    <a:blip r:embed="rId13"/>
                    <a:srcRect l="2811" r="2800" b="3645"/>
                    <a:stretch>
                      <a:fillRect/>
                    </a:stretch>
                  </pic:blipFill>
                  <pic:spPr>
                    <a:xfrm>
                      <a:off x="0" y="0"/>
                      <a:ext cx="2807490" cy="1772647"/>
                    </a:xfrm>
                    <a:prstGeom prst="rect">
                      <a:avLst/>
                    </a:prstGeom>
                    <a:ln/>
                  </pic:spPr>
                </pic:pic>
              </a:graphicData>
            </a:graphic>
          </wp:inline>
        </w:drawing>
      </w:r>
      <w:r>
        <w:rPr>
          <w:noProof/>
        </w:rPr>
        <w:drawing>
          <wp:inline distT="114300" distB="114300" distL="114300" distR="114300" wp14:anchorId="263F2DC3" wp14:editId="60CB4ADC">
            <wp:extent cx="2851128" cy="1790243"/>
            <wp:effectExtent l="0" t="0" r="0" b="0"/>
            <wp:docPr id="10" name="image2.png" descr="Gráfico">
              <a:extLst xmlns:a="http://schemas.openxmlformats.org/drawingml/2006/main">
                <a:ext uri="http://customooxmlschemas.google.com/">
                  <go:docsCustomData xmlns="" xmlns:o="urn:schemas-microsoft-com:office:office" xmlns:v="urn:schemas-microsoft-com:vml" xmlns:w10="urn:schemas-microsoft-com:office:word" xmlns:w="http://schemas.openxmlformats.org/wordprocessingml/2006/main" xmlns:sl="http://schemas.openxmlformats.org/schemaLibrary/2006/main" xmlns:pic="http://schemas.openxmlformats.org/drawingml/2006/picture" xmlns:c="http://schemas.openxmlformats.org/drawingml/2006/chart" xmlns:lc="http://schemas.openxmlformats.org/drawingml/2006/lockedCanvas" xmlns:dgm="http://schemas.openxmlformats.org/drawingml/2006/diagram" xmlns:go="http://customooxmlschemas.google.com/" roundtripId="30"/>
                </a:ext>
              </a:extLst>
            </wp:docPr>
            <wp:cNvGraphicFramePr/>
            <a:graphic xmlns:a="http://schemas.openxmlformats.org/drawingml/2006/main">
              <a:graphicData uri="http://schemas.openxmlformats.org/drawingml/2006/picture">
                <pic:pic xmlns:pic="http://schemas.openxmlformats.org/drawingml/2006/picture">
                  <pic:nvPicPr>
                    <pic:cNvPr id="0" name="image2.png" descr="Gráfico"/>
                    <pic:cNvPicPr preferRelativeResize="0"/>
                  </pic:nvPicPr>
                  <pic:blipFill>
                    <a:blip r:embed="rId14"/>
                    <a:srcRect l="2879" r="2354" b="3787"/>
                    <a:stretch>
                      <a:fillRect/>
                    </a:stretch>
                  </pic:blipFill>
                  <pic:spPr>
                    <a:xfrm>
                      <a:off x="0" y="0"/>
                      <a:ext cx="2851128" cy="1790243"/>
                    </a:xfrm>
                    <a:prstGeom prst="rect">
                      <a:avLst/>
                    </a:prstGeom>
                    <a:ln/>
                  </pic:spPr>
                </pic:pic>
              </a:graphicData>
            </a:graphic>
          </wp:inline>
        </w:drawing>
      </w:r>
    </w:p>
    <w:p w14:paraId="2A8AED3A" w14:textId="77777777" w:rsidR="00702466" w:rsidRPr="00D644E2" w:rsidRDefault="0077271C">
      <w:pPr>
        <w:spacing w:after="240"/>
        <w:jc w:val="center"/>
        <w:rPr>
          <w:rFonts w:eastAsia="Arial"/>
          <w:sz w:val="20"/>
          <w:szCs w:val="20"/>
          <w:lang w:val="pt-BR"/>
        </w:rPr>
      </w:pPr>
      <w:r w:rsidRPr="00B663F1">
        <w:rPr>
          <w:rFonts w:ascii="Arial" w:eastAsia="Arial" w:hAnsi="Arial" w:cs="Arial"/>
          <w:sz w:val="20"/>
          <w:szCs w:val="20"/>
          <w:lang w:val="pt-BR"/>
        </w:rPr>
        <w:t xml:space="preserve">       </w:t>
      </w:r>
      <w:r w:rsidRPr="00D644E2">
        <w:rPr>
          <w:rFonts w:eastAsia="Arial"/>
          <w:sz w:val="18"/>
          <w:szCs w:val="18"/>
          <w:lang w:val="pt-BR"/>
        </w:rPr>
        <w:t>Fonte: Autoras.</w:t>
      </w:r>
    </w:p>
    <w:p w14:paraId="2EBB9749" w14:textId="5AAFA289" w:rsidR="00702466" w:rsidRPr="005D2B08" w:rsidRDefault="0077271C">
      <w:pPr>
        <w:spacing w:after="120"/>
        <w:ind w:firstLine="284"/>
        <w:rPr>
          <w:lang w:val="pt-BR"/>
        </w:rPr>
      </w:pPr>
      <w:r w:rsidRPr="005D2B08">
        <w:rPr>
          <w:lang w:val="pt-BR"/>
        </w:rPr>
        <w:t xml:space="preserve">Assim, </w:t>
      </w:r>
      <w:r w:rsidR="00FE1152">
        <w:rPr>
          <w:lang w:val="pt-BR"/>
        </w:rPr>
        <w:t>nos adobes</w:t>
      </w:r>
      <w:r w:rsidRPr="005D2B08">
        <w:rPr>
          <w:lang w:val="pt-BR"/>
        </w:rPr>
        <w:t xml:space="preserve"> sem cal</w:t>
      </w:r>
      <w:r w:rsidR="00FE1152">
        <w:rPr>
          <w:lang w:val="pt-BR"/>
        </w:rPr>
        <w:t>,</w:t>
      </w:r>
      <w:r w:rsidRPr="005D2B08">
        <w:rPr>
          <w:lang w:val="pt-BR"/>
        </w:rPr>
        <w:t xml:space="preserve"> percebeu-se que o aumento nos teores de SRMF foi diretamente proporcional ao aumento da AC, com exceção da elevada absorção da mistura BL-60. Por outro lado, nas misturas com adição de cal, observou-se justamente o contrário, apresentou diminuição da AC à medida que aumentou os teores de SRMF. </w:t>
      </w:r>
    </w:p>
    <w:p w14:paraId="6DA7991B" w14:textId="77777777" w:rsidR="00702466" w:rsidRPr="005D2B08" w:rsidRDefault="0077271C">
      <w:pPr>
        <w:spacing w:after="120"/>
        <w:ind w:firstLine="284"/>
        <w:rPr>
          <w:color w:val="980000"/>
          <w:lang w:val="pt-BR"/>
        </w:rPr>
      </w:pPr>
      <w:r w:rsidRPr="005D2B08">
        <w:rPr>
          <w:lang w:val="pt-BR"/>
        </w:rPr>
        <w:t xml:space="preserve">Os valores da AC nos adobes do grupo REF-C estão em acordo com a menor densidade observada nos adobes deste grupo. Por exemplo, a mistura REF-C teve a menor densidade e apresentou a maior absorção por capilaridade. A diminuição da densidade resulta em um aumento de vazios na mistura e pode ser o motivo do aumento da AC. A interação solo-sedimento foi melhor no empacotamento das partículas, melhor na densidade e melhor nos índices de vazios da mistura. </w:t>
      </w:r>
    </w:p>
    <w:p w14:paraId="51A9913D" w14:textId="77777777" w:rsidR="00702466" w:rsidRPr="005D2B08" w:rsidRDefault="0077271C">
      <w:pPr>
        <w:spacing w:after="120"/>
        <w:ind w:firstLine="284"/>
        <w:rPr>
          <w:lang w:val="pt-BR"/>
        </w:rPr>
      </w:pPr>
      <w:r w:rsidRPr="005D2B08">
        <w:rPr>
          <w:lang w:val="pt-BR"/>
        </w:rPr>
        <w:t>Desta forma, é possível considerar que a adição de cal foi positiva na interação solo-sedimento para diminuir a absorção por capilaridade dos adobes na medida em que aumentou os teores de SRMF na mistura. Esta ocorrência pode estar vinculada ao fato de que o SRMF possui alto teor de quartzo e misturas com maior teor de sílica reagem melhor com a cal (BELL, 1989). Porém, considerando as misturas sem adição de cal que obtiveram resultados de AC menores que as mistura com adição de cal, conclui-se que o teor de 2% na idade analisada, a cal não influenciou de maneira positiva, pois pode ter aumentado os vazios da mistura.</w:t>
      </w:r>
    </w:p>
    <w:p w14:paraId="7135AD18" w14:textId="5AE14381" w:rsidR="00702466" w:rsidRPr="005D2B08" w:rsidRDefault="0077271C">
      <w:pPr>
        <w:spacing w:after="120"/>
        <w:ind w:firstLine="360"/>
        <w:rPr>
          <w:lang w:val="pt-BR"/>
        </w:rPr>
      </w:pPr>
      <w:r w:rsidRPr="005D2B08">
        <w:rPr>
          <w:lang w:val="pt-BR"/>
        </w:rPr>
        <w:t>Outro fator significativo é a não identificação de pozolanicidade do SRMF na caracterização, visto que as pozolanas conferem maior impermeabilidade à mistura. Segundo Little,</w:t>
      </w:r>
      <w:r w:rsidRPr="005D2B08">
        <w:rPr>
          <w:i/>
          <w:lang w:val="pt-BR"/>
        </w:rPr>
        <w:t xml:space="preserve"> et al.,</w:t>
      </w:r>
      <w:r w:rsidRPr="005D2B08">
        <w:rPr>
          <w:lang w:val="pt-BR"/>
        </w:rPr>
        <w:t xml:space="preserve"> (2009) o processo de estabilização do solo com cal está relacionado, entre outras reações, com a pozolanicidade. Enfatiza-se que uma melhor estabilização com a cal ocorre com proporções de 2 a 10% (MACHADO </w:t>
      </w:r>
      <w:r w:rsidRPr="005D2B08">
        <w:rPr>
          <w:i/>
          <w:lang w:val="pt-BR"/>
        </w:rPr>
        <w:t>et al.</w:t>
      </w:r>
      <w:r w:rsidRPr="005D2B08">
        <w:rPr>
          <w:lang w:val="pt-BR"/>
        </w:rPr>
        <w:t xml:space="preserve">, 2020). Tendo em vista que o presente estudo utilizou 2% de adição de cal em massa, maiores teores de cal podem obter resultados </w:t>
      </w:r>
      <w:r w:rsidR="003E7F7E">
        <w:rPr>
          <w:lang w:val="pt-BR"/>
        </w:rPr>
        <w:t>diferentes</w:t>
      </w:r>
      <w:r w:rsidR="003E7F7E" w:rsidRPr="005D2B08">
        <w:rPr>
          <w:lang w:val="pt-BR"/>
        </w:rPr>
        <w:t xml:space="preserve"> </w:t>
      </w:r>
      <w:r w:rsidRPr="005D2B08">
        <w:rPr>
          <w:lang w:val="pt-BR"/>
        </w:rPr>
        <w:t>do</w:t>
      </w:r>
      <w:r w:rsidR="003E7F7E">
        <w:rPr>
          <w:lang w:val="pt-BR"/>
        </w:rPr>
        <w:t xml:space="preserve"> que foi</w:t>
      </w:r>
      <w:r w:rsidRPr="005D2B08">
        <w:rPr>
          <w:lang w:val="pt-BR"/>
        </w:rPr>
        <w:t xml:space="preserve"> encontrado neste estudo.  </w:t>
      </w:r>
    </w:p>
    <w:p w14:paraId="333E6D0D" w14:textId="68CDD6E7" w:rsidR="00702466" w:rsidRPr="005D2B08" w:rsidRDefault="0077271C">
      <w:pPr>
        <w:spacing w:after="120"/>
        <w:ind w:firstLine="284"/>
        <w:rPr>
          <w:b/>
          <w:sz w:val="20"/>
          <w:szCs w:val="20"/>
          <w:lang w:val="pt-BR"/>
        </w:rPr>
      </w:pPr>
      <w:r w:rsidRPr="005D2B08">
        <w:rPr>
          <w:lang w:val="pt-BR"/>
        </w:rPr>
        <w:t xml:space="preserve">O ensaio de AC aplicado neste estudo é uma aproximação razoável do que acontece na realidade, em que a umidade advinda da fundação pode ascender por capilaridade na alvenaria, seja esta de adobes ou não. Contudo, o estudo da durabilidade engloba também ensaios de erosão e abrasão dos adobes. </w:t>
      </w:r>
      <w:proofErr w:type="spellStart"/>
      <w:r w:rsidRPr="005D2B08">
        <w:rPr>
          <w:lang w:val="pt-BR"/>
        </w:rPr>
        <w:t>Danso</w:t>
      </w:r>
      <w:proofErr w:type="spellEnd"/>
      <w:r w:rsidRPr="005D2B08">
        <w:rPr>
          <w:lang w:val="pt-BR"/>
        </w:rPr>
        <w:t xml:space="preserve"> </w:t>
      </w:r>
      <w:r w:rsidRPr="005D2B08">
        <w:rPr>
          <w:i/>
          <w:lang w:val="pt-BR"/>
        </w:rPr>
        <w:t>et al.,</w:t>
      </w:r>
      <w:r w:rsidRPr="005D2B08">
        <w:rPr>
          <w:lang w:val="pt-BR"/>
        </w:rPr>
        <w:t xml:space="preserve"> (2015) </w:t>
      </w:r>
      <w:r w:rsidR="00A71D58" w:rsidRPr="005D2B08">
        <w:rPr>
          <w:lang w:val="pt-BR"/>
        </w:rPr>
        <w:t>relat</w:t>
      </w:r>
      <w:r w:rsidR="00A71D58">
        <w:rPr>
          <w:lang w:val="pt-BR"/>
        </w:rPr>
        <w:t>aram</w:t>
      </w:r>
      <w:r w:rsidR="00A71D58" w:rsidRPr="005D2B08">
        <w:rPr>
          <w:lang w:val="pt-BR"/>
        </w:rPr>
        <w:t xml:space="preserve"> </w:t>
      </w:r>
      <w:r w:rsidRPr="005D2B08">
        <w:rPr>
          <w:lang w:val="pt-BR"/>
        </w:rPr>
        <w:t xml:space="preserve">a possibilidade de avaliar a durabilidade de tijolos de adobe com ensaio de abrasão ou erosão. Por estas razões, mostra-se relevante analisar a erosão para entender o comportamento dos adobes frente </w:t>
      </w:r>
      <w:r w:rsidR="00A71D58" w:rsidRPr="005D2B08">
        <w:rPr>
          <w:lang w:val="pt-BR"/>
        </w:rPr>
        <w:t>às</w:t>
      </w:r>
      <w:r w:rsidRPr="005D2B08">
        <w:rPr>
          <w:lang w:val="pt-BR"/>
        </w:rPr>
        <w:t xml:space="preserve"> chuvas intensas que ocorrem </w:t>
      </w:r>
      <w:r w:rsidR="00A71D58">
        <w:rPr>
          <w:lang w:val="pt-BR"/>
        </w:rPr>
        <w:t xml:space="preserve">particularmente em Minas Gerais no verão. </w:t>
      </w:r>
    </w:p>
    <w:p w14:paraId="47301805" w14:textId="1F8CDD70" w:rsidR="00702466" w:rsidRDefault="0077271C">
      <w:pPr>
        <w:numPr>
          <w:ilvl w:val="0"/>
          <w:numId w:val="1"/>
        </w:numPr>
        <w:pBdr>
          <w:top w:val="nil"/>
          <w:left w:val="nil"/>
          <w:bottom w:val="nil"/>
          <w:right w:val="nil"/>
          <w:between w:val="nil"/>
        </w:pBdr>
        <w:spacing w:after="120"/>
        <w:rPr>
          <w:b/>
          <w:color w:val="000000"/>
        </w:rPr>
      </w:pPr>
      <w:proofErr w:type="spellStart"/>
      <w:r>
        <w:rPr>
          <w:b/>
          <w:color w:val="000000"/>
        </w:rPr>
        <w:lastRenderedPageBreak/>
        <w:t>Considerações</w:t>
      </w:r>
      <w:proofErr w:type="spellEnd"/>
      <w:r>
        <w:rPr>
          <w:b/>
          <w:color w:val="000000"/>
        </w:rPr>
        <w:t xml:space="preserve"> </w:t>
      </w:r>
      <w:proofErr w:type="spellStart"/>
      <w:r w:rsidR="00FA5174">
        <w:rPr>
          <w:b/>
          <w:color w:val="000000"/>
        </w:rPr>
        <w:t>F</w:t>
      </w:r>
      <w:r>
        <w:rPr>
          <w:b/>
          <w:color w:val="000000"/>
        </w:rPr>
        <w:t>inais</w:t>
      </w:r>
      <w:proofErr w:type="spellEnd"/>
    </w:p>
    <w:p w14:paraId="1B164BF7" w14:textId="77777777" w:rsidR="00702466" w:rsidRDefault="00702466">
      <w:pPr>
        <w:spacing w:after="120"/>
        <w:rPr>
          <w:color w:val="A6A6A6"/>
        </w:rPr>
      </w:pPr>
    </w:p>
    <w:p w14:paraId="416CF588" w14:textId="6AAEA8F3" w:rsidR="00702466" w:rsidRPr="005D2B08" w:rsidRDefault="0077271C">
      <w:pPr>
        <w:spacing w:after="120"/>
        <w:ind w:firstLine="284"/>
        <w:rPr>
          <w:lang w:val="pt-BR"/>
        </w:rPr>
      </w:pPr>
      <w:r w:rsidRPr="005D2B08">
        <w:rPr>
          <w:lang w:val="pt-BR"/>
        </w:rPr>
        <w:t xml:space="preserve">Este estudo foi conduzido para investigar as diferenças na absorção de água por capilaridade entre adobes estabilizados com e sem cal e utilizando o SRMF na mistura para corrigir os teores de areia/argila do solo. O SRMF foi utilizado por sua disponibilidade e por suas características </w:t>
      </w:r>
      <w:r w:rsidR="00DF0C28">
        <w:rPr>
          <w:lang w:val="pt-BR"/>
        </w:rPr>
        <w:t>muito semelhantes</w:t>
      </w:r>
      <w:r w:rsidR="00DF0C28" w:rsidRPr="005D2B08">
        <w:rPr>
          <w:lang w:val="pt-BR"/>
        </w:rPr>
        <w:t xml:space="preserve"> </w:t>
      </w:r>
      <w:r w:rsidRPr="005D2B08">
        <w:rPr>
          <w:lang w:val="pt-BR"/>
        </w:rPr>
        <w:t>ao solo da região, uma vez que os rejeitos da Barragem de Fundão foram misturados aos sedimentos do Rio Doce (e de seus afluentes) após o acidente de 2015.</w:t>
      </w:r>
    </w:p>
    <w:p w14:paraId="0C144218" w14:textId="77777777" w:rsidR="00702466" w:rsidRPr="005D2B08" w:rsidRDefault="0077271C">
      <w:pPr>
        <w:spacing w:after="120"/>
        <w:ind w:firstLine="284"/>
        <w:rPr>
          <w:lang w:val="pt-BR"/>
        </w:rPr>
      </w:pPr>
      <w:r w:rsidRPr="005D2B08">
        <w:rPr>
          <w:lang w:val="pt-BR"/>
        </w:rPr>
        <w:t>No entanto, algumas conclusões podem ser levantadas:</w:t>
      </w:r>
    </w:p>
    <w:p w14:paraId="0038447A" w14:textId="77777777" w:rsidR="00702466" w:rsidRPr="005D2B08" w:rsidRDefault="0077271C">
      <w:pPr>
        <w:spacing w:after="120"/>
        <w:ind w:firstLine="284"/>
        <w:rPr>
          <w:lang w:val="pt-BR"/>
        </w:rPr>
      </w:pPr>
      <w:r w:rsidRPr="005D2B08">
        <w:rPr>
          <w:lang w:val="pt-BR"/>
        </w:rPr>
        <w:t>• As propriedades granulométricas do solo utilizado mostraram grande teor de argila, porém pouco expansiva, o que o torna favorável à correção granulométrica e à estabilização química para a produção de adobes.</w:t>
      </w:r>
    </w:p>
    <w:p w14:paraId="09A7A0D0" w14:textId="57A670E3" w:rsidR="00702466" w:rsidRPr="005D2B08" w:rsidRDefault="0077271C">
      <w:pPr>
        <w:spacing w:after="120"/>
        <w:ind w:firstLine="284"/>
        <w:rPr>
          <w:lang w:val="pt-BR"/>
        </w:rPr>
      </w:pPr>
      <w:r w:rsidRPr="005D2B08">
        <w:rPr>
          <w:lang w:val="pt-BR"/>
        </w:rPr>
        <w:t>• O método de ensaio de absorção de água por capilaridade se mostrou adequado para componentes construtivos de terra, obteve resultados uniformes entre adobes da mesma mistura e valores proporcionais ao tempo de contato com a água.</w:t>
      </w:r>
    </w:p>
    <w:p w14:paraId="7ED110A5" w14:textId="77777777" w:rsidR="00702466" w:rsidRPr="005D2B08" w:rsidRDefault="0077271C">
      <w:pPr>
        <w:spacing w:after="120"/>
        <w:ind w:firstLine="284"/>
        <w:rPr>
          <w:lang w:val="pt-BR"/>
        </w:rPr>
      </w:pPr>
      <w:r w:rsidRPr="005D2B08">
        <w:rPr>
          <w:lang w:val="pt-BR"/>
        </w:rPr>
        <w:t>• Os valores da absorção de água por capilaridade podem ser relacionados à densidade aparente dos adobes, na idade de ensaio.</w:t>
      </w:r>
    </w:p>
    <w:p w14:paraId="3578844A" w14:textId="77777777" w:rsidR="00702466" w:rsidRPr="005D2B08" w:rsidRDefault="0077271C">
      <w:pPr>
        <w:spacing w:after="120"/>
        <w:ind w:firstLine="284"/>
        <w:rPr>
          <w:lang w:val="pt-BR"/>
        </w:rPr>
      </w:pPr>
      <w:r w:rsidRPr="005D2B08">
        <w:rPr>
          <w:lang w:val="pt-BR"/>
        </w:rPr>
        <w:t>• Os adobes sem adição de cal, mas com incorporação de SRMF, apresentaram valores menores de absorção em relação aos adobes com cal. No teor de 2% na idade analisada, a cal não influenciou positivamente na absorção de água por capilaridade dos adobes.</w:t>
      </w:r>
    </w:p>
    <w:p w14:paraId="6B77ED43" w14:textId="77777777" w:rsidR="00702466" w:rsidRPr="005D2B08" w:rsidRDefault="0077271C">
      <w:pPr>
        <w:spacing w:after="120"/>
        <w:ind w:firstLine="284"/>
        <w:rPr>
          <w:lang w:val="pt-BR"/>
        </w:rPr>
      </w:pPr>
      <w:r w:rsidRPr="005D2B08">
        <w:rPr>
          <w:lang w:val="pt-BR"/>
        </w:rPr>
        <w:t xml:space="preserve">Dessa forma, estudos futuros podem ser necessários para analisar a interação mais adequada entre o solo argiloso, a cal e os SRMF. </w:t>
      </w:r>
    </w:p>
    <w:p w14:paraId="72D61022" w14:textId="77777777" w:rsidR="00702466" w:rsidRPr="005D2B08" w:rsidRDefault="00702466">
      <w:pPr>
        <w:spacing w:after="120"/>
        <w:ind w:firstLine="284"/>
        <w:rPr>
          <w:lang w:val="pt-BR"/>
        </w:rPr>
      </w:pPr>
    </w:p>
    <w:p w14:paraId="1935DEAB" w14:textId="77777777" w:rsidR="00702466" w:rsidRPr="005D2B08" w:rsidRDefault="0077271C">
      <w:pPr>
        <w:spacing w:after="120"/>
        <w:rPr>
          <w:b/>
          <w:lang w:val="pt-BR"/>
        </w:rPr>
      </w:pPr>
      <w:bookmarkStart w:id="1" w:name="_heading=h.gjdgxs" w:colFirst="0" w:colLast="0"/>
      <w:bookmarkEnd w:id="1"/>
      <w:r w:rsidRPr="005D2B08">
        <w:rPr>
          <w:b/>
          <w:lang w:val="pt-BR"/>
        </w:rPr>
        <w:t>Referências</w:t>
      </w:r>
    </w:p>
    <w:p w14:paraId="42ABF267" w14:textId="77777777" w:rsidR="00702466" w:rsidRPr="005D2B08" w:rsidRDefault="00702466">
      <w:pPr>
        <w:rPr>
          <w:lang w:val="pt-BR"/>
        </w:rPr>
      </w:pPr>
    </w:p>
    <w:p w14:paraId="597F40AB" w14:textId="77777777" w:rsidR="00702466" w:rsidRPr="005D2B08" w:rsidRDefault="0077271C" w:rsidP="00027A36">
      <w:pPr>
        <w:jc w:val="left"/>
        <w:rPr>
          <w:lang w:val="pt-BR"/>
        </w:rPr>
      </w:pPr>
      <w:r w:rsidRPr="005D2B08">
        <w:rPr>
          <w:lang w:val="pt-BR"/>
        </w:rPr>
        <w:t xml:space="preserve">ASSOCIAÇÃO BRASILEIRA DE NORMAS TÉCNICAS. </w:t>
      </w:r>
      <w:r w:rsidRPr="005D2B08">
        <w:rPr>
          <w:b/>
          <w:lang w:val="pt-BR"/>
        </w:rPr>
        <w:t>NBR 7175: Cal hidratada para argamassas - Requisitos.</w:t>
      </w:r>
      <w:r w:rsidRPr="005D2B08">
        <w:rPr>
          <w:lang w:val="pt-BR"/>
        </w:rPr>
        <w:t xml:space="preserve"> Rio de Janeiro: 2003.</w:t>
      </w:r>
    </w:p>
    <w:p w14:paraId="01E0C581" w14:textId="77777777" w:rsidR="00702466" w:rsidRPr="005D2B08" w:rsidRDefault="00702466" w:rsidP="00027A36">
      <w:pPr>
        <w:jc w:val="left"/>
        <w:rPr>
          <w:lang w:val="pt-BR"/>
        </w:rPr>
      </w:pPr>
    </w:p>
    <w:p w14:paraId="27059020" w14:textId="1F08167B" w:rsidR="00702466" w:rsidRPr="005D2B08" w:rsidRDefault="0077271C" w:rsidP="00027A36">
      <w:pPr>
        <w:jc w:val="left"/>
        <w:rPr>
          <w:lang w:val="pt-BR"/>
        </w:rPr>
      </w:pPr>
      <w:r w:rsidRPr="005D2B08">
        <w:rPr>
          <w:lang w:val="pt-BR"/>
        </w:rPr>
        <w:t xml:space="preserve">. </w:t>
      </w:r>
      <w:r w:rsidRPr="005D2B08">
        <w:rPr>
          <w:b/>
          <w:lang w:val="pt-BR"/>
        </w:rPr>
        <w:t>NBR 7181: Solo - Análise granulométrica.</w:t>
      </w:r>
      <w:r w:rsidRPr="005D2B08">
        <w:rPr>
          <w:lang w:val="pt-BR"/>
        </w:rPr>
        <w:t xml:space="preserve"> Rio de Janeiro: 2016.</w:t>
      </w:r>
    </w:p>
    <w:p w14:paraId="1B76E030" w14:textId="77777777" w:rsidR="00702466" w:rsidRPr="005D2B08" w:rsidRDefault="00702466" w:rsidP="00027A36">
      <w:pPr>
        <w:jc w:val="left"/>
        <w:rPr>
          <w:lang w:val="pt-BR"/>
        </w:rPr>
      </w:pPr>
    </w:p>
    <w:p w14:paraId="3A8363A2" w14:textId="70AB2C8E" w:rsidR="00702466" w:rsidRPr="005D2B08" w:rsidRDefault="0077271C" w:rsidP="00027A36">
      <w:pPr>
        <w:jc w:val="left"/>
        <w:rPr>
          <w:lang w:val="pt-BR"/>
        </w:rPr>
      </w:pPr>
      <w:r w:rsidRPr="005D2B08">
        <w:rPr>
          <w:lang w:val="pt-BR"/>
        </w:rPr>
        <w:t xml:space="preserve">. </w:t>
      </w:r>
      <w:r w:rsidRPr="005D2B08">
        <w:rPr>
          <w:b/>
          <w:lang w:val="pt-BR"/>
        </w:rPr>
        <w:t>NBR 9779: Argamassa e concreto endurecidos — Determinação da absorção de água por capilaridade</w:t>
      </w:r>
      <w:r w:rsidRPr="005D2B08">
        <w:rPr>
          <w:lang w:val="pt-BR"/>
        </w:rPr>
        <w:t>. Rio de Janeiro: 2012.</w:t>
      </w:r>
    </w:p>
    <w:p w14:paraId="5D9221A8" w14:textId="77777777" w:rsidR="00702466" w:rsidRPr="005D2B08" w:rsidRDefault="00702466" w:rsidP="00027A36">
      <w:pPr>
        <w:jc w:val="left"/>
        <w:rPr>
          <w:lang w:val="pt-BR"/>
        </w:rPr>
      </w:pPr>
    </w:p>
    <w:p w14:paraId="4A2201C6" w14:textId="06112F7D" w:rsidR="00702466" w:rsidRPr="005D2B08" w:rsidRDefault="0077271C" w:rsidP="00027A36">
      <w:pPr>
        <w:jc w:val="left"/>
        <w:rPr>
          <w:lang w:val="pt-BR"/>
        </w:rPr>
      </w:pPr>
      <w:r w:rsidRPr="005D2B08">
        <w:rPr>
          <w:lang w:val="pt-BR"/>
        </w:rPr>
        <w:t xml:space="preserve">. </w:t>
      </w:r>
      <w:r w:rsidRPr="005D2B08">
        <w:rPr>
          <w:b/>
          <w:lang w:val="pt-BR"/>
        </w:rPr>
        <w:t>NBR 16605: Cimento Portland e outros materiais em pó - Determinação da massa específica</w:t>
      </w:r>
      <w:r w:rsidRPr="005D2B08">
        <w:rPr>
          <w:lang w:val="pt-BR"/>
        </w:rPr>
        <w:t>. Rio de Janeiro: 2017.</w:t>
      </w:r>
    </w:p>
    <w:p w14:paraId="15AAD74F" w14:textId="77777777" w:rsidR="00702466" w:rsidRPr="005D2B08" w:rsidRDefault="00702466" w:rsidP="00027A36">
      <w:pPr>
        <w:jc w:val="left"/>
        <w:rPr>
          <w:lang w:val="pt-BR"/>
        </w:rPr>
      </w:pPr>
    </w:p>
    <w:p w14:paraId="5612A506" w14:textId="386E1C02" w:rsidR="00702466" w:rsidRPr="005D2B08" w:rsidRDefault="0077271C" w:rsidP="00027A36">
      <w:pPr>
        <w:jc w:val="left"/>
        <w:rPr>
          <w:lang w:val="pt-BR"/>
        </w:rPr>
      </w:pPr>
      <w:r w:rsidRPr="005D2B08">
        <w:rPr>
          <w:lang w:val="pt-BR"/>
        </w:rPr>
        <w:t xml:space="preserve">. </w:t>
      </w:r>
      <w:r w:rsidRPr="005D2B08">
        <w:rPr>
          <w:b/>
          <w:lang w:val="pt-BR"/>
        </w:rPr>
        <w:t>NBR 16814: Adobe - Requisitos e métodos de ensaios</w:t>
      </w:r>
      <w:r w:rsidRPr="005D2B08">
        <w:rPr>
          <w:lang w:val="pt-BR"/>
        </w:rPr>
        <w:t>. Rio de Janeiro: 2020.</w:t>
      </w:r>
    </w:p>
    <w:p w14:paraId="2451C148" w14:textId="77777777" w:rsidR="00702466" w:rsidRPr="005D2B08" w:rsidRDefault="00702466" w:rsidP="00027A36">
      <w:pPr>
        <w:jc w:val="left"/>
        <w:rPr>
          <w:lang w:val="pt-BR"/>
        </w:rPr>
      </w:pPr>
    </w:p>
    <w:p w14:paraId="6F70A26C" w14:textId="5218E3F7" w:rsidR="00702466" w:rsidRPr="005D2B08" w:rsidRDefault="0077271C" w:rsidP="00027A36">
      <w:pPr>
        <w:jc w:val="left"/>
        <w:rPr>
          <w:lang w:val="pt-BR"/>
        </w:rPr>
      </w:pPr>
      <w:r w:rsidRPr="005D2B08">
        <w:rPr>
          <w:lang w:val="pt-BR"/>
        </w:rPr>
        <w:t xml:space="preserve">. </w:t>
      </w:r>
      <w:r w:rsidRPr="005D2B08">
        <w:rPr>
          <w:b/>
          <w:lang w:val="pt-BR"/>
        </w:rPr>
        <w:t>NBR 16972: Agregados - Determinação da massa unitária e do índice de vazios.</w:t>
      </w:r>
      <w:r w:rsidRPr="005D2B08">
        <w:rPr>
          <w:lang w:val="pt-BR"/>
        </w:rPr>
        <w:t xml:space="preserve"> Rio de Janeiro: 2021.</w:t>
      </w:r>
    </w:p>
    <w:p w14:paraId="4F13FD13" w14:textId="77777777" w:rsidR="00702466" w:rsidRPr="005D2B08" w:rsidRDefault="00702466" w:rsidP="00027A36">
      <w:pPr>
        <w:jc w:val="left"/>
        <w:rPr>
          <w:lang w:val="pt-BR"/>
        </w:rPr>
      </w:pPr>
    </w:p>
    <w:p w14:paraId="4C9E0D1D" w14:textId="2D2C5E6C" w:rsidR="00702466" w:rsidRPr="005D2B08" w:rsidRDefault="0077271C" w:rsidP="00027A36">
      <w:pPr>
        <w:jc w:val="left"/>
        <w:rPr>
          <w:lang w:val="pt-BR"/>
        </w:rPr>
      </w:pPr>
      <w:r w:rsidRPr="005D2B08">
        <w:rPr>
          <w:lang w:val="pt-BR"/>
        </w:rPr>
        <w:t xml:space="preserve">. </w:t>
      </w:r>
      <w:r w:rsidRPr="005D2B08">
        <w:rPr>
          <w:b/>
          <w:lang w:val="pt-BR"/>
        </w:rPr>
        <w:t>NBR NM 30: Agregado miúdo- Determinação da absorção de água</w:t>
      </w:r>
      <w:r w:rsidRPr="005D2B08">
        <w:rPr>
          <w:lang w:val="pt-BR"/>
        </w:rPr>
        <w:t>. Rio de Janeiro; 2000.</w:t>
      </w:r>
    </w:p>
    <w:p w14:paraId="6669E3A8" w14:textId="77777777" w:rsidR="00702466" w:rsidRPr="005D2B08" w:rsidRDefault="00702466" w:rsidP="00027A36">
      <w:pPr>
        <w:jc w:val="left"/>
        <w:rPr>
          <w:lang w:val="pt-BR"/>
        </w:rPr>
      </w:pPr>
    </w:p>
    <w:p w14:paraId="074F80DF" w14:textId="6DF8C72F" w:rsidR="00702466" w:rsidRPr="005D2B08" w:rsidRDefault="0077271C" w:rsidP="00027A36">
      <w:pPr>
        <w:jc w:val="left"/>
        <w:rPr>
          <w:lang w:val="pt-BR"/>
        </w:rPr>
      </w:pPr>
      <w:r w:rsidRPr="005D2B08">
        <w:rPr>
          <w:lang w:val="pt-BR"/>
        </w:rPr>
        <w:t xml:space="preserve">BELL, F. G. Lime </w:t>
      </w:r>
      <w:proofErr w:type="spellStart"/>
      <w:r w:rsidRPr="005D2B08">
        <w:rPr>
          <w:lang w:val="pt-BR"/>
        </w:rPr>
        <w:t>stabilisation</w:t>
      </w:r>
      <w:proofErr w:type="spellEnd"/>
      <w:r w:rsidRPr="005D2B08">
        <w:rPr>
          <w:lang w:val="pt-BR"/>
        </w:rPr>
        <w:t xml:space="preserve"> </w:t>
      </w:r>
      <w:proofErr w:type="spellStart"/>
      <w:r w:rsidRPr="005D2B08">
        <w:rPr>
          <w:lang w:val="pt-BR"/>
        </w:rPr>
        <w:t>of</w:t>
      </w:r>
      <w:proofErr w:type="spellEnd"/>
      <w:r w:rsidRPr="005D2B08">
        <w:rPr>
          <w:lang w:val="pt-BR"/>
        </w:rPr>
        <w:t xml:space="preserve"> </w:t>
      </w:r>
      <w:proofErr w:type="spellStart"/>
      <w:r w:rsidRPr="005D2B08">
        <w:rPr>
          <w:lang w:val="pt-BR"/>
        </w:rPr>
        <w:t>clay</w:t>
      </w:r>
      <w:proofErr w:type="spellEnd"/>
      <w:r w:rsidRPr="005D2B08">
        <w:rPr>
          <w:lang w:val="pt-BR"/>
        </w:rPr>
        <w:t xml:space="preserve"> </w:t>
      </w:r>
      <w:proofErr w:type="spellStart"/>
      <w:r w:rsidRPr="005D2B08">
        <w:rPr>
          <w:lang w:val="pt-BR"/>
        </w:rPr>
        <w:t>soils</w:t>
      </w:r>
      <w:proofErr w:type="spellEnd"/>
      <w:r w:rsidRPr="005D2B08">
        <w:rPr>
          <w:lang w:val="pt-BR"/>
        </w:rPr>
        <w:t>.</w:t>
      </w:r>
      <w:r w:rsidRPr="005D2B08">
        <w:rPr>
          <w:b/>
          <w:lang w:val="pt-BR"/>
        </w:rPr>
        <w:t xml:space="preserve"> Bulletin de </w:t>
      </w:r>
      <w:proofErr w:type="spellStart"/>
      <w:r w:rsidRPr="005D2B08">
        <w:rPr>
          <w:b/>
          <w:lang w:val="pt-BR"/>
        </w:rPr>
        <w:t>l'Association</w:t>
      </w:r>
      <w:proofErr w:type="spellEnd"/>
      <w:r w:rsidRPr="005D2B08">
        <w:rPr>
          <w:b/>
          <w:lang w:val="pt-BR"/>
        </w:rPr>
        <w:t xml:space="preserve"> Internationale de </w:t>
      </w:r>
      <w:proofErr w:type="spellStart"/>
      <w:r w:rsidRPr="005D2B08">
        <w:rPr>
          <w:b/>
          <w:lang w:val="pt-BR"/>
        </w:rPr>
        <w:t>Géologie</w:t>
      </w:r>
      <w:proofErr w:type="spellEnd"/>
      <w:r w:rsidRPr="005D2B08">
        <w:rPr>
          <w:b/>
          <w:lang w:val="pt-BR"/>
        </w:rPr>
        <w:t xml:space="preserve"> de </w:t>
      </w:r>
      <w:proofErr w:type="spellStart"/>
      <w:r w:rsidRPr="005D2B08">
        <w:rPr>
          <w:b/>
          <w:lang w:val="pt-BR"/>
        </w:rPr>
        <w:t>l'IngénieuR</w:t>
      </w:r>
      <w:proofErr w:type="spellEnd"/>
      <w:r w:rsidRPr="005D2B08">
        <w:rPr>
          <w:b/>
          <w:lang w:val="pt-BR"/>
        </w:rPr>
        <w:t xml:space="preserve">. </w:t>
      </w:r>
      <w:r w:rsidR="00B722A9">
        <w:rPr>
          <w:lang w:val="pt-BR"/>
        </w:rPr>
        <w:t xml:space="preserve">Vol. </w:t>
      </w:r>
      <w:r w:rsidR="00B722A9" w:rsidRPr="00CF7034">
        <w:rPr>
          <w:lang w:val="pt-BR"/>
        </w:rPr>
        <w:t>39, 1989, 6774. DOI:  http://doi.org/10.1007/bf0259257.</w:t>
      </w:r>
    </w:p>
    <w:p w14:paraId="100FA084" w14:textId="77777777" w:rsidR="00702466" w:rsidRPr="005D2B08" w:rsidRDefault="00702466" w:rsidP="00027A36">
      <w:pPr>
        <w:jc w:val="left"/>
        <w:rPr>
          <w:lang w:val="pt-BR"/>
        </w:rPr>
      </w:pPr>
    </w:p>
    <w:p w14:paraId="428D8F97" w14:textId="1242984A" w:rsidR="00702466" w:rsidRDefault="0077271C" w:rsidP="00027A36">
      <w:pPr>
        <w:jc w:val="left"/>
      </w:pPr>
      <w:r w:rsidRPr="005D2B08">
        <w:rPr>
          <w:lang w:val="pt-BR"/>
        </w:rPr>
        <w:t xml:space="preserve">BRASIL. </w:t>
      </w:r>
      <w:r w:rsidRPr="00027A36">
        <w:rPr>
          <w:bCs/>
          <w:lang w:val="pt-BR"/>
        </w:rPr>
        <w:t>Agência Nacional de Mineração</w:t>
      </w:r>
      <w:r w:rsidRPr="000D5883">
        <w:rPr>
          <w:bCs/>
          <w:lang w:val="pt-BR"/>
        </w:rPr>
        <w:t>.</w:t>
      </w:r>
      <w:r w:rsidRPr="00B663F1">
        <w:rPr>
          <w:lang w:val="pt-BR"/>
        </w:rPr>
        <w:t xml:space="preserve"> </w:t>
      </w:r>
      <w:r w:rsidRPr="00027A36">
        <w:rPr>
          <w:b/>
          <w:bCs/>
          <w:lang w:val="pt-BR"/>
        </w:rPr>
        <w:t xml:space="preserve">Anuário Mineral Brasileiro: </w:t>
      </w:r>
      <w:r w:rsidRPr="005D2B08">
        <w:rPr>
          <w:lang w:val="pt-BR"/>
        </w:rPr>
        <w:t xml:space="preserve">principais substâncias metálicas / Agência Nacional de </w:t>
      </w:r>
      <w:proofErr w:type="gramStart"/>
      <w:r w:rsidRPr="005D2B08">
        <w:rPr>
          <w:lang w:val="pt-BR"/>
        </w:rPr>
        <w:t>Mineração ;</w:t>
      </w:r>
      <w:proofErr w:type="gramEnd"/>
      <w:r w:rsidRPr="005D2B08">
        <w:rPr>
          <w:lang w:val="pt-BR"/>
        </w:rPr>
        <w:t xml:space="preserve"> coordenação técnica de Karina Andrade Medeiros. – Brasília: ANM, 2023. </w:t>
      </w:r>
      <w:r>
        <w:t xml:space="preserve">23 </w:t>
      </w:r>
      <w:r w:rsidR="00E147BC">
        <w:t>p.;</w:t>
      </w:r>
      <w:r>
        <w:t xml:space="preserve"> </w:t>
      </w:r>
      <w:proofErr w:type="spellStart"/>
      <w:r>
        <w:t>Ano</w:t>
      </w:r>
      <w:proofErr w:type="spellEnd"/>
      <w:r>
        <w:t xml:space="preserve"> Base 2021</w:t>
      </w:r>
    </w:p>
    <w:p w14:paraId="058A7616" w14:textId="77777777" w:rsidR="00546B6E" w:rsidRDefault="00546B6E" w:rsidP="00027A36">
      <w:pPr>
        <w:jc w:val="left"/>
      </w:pPr>
    </w:p>
    <w:p w14:paraId="15E3F301" w14:textId="70A0BC8F" w:rsidR="00546B6E" w:rsidRPr="00546B6E" w:rsidRDefault="00546B6E" w:rsidP="00027A36">
      <w:pPr>
        <w:jc w:val="left"/>
      </w:pPr>
      <w:r>
        <w:t xml:space="preserve">BECKETT, C. T. S.; JAQUIN, P. A.; MOREL, J. C. </w:t>
      </w:r>
      <w:r w:rsidRPr="00546B6E">
        <w:rPr>
          <w:lang w:val="en-GB"/>
        </w:rPr>
        <w:t xml:space="preserve">Weathering the storm: A framework to assess the resistance of earthen structures to water damage. </w:t>
      </w:r>
      <w:r w:rsidR="00397292" w:rsidRPr="00397292">
        <w:rPr>
          <w:b/>
          <w:bCs/>
          <w:lang w:val="en-GB"/>
        </w:rPr>
        <w:t>Construction and Building Materials</w:t>
      </w:r>
      <w:r w:rsidR="00397292">
        <w:rPr>
          <w:b/>
          <w:bCs/>
          <w:lang w:val="en-GB"/>
        </w:rPr>
        <w:t xml:space="preserve">. </w:t>
      </w:r>
      <w:r w:rsidR="00397292" w:rsidRPr="00027A36">
        <w:rPr>
          <w:lang w:val="en-GB"/>
        </w:rPr>
        <w:t>Vol</w:t>
      </w:r>
      <w:r w:rsidR="00B722A9">
        <w:rPr>
          <w:lang w:val="en-GB"/>
        </w:rPr>
        <w:t>.</w:t>
      </w:r>
      <w:r w:rsidR="00397292" w:rsidRPr="00027A36">
        <w:rPr>
          <w:lang w:val="en-GB"/>
        </w:rPr>
        <w:t xml:space="preserve"> 242, 10 May 2020, 118098.</w:t>
      </w:r>
      <w:r w:rsidR="00E147BC">
        <w:rPr>
          <w:lang w:val="en-GB"/>
        </w:rPr>
        <w:t xml:space="preserve"> 2020.</w:t>
      </w:r>
      <w:r w:rsidR="00397292" w:rsidRPr="00027A36">
        <w:rPr>
          <w:lang w:val="en-GB"/>
        </w:rPr>
        <w:t xml:space="preserve"> DOI: </w:t>
      </w:r>
      <w:hyperlink r:id="rId15" w:tgtFrame="_blank" w:tooltip="Persistent link using digital object identifier" w:history="1">
        <w:r w:rsidR="00BB2DF7" w:rsidRPr="00027A36">
          <w:rPr>
            <w:rStyle w:val="Hyperlink"/>
            <w:color w:val="auto"/>
            <w:u w:val="none"/>
          </w:rPr>
          <w:t>https://doi.org/10.1016/j.conbuildmat.2020.118098</w:t>
        </w:r>
      </w:hyperlink>
      <w:r w:rsidR="00BB2DF7" w:rsidRPr="00027A36">
        <w:rPr>
          <w:lang w:val="en-GB"/>
        </w:rPr>
        <w:t>.</w:t>
      </w:r>
      <w:r w:rsidR="00BB2DF7" w:rsidRPr="00027A36">
        <w:rPr>
          <w:b/>
          <w:bCs/>
          <w:lang w:val="en-GB"/>
        </w:rPr>
        <w:t xml:space="preserve"> </w:t>
      </w:r>
    </w:p>
    <w:p w14:paraId="4BCA7111" w14:textId="77777777" w:rsidR="00702466" w:rsidRDefault="00702466" w:rsidP="00027A36">
      <w:pPr>
        <w:jc w:val="left"/>
      </w:pPr>
    </w:p>
    <w:p w14:paraId="30607184" w14:textId="6AC3E29F" w:rsidR="00702466" w:rsidRPr="00027A36" w:rsidRDefault="0077271C" w:rsidP="00027A36">
      <w:pPr>
        <w:jc w:val="left"/>
        <w:rPr>
          <w:lang w:val="en-GB"/>
        </w:rPr>
      </w:pPr>
      <w:r>
        <w:t xml:space="preserve">CIRVINI, </w:t>
      </w:r>
      <w:proofErr w:type="gramStart"/>
      <w:r>
        <w:t>S.,A.</w:t>
      </w:r>
      <w:proofErr w:type="gramEnd"/>
      <w:r>
        <w:t xml:space="preserve">; VOLTAN, J. A. G. Teste and device to evaluate the capillary absorption in soil specimens of adobe and rammed earth. </w:t>
      </w:r>
      <w:proofErr w:type="spellStart"/>
      <w:r w:rsidRPr="00027A36">
        <w:rPr>
          <w:b/>
          <w:lang w:val="en-GB"/>
        </w:rPr>
        <w:t>Revista</w:t>
      </w:r>
      <w:proofErr w:type="spellEnd"/>
      <w:r w:rsidRPr="00027A36">
        <w:rPr>
          <w:b/>
          <w:lang w:val="en-GB"/>
        </w:rPr>
        <w:t xml:space="preserve"> Técnica Universidad del Zulia</w:t>
      </w:r>
      <w:r w:rsidRPr="00027A36">
        <w:rPr>
          <w:lang w:val="en-GB"/>
        </w:rPr>
        <w:t>. Vol. 37, Nº 1, 3 - 10. 2014</w:t>
      </w:r>
      <w:r w:rsidR="00397292">
        <w:rPr>
          <w:lang w:val="en-GB"/>
        </w:rPr>
        <w:t>.</w:t>
      </w:r>
    </w:p>
    <w:p w14:paraId="7EEFB4B5" w14:textId="77777777" w:rsidR="00702466" w:rsidRPr="00027A36" w:rsidRDefault="00702466" w:rsidP="00027A36">
      <w:pPr>
        <w:jc w:val="left"/>
        <w:rPr>
          <w:lang w:val="en-GB"/>
        </w:rPr>
      </w:pPr>
    </w:p>
    <w:p w14:paraId="2B4ADD75" w14:textId="77777777" w:rsidR="00702466" w:rsidRDefault="0077271C" w:rsidP="00027A36">
      <w:pPr>
        <w:jc w:val="left"/>
      </w:pPr>
      <w:r>
        <w:t>DANSO, H.</w:t>
      </w:r>
      <w:proofErr w:type="gramStart"/>
      <w:r>
        <w:t>;  MARTINSON</w:t>
      </w:r>
      <w:proofErr w:type="gramEnd"/>
      <w:r>
        <w:t xml:space="preserve">, D. B.; ALI M.; WILLIAMS, J. B. </w:t>
      </w:r>
      <w:r>
        <w:rPr>
          <w:b/>
        </w:rPr>
        <w:t xml:space="preserve">Effect of Sugarcane Bagasse </w:t>
      </w:r>
      <w:proofErr w:type="spellStart"/>
      <w:r>
        <w:rPr>
          <w:b/>
        </w:rPr>
        <w:t>Fibre</w:t>
      </w:r>
      <w:proofErr w:type="spellEnd"/>
      <w:r>
        <w:rPr>
          <w:b/>
        </w:rPr>
        <w:t xml:space="preserve"> on the Strength Properties of Soil Blocks</w:t>
      </w:r>
      <w:r>
        <w:t>. In: 1stint conf bio-based build mater. 2015.</w:t>
      </w:r>
    </w:p>
    <w:p w14:paraId="721E8F78" w14:textId="77777777" w:rsidR="00702466" w:rsidRDefault="00702466" w:rsidP="00027A36">
      <w:pPr>
        <w:jc w:val="left"/>
      </w:pPr>
    </w:p>
    <w:p w14:paraId="1972D0C1" w14:textId="1FD91B50" w:rsidR="00702466" w:rsidRDefault="0077271C" w:rsidP="00027A36">
      <w:pPr>
        <w:jc w:val="left"/>
      </w:pPr>
      <w:r>
        <w:t xml:space="preserve">DEGIRMENCI, N. The use of industrial wastes in adobe stabilization. </w:t>
      </w:r>
      <w:r>
        <w:rPr>
          <w:b/>
        </w:rPr>
        <w:t>Journal of Science</w:t>
      </w:r>
      <w:r>
        <w:t xml:space="preserve">, 505 - 515. </w:t>
      </w:r>
      <w:r w:rsidR="00E147BC" w:rsidRPr="00E147BC">
        <w:t>ISSN 1303-9709</w:t>
      </w:r>
      <w:r w:rsidR="00E147BC">
        <w:t xml:space="preserve">. </w:t>
      </w:r>
      <w:r>
        <w:t>2005.</w:t>
      </w:r>
    </w:p>
    <w:p w14:paraId="64BF2DCA" w14:textId="77777777" w:rsidR="00702466" w:rsidRDefault="00702466" w:rsidP="00027A36">
      <w:pPr>
        <w:jc w:val="left"/>
      </w:pPr>
    </w:p>
    <w:p w14:paraId="43E031BB" w14:textId="64752482" w:rsidR="00E147BC" w:rsidRDefault="0077271C" w:rsidP="00E147BC">
      <w:pPr>
        <w:rPr>
          <w:rFonts w:ascii="Open Sans" w:hAnsi="Open Sans" w:cs="Open Sans"/>
          <w:color w:val="767676"/>
          <w:sz w:val="21"/>
          <w:szCs w:val="21"/>
        </w:rPr>
      </w:pPr>
      <w:r>
        <w:t xml:space="preserve">FIGUEIREDO, M.; LAMEIRAS, F.; ARDISSON, J.; ARAÚJO, M. H.; TEIXEIRA, A. P. de C. Tailings from Fundão Tragedy: physical chemical properties of the material that remains by </w:t>
      </w:r>
      <w:proofErr w:type="spellStart"/>
      <w:r>
        <w:t>candonga</w:t>
      </w:r>
      <w:proofErr w:type="spellEnd"/>
      <w:r>
        <w:t xml:space="preserve"> dam.</w:t>
      </w:r>
      <w:r>
        <w:rPr>
          <w:b/>
        </w:rPr>
        <w:t xml:space="preserve"> Integrated Environmental Assessment </w:t>
      </w:r>
      <w:r w:rsidR="00BB2DF7">
        <w:rPr>
          <w:b/>
        </w:rPr>
        <w:t xml:space="preserve">and </w:t>
      </w:r>
      <w:r>
        <w:rPr>
          <w:b/>
        </w:rPr>
        <w:t>Management</w:t>
      </w:r>
      <w:r>
        <w:t xml:space="preserve">, [S.L.], v. 16, n. 5, p. 636-642, 10 </w:t>
      </w:r>
      <w:proofErr w:type="spellStart"/>
      <w:r>
        <w:t>jan.</w:t>
      </w:r>
      <w:proofErr w:type="spellEnd"/>
      <w:r>
        <w:t xml:space="preserve"> 2020.</w:t>
      </w:r>
      <w:r w:rsidR="00E147BC">
        <w:t xml:space="preserve"> DOI:</w:t>
      </w:r>
      <w:r w:rsidR="00E147BC" w:rsidRPr="00E147BC">
        <w:t xml:space="preserve"> </w:t>
      </w:r>
      <w:hyperlink r:id="rId16" w:history="1">
        <w:r w:rsidR="00E147BC" w:rsidRPr="00E147BC">
          <w:t>https://doi.org/10.1002/ieam.4227</w:t>
        </w:r>
      </w:hyperlink>
      <w:r w:rsidR="00E147BC">
        <w:t>.</w:t>
      </w:r>
    </w:p>
    <w:p w14:paraId="3422780F" w14:textId="0AE0B731" w:rsidR="00702466" w:rsidRDefault="00702466" w:rsidP="00027A36">
      <w:pPr>
        <w:jc w:val="left"/>
      </w:pPr>
    </w:p>
    <w:p w14:paraId="13DBB91F" w14:textId="08B80C25" w:rsidR="00702466" w:rsidRDefault="0077271C" w:rsidP="00027A36">
      <w:pPr>
        <w:spacing w:before="240" w:after="240"/>
        <w:jc w:val="left"/>
      </w:pPr>
      <w:r>
        <w:t>INDEKEU, M. L.; FENG, C.; JANSSEN, H.; WOLOSZYN, M. Experimental study on the capillary absorption characteristics of rammed earth.</w:t>
      </w:r>
      <w:r>
        <w:rPr>
          <w:b/>
        </w:rPr>
        <w:t xml:space="preserve"> Construction and Building Materials</w:t>
      </w:r>
      <w:r>
        <w:t xml:space="preserve">, v. 283, 10 </w:t>
      </w:r>
      <w:proofErr w:type="spellStart"/>
      <w:r>
        <w:t>mai</w:t>
      </w:r>
      <w:proofErr w:type="spellEnd"/>
      <w:r>
        <w:t>. 2021.</w:t>
      </w:r>
      <w:r w:rsidR="00E147BC">
        <w:t xml:space="preserve"> DOI: </w:t>
      </w:r>
      <w:hyperlink r:id="rId17" w:tgtFrame="_blank" w:tooltip="Persistent link using digital object identifier" w:history="1">
        <w:r w:rsidR="00E147BC" w:rsidRPr="00E147BC">
          <w:t>https://doi.org/10.1016/j.conbuildmat.2021.122689</w:t>
        </w:r>
      </w:hyperlink>
    </w:p>
    <w:p w14:paraId="6F59A20A" w14:textId="77777777" w:rsidR="00702466" w:rsidRPr="005D2B08" w:rsidRDefault="0077271C" w:rsidP="00027A36">
      <w:pPr>
        <w:jc w:val="left"/>
        <w:rPr>
          <w:lang w:val="pt-BR"/>
        </w:rPr>
      </w:pPr>
      <w:r w:rsidRPr="00CF7034">
        <w:rPr>
          <w:lang w:val="pt-BR"/>
        </w:rPr>
        <w:t xml:space="preserve">LAGE, G. L. T.; MENDONÇA, I. K. NOGUEIRA, J. W. BESSA, S. A. L.  </w:t>
      </w:r>
      <w:r w:rsidRPr="005D2B08">
        <w:rPr>
          <w:b/>
          <w:lang w:val="pt-BR"/>
        </w:rPr>
        <w:t>Análise mecânica de solo estabilizado com sedimento da barragem de Fundão.</w:t>
      </w:r>
      <w:r w:rsidRPr="005D2B08">
        <w:rPr>
          <w:lang w:val="pt-BR"/>
        </w:rPr>
        <w:t xml:space="preserve"> Rede Terra Brasil. 2022a.</w:t>
      </w:r>
    </w:p>
    <w:p w14:paraId="5CAA5A49" w14:textId="77777777" w:rsidR="00702466" w:rsidRPr="005D2B08" w:rsidRDefault="00702466" w:rsidP="00027A36">
      <w:pPr>
        <w:jc w:val="left"/>
        <w:rPr>
          <w:lang w:val="pt-BR"/>
        </w:rPr>
      </w:pPr>
    </w:p>
    <w:p w14:paraId="0E5677B7" w14:textId="77777777" w:rsidR="00702466" w:rsidRPr="005D2B08" w:rsidRDefault="0077271C" w:rsidP="00027A36">
      <w:pPr>
        <w:jc w:val="left"/>
        <w:rPr>
          <w:lang w:val="pt-BR"/>
        </w:rPr>
      </w:pPr>
      <w:r w:rsidRPr="005D2B08">
        <w:rPr>
          <w:lang w:val="pt-BR"/>
        </w:rPr>
        <w:t xml:space="preserve">LAGE, G. L. T.; VIMIEIRO, J. I. C.; MATIAS, L. M.; COSTA, J. M.; BATISTA, G. E. F.; BESSA, S. A. L.  </w:t>
      </w:r>
      <w:r w:rsidRPr="005D2B08">
        <w:rPr>
          <w:b/>
          <w:lang w:val="pt-BR"/>
        </w:rPr>
        <w:t xml:space="preserve">Caracterização do sedimento de rejeito de minério de ferro para uso como estabilizante da taipa de pilão. </w:t>
      </w:r>
      <w:r w:rsidRPr="005D2B08">
        <w:rPr>
          <w:lang w:val="pt-BR"/>
        </w:rPr>
        <w:t>4º Congresso Luso-Brasileiro Materiais de Construção Sustentáveis. 2022b.</w:t>
      </w:r>
    </w:p>
    <w:p w14:paraId="263B6F1D" w14:textId="77777777" w:rsidR="00702466" w:rsidRPr="005D2B08" w:rsidRDefault="00702466" w:rsidP="00027A36">
      <w:pPr>
        <w:jc w:val="left"/>
        <w:rPr>
          <w:lang w:val="pt-BR"/>
        </w:rPr>
      </w:pPr>
    </w:p>
    <w:p w14:paraId="512277E3" w14:textId="77777777" w:rsidR="00702466" w:rsidRDefault="0077271C" w:rsidP="00027A36">
      <w:pPr>
        <w:jc w:val="left"/>
      </w:pPr>
      <w:r w:rsidRPr="005D2B08">
        <w:rPr>
          <w:lang w:val="pt-BR"/>
        </w:rPr>
        <w:t xml:space="preserve">LAGE, G. T. L.; NOGUEIRA, J. A. W.; SARAIVA, S. H. M.; BESSA, S. A. L. Arquitetura de terra em regiões afetadas pelo rompimento da barragem de Fundão. </w:t>
      </w:r>
      <w:r w:rsidRPr="005D2B08">
        <w:rPr>
          <w:i/>
          <w:lang w:val="pt-BR"/>
        </w:rPr>
        <w:t xml:space="preserve">In: </w:t>
      </w:r>
      <w:r w:rsidRPr="005D2B08">
        <w:rPr>
          <w:lang w:val="pt-BR"/>
        </w:rPr>
        <w:t xml:space="preserve">VIII Congresso de arquitetura e construção com terra no Brasil. </w:t>
      </w:r>
      <w:r>
        <w:t xml:space="preserve">Terra </w:t>
      </w:r>
      <w:proofErr w:type="spellStart"/>
      <w:r>
        <w:t>Brasil</w:t>
      </w:r>
      <w:proofErr w:type="spellEnd"/>
      <w:r>
        <w:t xml:space="preserve"> 2022, 2022, </w:t>
      </w:r>
      <w:proofErr w:type="spellStart"/>
      <w:r>
        <w:t>Florianópolis</w:t>
      </w:r>
      <w:proofErr w:type="spellEnd"/>
      <w:r>
        <w:t xml:space="preserve">/SC. </w:t>
      </w:r>
      <w:r>
        <w:rPr>
          <w:b/>
        </w:rPr>
        <w:t>Anais [...]</w:t>
      </w:r>
      <w:r>
        <w:t xml:space="preserve">. </w:t>
      </w:r>
      <w:proofErr w:type="spellStart"/>
      <w:r>
        <w:t>Florianópolis</w:t>
      </w:r>
      <w:proofErr w:type="spellEnd"/>
      <w:r>
        <w:t xml:space="preserve">/SC: UFSC, 2022c.  </w:t>
      </w:r>
    </w:p>
    <w:p w14:paraId="325E1CD4" w14:textId="77777777" w:rsidR="00702466" w:rsidRDefault="00702466" w:rsidP="00027A36">
      <w:pPr>
        <w:jc w:val="left"/>
      </w:pPr>
    </w:p>
    <w:p w14:paraId="5F84B0EE" w14:textId="395B0EC4" w:rsidR="00702466" w:rsidRPr="00160A2A" w:rsidRDefault="0077271C" w:rsidP="00027A36">
      <w:pPr>
        <w:jc w:val="left"/>
        <w:rPr>
          <w:lang w:val="en-GB"/>
        </w:rPr>
      </w:pPr>
      <w:r>
        <w:t xml:space="preserve">LITTLE, D. N., NAIR, S. </w:t>
      </w:r>
      <w:r>
        <w:rPr>
          <w:b/>
        </w:rPr>
        <w:t>Recommended practice for stabilization of subgrade soils and base materials</w:t>
      </w:r>
      <w:r>
        <w:t xml:space="preserve">. </w:t>
      </w:r>
      <w:r w:rsidR="00160A2A" w:rsidRPr="00CF7034">
        <w:rPr>
          <w:lang w:val="en-GB"/>
        </w:rPr>
        <w:t xml:space="preserve">National Academies of Sciences, Engineering, and Medicine. </w:t>
      </w:r>
      <w:r w:rsidRPr="00CF7034">
        <w:rPr>
          <w:lang w:val="en-GB"/>
        </w:rPr>
        <w:t>2009.</w:t>
      </w:r>
      <w:r w:rsidR="00160A2A" w:rsidRPr="00CF7034">
        <w:rPr>
          <w:lang w:val="en-GB"/>
        </w:rPr>
        <w:t xml:space="preserve"> </w:t>
      </w:r>
      <w:hyperlink r:id="rId18" w:history="1">
        <w:r w:rsidR="00160A2A" w:rsidRPr="00CF7034">
          <w:rPr>
            <w:lang w:val="en-GB"/>
          </w:rPr>
          <w:t>https://doi.org/10.17226/22999</w:t>
        </w:r>
      </w:hyperlink>
    </w:p>
    <w:p w14:paraId="008471FB" w14:textId="77777777" w:rsidR="00702466" w:rsidRPr="00160A2A" w:rsidRDefault="00702466" w:rsidP="00027A36">
      <w:pPr>
        <w:jc w:val="left"/>
        <w:rPr>
          <w:lang w:val="en-GB"/>
        </w:rPr>
      </w:pPr>
    </w:p>
    <w:p w14:paraId="741563A7" w14:textId="6C7974E3" w:rsidR="00702466" w:rsidRPr="00CF7034" w:rsidRDefault="0077271C" w:rsidP="00027A36">
      <w:pPr>
        <w:jc w:val="left"/>
        <w:rPr>
          <w:lang w:val="en-GB"/>
        </w:rPr>
      </w:pPr>
      <w:r w:rsidRPr="005D2B08">
        <w:rPr>
          <w:lang w:val="pt-BR"/>
        </w:rPr>
        <w:t xml:space="preserve">LI, R.; ZHOU, Y.; LI, C.; LI, S.; HUANG, </w:t>
      </w:r>
      <w:proofErr w:type="gramStart"/>
      <w:r w:rsidRPr="005D2B08">
        <w:rPr>
          <w:lang w:val="pt-BR"/>
        </w:rPr>
        <w:t>Z..</w:t>
      </w:r>
      <w:proofErr w:type="gramEnd"/>
      <w:r w:rsidRPr="005D2B08">
        <w:rPr>
          <w:lang w:val="pt-BR"/>
        </w:rPr>
        <w:t xml:space="preserve"> </w:t>
      </w:r>
      <w:r>
        <w:t xml:space="preserve">Recycling of industrial waste iron tailings in porous bricks with low thermal conductivity. </w:t>
      </w:r>
      <w:r w:rsidRPr="00CF7034">
        <w:rPr>
          <w:b/>
          <w:lang w:val="en-GB"/>
        </w:rPr>
        <w:t>Construction And Building Materials</w:t>
      </w:r>
      <w:r w:rsidRPr="00CF7034">
        <w:rPr>
          <w:lang w:val="en-GB"/>
        </w:rPr>
        <w:t xml:space="preserve">, [S.L.], v. 213, p. 43-50, </w:t>
      </w:r>
      <w:proofErr w:type="spellStart"/>
      <w:r w:rsidRPr="00CF7034">
        <w:rPr>
          <w:lang w:val="en-GB"/>
        </w:rPr>
        <w:t>jul.</w:t>
      </w:r>
      <w:proofErr w:type="spellEnd"/>
      <w:r w:rsidRPr="00CF7034">
        <w:rPr>
          <w:lang w:val="en-GB"/>
        </w:rPr>
        <w:t xml:space="preserve"> 2019.</w:t>
      </w:r>
      <w:r w:rsidR="00160A2A" w:rsidRPr="00CF7034">
        <w:rPr>
          <w:lang w:val="en-GB"/>
        </w:rPr>
        <w:t xml:space="preserve"> </w:t>
      </w:r>
      <w:hyperlink r:id="rId19" w:tgtFrame="_blank" w:tooltip="Persistent link using digital object identifier" w:history="1">
        <w:r w:rsidR="00160A2A" w:rsidRPr="00160A2A">
          <w:t>https://doi.org/10.1016/j.conbuildmat.2019.04.040</w:t>
        </w:r>
      </w:hyperlink>
    </w:p>
    <w:p w14:paraId="739CE3B8" w14:textId="77777777" w:rsidR="00702466" w:rsidRPr="00CF7034" w:rsidRDefault="00702466" w:rsidP="00027A36">
      <w:pPr>
        <w:jc w:val="left"/>
        <w:rPr>
          <w:lang w:val="en-GB"/>
        </w:rPr>
      </w:pPr>
    </w:p>
    <w:p w14:paraId="48B6A539" w14:textId="77777777" w:rsidR="00702466" w:rsidRPr="005D2B08" w:rsidRDefault="0077271C" w:rsidP="00027A36">
      <w:pPr>
        <w:jc w:val="left"/>
        <w:rPr>
          <w:lang w:val="pt-BR"/>
        </w:rPr>
      </w:pPr>
      <w:r w:rsidRPr="005D2B08">
        <w:rPr>
          <w:lang w:val="pt-BR"/>
        </w:rPr>
        <w:t xml:space="preserve">MACHADO, I. C. M; BORGES, A. N.; SOUZA, J. C.; GITIRANA Jr., G. F. N.; REZENDE, L. R. Influência da Cal na Curva Característica Solo-água de um Solo Tropical. In: ANAIS DO XX COBRAMSEG, 2020, Campinas. </w:t>
      </w:r>
      <w:r w:rsidRPr="005D2B08">
        <w:rPr>
          <w:b/>
          <w:lang w:val="pt-BR"/>
        </w:rPr>
        <w:t>Anais eletrônicos...</w:t>
      </w:r>
      <w:r w:rsidRPr="005D2B08">
        <w:rPr>
          <w:lang w:val="pt-BR"/>
        </w:rPr>
        <w:t xml:space="preserve"> Campinas, </w:t>
      </w:r>
      <w:proofErr w:type="spellStart"/>
      <w:r w:rsidRPr="005D2B08">
        <w:rPr>
          <w:lang w:val="pt-BR"/>
        </w:rPr>
        <w:t>Galoá</w:t>
      </w:r>
      <w:proofErr w:type="spellEnd"/>
      <w:r w:rsidRPr="005D2B08">
        <w:rPr>
          <w:lang w:val="pt-BR"/>
        </w:rPr>
        <w:t xml:space="preserve">, 2020. </w:t>
      </w:r>
    </w:p>
    <w:p w14:paraId="21ED583F" w14:textId="77777777" w:rsidR="00702466" w:rsidRPr="005D2B08" w:rsidRDefault="00702466" w:rsidP="00027A36">
      <w:pPr>
        <w:jc w:val="left"/>
        <w:rPr>
          <w:lang w:val="pt-BR"/>
        </w:rPr>
      </w:pPr>
    </w:p>
    <w:p w14:paraId="295F28E1" w14:textId="2E1F94A4" w:rsidR="00702466" w:rsidRPr="00160A2A" w:rsidRDefault="0077271C" w:rsidP="00027A36">
      <w:pPr>
        <w:jc w:val="left"/>
        <w:rPr>
          <w:lang w:val="en-GB"/>
        </w:rPr>
      </w:pPr>
      <w:r>
        <w:t xml:space="preserve">MANZOOR, S.O.; YOUSUF, A. </w:t>
      </w:r>
      <w:proofErr w:type="spellStart"/>
      <w:r>
        <w:t>Stabilisation</w:t>
      </w:r>
      <w:proofErr w:type="spellEnd"/>
      <w:r>
        <w:t xml:space="preserve"> of Soils with Lime: A Review. </w:t>
      </w:r>
      <w:r w:rsidRPr="00160A2A">
        <w:rPr>
          <w:b/>
          <w:lang w:val="en-GB"/>
        </w:rPr>
        <w:t xml:space="preserve">Journal of Materials and Environmental Science. </w:t>
      </w:r>
      <w:r w:rsidRPr="00160A2A">
        <w:rPr>
          <w:lang w:val="en-GB"/>
        </w:rPr>
        <w:t>Volume 11, Issue 9, Page 1538-1551.</w:t>
      </w:r>
      <w:r w:rsidR="00160A2A" w:rsidRPr="00160A2A">
        <w:t xml:space="preserve"> </w:t>
      </w:r>
      <w:r w:rsidR="00160A2A">
        <w:t>ISSN: 2028-2508</w:t>
      </w:r>
      <w:r w:rsidRPr="00160A2A">
        <w:rPr>
          <w:lang w:val="en-GB"/>
        </w:rPr>
        <w:t xml:space="preserve"> 2020.</w:t>
      </w:r>
    </w:p>
    <w:p w14:paraId="42AFF7DC" w14:textId="77777777" w:rsidR="00702466" w:rsidRPr="00160A2A" w:rsidRDefault="00702466" w:rsidP="00027A36">
      <w:pPr>
        <w:jc w:val="left"/>
        <w:rPr>
          <w:lang w:val="en-GB"/>
        </w:rPr>
      </w:pPr>
    </w:p>
    <w:p w14:paraId="73C48EA2" w14:textId="739264CB" w:rsidR="00702466" w:rsidRPr="00CF7034" w:rsidRDefault="0077271C" w:rsidP="00027A36">
      <w:pPr>
        <w:jc w:val="left"/>
        <w:rPr>
          <w:lang w:val="en-GB"/>
        </w:rPr>
      </w:pPr>
      <w:r w:rsidRPr="005D2B08">
        <w:rPr>
          <w:lang w:val="pt-BR"/>
        </w:rPr>
        <w:t xml:space="preserve">MATTOS, F. C; GONÇALVES, M. R. F. Influência do teor de finos das areias no coeficiente de capilaridade das argamassas de cal expostas ao ambiente marinho. </w:t>
      </w:r>
      <w:r w:rsidRPr="005D2B08">
        <w:rPr>
          <w:b/>
          <w:lang w:val="pt-BR"/>
        </w:rPr>
        <w:t xml:space="preserve">Revista </w:t>
      </w:r>
      <w:proofErr w:type="spellStart"/>
      <w:r w:rsidRPr="005D2B08">
        <w:rPr>
          <w:b/>
          <w:lang w:val="pt-BR"/>
        </w:rPr>
        <w:t>Mundi</w:t>
      </w:r>
      <w:proofErr w:type="spellEnd"/>
      <w:r w:rsidRPr="005D2B08">
        <w:rPr>
          <w:b/>
          <w:lang w:val="pt-BR"/>
        </w:rPr>
        <w:t xml:space="preserve"> Engenharia, Tecnologia e Gestão.</w:t>
      </w:r>
      <w:r w:rsidRPr="005D2B08">
        <w:rPr>
          <w:lang w:val="pt-BR"/>
        </w:rPr>
        <w:t xml:space="preserve"> Curitiba, PR, v.2, n.1,</w:t>
      </w:r>
      <w:proofErr w:type="gramStart"/>
      <w:r w:rsidRPr="005D2B08">
        <w:rPr>
          <w:lang w:val="pt-BR"/>
        </w:rPr>
        <w:t>25,jan.</w:t>
      </w:r>
      <w:proofErr w:type="gramEnd"/>
      <w:r w:rsidRPr="005D2B08">
        <w:rPr>
          <w:lang w:val="pt-BR"/>
        </w:rPr>
        <w:t xml:space="preserve"> / jun., 2017. </w:t>
      </w:r>
      <w:r w:rsidR="00160A2A" w:rsidRPr="00CF7034">
        <w:rPr>
          <w:lang w:val="en-GB"/>
        </w:rPr>
        <w:t>DOI:</w:t>
      </w:r>
      <w:r w:rsidR="00160A2A" w:rsidRPr="00160A2A">
        <w:t xml:space="preserve"> </w:t>
      </w:r>
      <w:hyperlink r:id="rId20" w:tgtFrame="_blank" w:history="1">
        <w:r w:rsidR="00160A2A" w:rsidRPr="00CF7034">
          <w:rPr>
            <w:lang w:val="en-GB"/>
          </w:rPr>
          <w:t>10.21575/25254782rmetg2017vol2n1333</w:t>
        </w:r>
      </w:hyperlink>
    </w:p>
    <w:p w14:paraId="56A0C347" w14:textId="77777777" w:rsidR="00702466" w:rsidRPr="00CF7034" w:rsidRDefault="00702466" w:rsidP="00027A36">
      <w:pPr>
        <w:jc w:val="left"/>
        <w:rPr>
          <w:lang w:val="en-GB"/>
        </w:rPr>
      </w:pPr>
    </w:p>
    <w:p w14:paraId="70706051" w14:textId="6B8D68D7" w:rsidR="00702466" w:rsidRPr="00CF7034" w:rsidRDefault="0077271C" w:rsidP="00027A36">
      <w:pPr>
        <w:jc w:val="left"/>
        <w:rPr>
          <w:lang w:val="en-GB"/>
        </w:rPr>
      </w:pPr>
      <w:r w:rsidRPr="00CF7034">
        <w:rPr>
          <w:lang w:val="en-GB"/>
        </w:rPr>
        <w:t xml:space="preserve">MUNOZ, P.; LETELIER, V. MUNOZ, L.; BUSTAMANTE. </w:t>
      </w:r>
      <w:r>
        <w:t xml:space="preserve">Adobe bricks reinforced with paper e pulp wastes improving thermal and mechanical properties. </w:t>
      </w:r>
      <w:r w:rsidRPr="00CF7034">
        <w:rPr>
          <w:b/>
          <w:lang w:val="en-GB"/>
        </w:rPr>
        <w:t>Construction and Building Materials</w:t>
      </w:r>
      <w:r w:rsidRPr="00CF7034">
        <w:rPr>
          <w:lang w:val="en-GB"/>
        </w:rPr>
        <w:t>. 2020</w:t>
      </w:r>
      <w:r w:rsidR="00160A2A" w:rsidRPr="00CF7034">
        <w:rPr>
          <w:lang w:val="en-GB"/>
        </w:rPr>
        <w:t xml:space="preserve">. DOI: </w:t>
      </w:r>
      <w:hyperlink r:id="rId21" w:tgtFrame="_blank" w:tooltip="Persistent link using digital object identifier" w:history="1">
        <w:r w:rsidR="00160A2A" w:rsidRPr="00CF7034">
          <w:rPr>
            <w:lang w:val="en-GB"/>
          </w:rPr>
          <w:t>https://doi.org/10.1016/j.conbuildmat.2020.119314</w:t>
        </w:r>
      </w:hyperlink>
    </w:p>
    <w:p w14:paraId="222C085A" w14:textId="77777777" w:rsidR="00702466" w:rsidRPr="00CF7034" w:rsidRDefault="00702466" w:rsidP="00027A36">
      <w:pPr>
        <w:jc w:val="left"/>
        <w:rPr>
          <w:lang w:val="en-GB"/>
        </w:rPr>
      </w:pPr>
    </w:p>
    <w:p w14:paraId="0E49212A" w14:textId="77777777" w:rsidR="00702466" w:rsidRPr="005D2B08" w:rsidRDefault="0077271C" w:rsidP="00027A36">
      <w:pPr>
        <w:jc w:val="left"/>
        <w:rPr>
          <w:lang w:val="pt-BR"/>
        </w:rPr>
      </w:pPr>
      <w:r w:rsidRPr="005D2B08">
        <w:rPr>
          <w:lang w:val="pt-BR"/>
        </w:rPr>
        <w:t>Norma E.080.</w:t>
      </w:r>
      <w:r w:rsidRPr="005D2B08">
        <w:rPr>
          <w:b/>
          <w:lang w:val="pt-BR"/>
        </w:rPr>
        <w:t xml:space="preserve"> Regulamento nacional de </w:t>
      </w:r>
      <w:proofErr w:type="spellStart"/>
      <w:r w:rsidRPr="005D2B08">
        <w:rPr>
          <w:b/>
          <w:lang w:val="pt-BR"/>
        </w:rPr>
        <w:t>construcciones</w:t>
      </w:r>
      <w:proofErr w:type="spellEnd"/>
      <w:r w:rsidRPr="005D2B08">
        <w:rPr>
          <w:b/>
          <w:lang w:val="pt-BR"/>
        </w:rPr>
        <w:t>: Adobe</w:t>
      </w:r>
      <w:r w:rsidRPr="005D2B08">
        <w:rPr>
          <w:lang w:val="pt-BR"/>
        </w:rPr>
        <w:t xml:space="preserve">. </w:t>
      </w:r>
      <w:proofErr w:type="spellStart"/>
      <w:r w:rsidRPr="005D2B08">
        <w:rPr>
          <w:lang w:val="pt-BR"/>
        </w:rPr>
        <w:t>Perú</w:t>
      </w:r>
      <w:proofErr w:type="spellEnd"/>
      <w:r w:rsidRPr="005D2B08">
        <w:rPr>
          <w:lang w:val="pt-BR"/>
        </w:rPr>
        <w:t xml:space="preserve">: </w:t>
      </w:r>
      <w:proofErr w:type="spellStart"/>
      <w:r w:rsidRPr="005D2B08">
        <w:rPr>
          <w:lang w:val="pt-BR"/>
        </w:rPr>
        <w:t>Ministerio</w:t>
      </w:r>
      <w:proofErr w:type="spellEnd"/>
      <w:r w:rsidRPr="005D2B08">
        <w:rPr>
          <w:lang w:val="pt-BR"/>
        </w:rPr>
        <w:t xml:space="preserve"> de </w:t>
      </w:r>
      <w:proofErr w:type="spellStart"/>
      <w:r w:rsidRPr="005D2B08">
        <w:rPr>
          <w:lang w:val="pt-BR"/>
        </w:rPr>
        <w:t>Vivienda</w:t>
      </w:r>
      <w:proofErr w:type="spellEnd"/>
      <w:r w:rsidRPr="005D2B08">
        <w:rPr>
          <w:lang w:val="pt-BR"/>
        </w:rPr>
        <w:t xml:space="preserve">, </w:t>
      </w:r>
      <w:proofErr w:type="spellStart"/>
      <w:r w:rsidRPr="005D2B08">
        <w:rPr>
          <w:lang w:val="pt-BR"/>
        </w:rPr>
        <w:t>Construcción</w:t>
      </w:r>
      <w:proofErr w:type="spellEnd"/>
      <w:r w:rsidRPr="005D2B08">
        <w:rPr>
          <w:lang w:val="pt-BR"/>
        </w:rPr>
        <w:t xml:space="preserve"> y </w:t>
      </w:r>
      <w:proofErr w:type="spellStart"/>
      <w:r w:rsidRPr="005D2B08">
        <w:rPr>
          <w:lang w:val="pt-BR"/>
        </w:rPr>
        <w:t>Saneamiento</w:t>
      </w:r>
      <w:proofErr w:type="spellEnd"/>
      <w:r w:rsidRPr="005D2B08">
        <w:rPr>
          <w:lang w:val="pt-BR"/>
        </w:rPr>
        <w:t xml:space="preserve">. 2000. Disponível em: https://www.sencico.gob.pe/descargar.php?idFile=3478 </w:t>
      </w:r>
    </w:p>
    <w:p w14:paraId="268A1224" w14:textId="77777777" w:rsidR="00702466" w:rsidRPr="005D2B08" w:rsidRDefault="00702466" w:rsidP="00027A36">
      <w:pPr>
        <w:jc w:val="left"/>
        <w:rPr>
          <w:lang w:val="pt-BR"/>
        </w:rPr>
      </w:pPr>
    </w:p>
    <w:p w14:paraId="19E6A64E" w14:textId="2325E315" w:rsidR="00702466" w:rsidRPr="00160A2A" w:rsidRDefault="0077271C" w:rsidP="00027A36">
      <w:pPr>
        <w:jc w:val="left"/>
        <w:rPr>
          <w:lang w:val="en-GB"/>
        </w:rPr>
      </w:pPr>
      <w:r w:rsidRPr="005D2B08">
        <w:rPr>
          <w:lang w:val="pt-BR"/>
        </w:rPr>
        <w:t xml:space="preserve">OHOFUGI, N. G.; GÓIS, M. S.; COSTA, K. R. C. B. </w:t>
      </w:r>
      <w:proofErr w:type="spellStart"/>
      <w:r w:rsidRPr="005D2B08">
        <w:rPr>
          <w:lang w:val="pt-BR"/>
        </w:rPr>
        <w:t>da</w:t>
      </w:r>
      <w:proofErr w:type="spellEnd"/>
      <w:r w:rsidRPr="005D2B08">
        <w:rPr>
          <w:lang w:val="pt-BR"/>
        </w:rPr>
        <w:t>; CAVALCANTE, A. L. B. Instrumentação de Baixo Custo em Coluna de Solo para Monitoramento Time-</w:t>
      </w:r>
      <w:proofErr w:type="spellStart"/>
      <w:r w:rsidRPr="005D2B08">
        <w:rPr>
          <w:lang w:val="pt-BR"/>
        </w:rPr>
        <w:t>Lapse</w:t>
      </w:r>
      <w:proofErr w:type="spellEnd"/>
      <w:r w:rsidRPr="005D2B08">
        <w:rPr>
          <w:lang w:val="pt-BR"/>
        </w:rPr>
        <w:t xml:space="preserve"> da Ascensão Capilar / </w:t>
      </w:r>
      <w:proofErr w:type="spellStart"/>
      <w:r w:rsidRPr="005D2B08">
        <w:rPr>
          <w:lang w:val="pt-BR"/>
        </w:rPr>
        <w:t>Low</w:t>
      </w:r>
      <w:proofErr w:type="spellEnd"/>
      <w:r w:rsidRPr="005D2B08">
        <w:rPr>
          <w:lang w:val="pt-BR"/>
        </w:rPr>
        <w:t xml:space="preserve"> </w:t>
      </w:r>
      <w:proofErr w:type="spellStart"/>
      <w:r w:rsidRPr="005D2B08">
        <w:rPr>
          <w:lang w:val="pt-BR"/>
        </w:rPr>
        <w:t>Cost</w:t>
      </w:r>
      <w:proofErr w:type="spellEnd"/>
      <w:r w:rsidRPr="005D2B08">
        <w:rPr>
          <w:lang w:val="pt-BR"/>
        </w:rPr>
        <w:t xml:space="preserve"> </w:t>
      </w:r>
      <w:proofErr w:type="spellStart"/>
      <w:r w:rsidRPr="005D2B08">
        <w:rPr>
          <w:lang w:val="pt-BR"/>
        </w:rPr>
        <w:t>Soil</w:t>
      </w:r>
      <w:proofErr w:type="spellEnd"/>
      <w:r w:rsidRPr="005D2B08">
        <w:rPr>
          <w:lang w:val="pt-BR"/>
        </w:rPr>
        <w:t xml:space="preserve"> </w:t>
      </w:r>
      <w:proofErr w:type="spellStart"/>
      <w:r w:rsidRPr="005D2B08">
        <w:rPr>
          <w:lang w:val="pt-BR"/>
        </w:rPr>
        <w:t>Column</w:t>
      </w:r>
      <w:proofErr w:type="spellEnd"/>
      <w:r w:rsidRPr="005D2B08">
        <w:rPr>
          <w:lang w:val="pt-BR"/>
        </w:rPr>
        <w:t xml:space="preserve"> Instrumentation for Time-</w:t>
      </w:r>
      <w:proofErr w:type="spellStart"/>
      <w:r w:rsidRPr="005D2B08">
        <w:rPr>
          <w:lang w:val="pt-BR"/>
        </w:rPr>
        <w:t>Lapse</w:t>
      </w:r>
      <w:proofErr w:type="spellEnd"/>
      <w:r w:rsidRPr="005D2B08">
        <w:rPr>
          <w:lang w:val="pt-BR"/>
        </w:rPr>
        <w:t xml:space="preserve"> </w:t>
      </w:r>
      <w:proofErr w:type="spellStart"/>
      <w:r w:rsidRPr="005D2B08">
        <w:rPr>
          <w:lang w:val="pt-BR"/>
        </w:rPr>
        <w:t>Monitoring</w:t>
      </w:r>
      <w:proofErr w:type="spellEnd"/>
      <w:r w:rsidRPr="005D2B08">
        <w:rPr>
          <w:lang w:val="pt-BR"/>
        </w:rPr>
        <w:t xml:space="preserve"> </w:t>
      </w:r>
      <w:proofErr w:type="spellStart"/>
      <w:r w:rsidRPr="005D2B08">
        <w:rPr>
          <w:lang w:val="pt-BR"/>
        </w:rPr>
        <w:t>of</w:t>
      </w:r>
      <w:proofErr w:type="spellEnd"/>
      <w:r w:rsidRPr="005D2B08">
        <w:rPr>
          <w:lang w:val="pt-BR"/>
        </w:rPr>
        <w:t xml:space="preserve"> </w:t>
      </w:r>
      <w:proofErr w:type="spellStart"/>
      <w:r w:rsidRPr="005D2B08">
        <w:rPr>
          <w:lang w:val="pt-BR"/>
        </w:rPr>
        <w:t>Rising</w:t>
      </w:r>
      <w:proofErr w:type="spellEnd"/>
      <w:r w:rsidRPr="005D2B08">
        <w:rPr>
          <w:lang w:val="pt-BR"/>
        </w:rPr>
        <w:t xml:space="preserve"> </w:t>
      </w:r>
      <w:proofErr w:type="spellStart"/>
      <w:r w:rsidRPr="005D2B08">
        <w:rPr>
          <w:lang w:val="pt-BR"/>
        </w:rPr>
        <w:t>Damp</w:t>
      </w:r>
      <w:proofErr w:type="spellEnd"/>
      <w:r w:rsidRPr="005D2B08">
        <w:rPr>
          <w:lang w:val="pt-BR"/>
        </w:rPr>
        <w:t xml:space="preserve">. </w:t>
      </w:r>
      <w:r w:rsidRPr="00160A2A">
        <w:rPr>
          <w:b/>
          <w:lang w:val="en-GB"/>
        </w:rPr>
        <w:t>Brazilian Applied Science Review</w:t>
      </w:r>
      <w:r w:rsidRPr="00160A2A">
        <w:rPr>
          <w:lang w:val="en-GB"/>
        </w:rPr>
        <w:t>, [S. l.], v. 5, n. 1, p. 226–240, 2021.</w:t>
      </w:r>
      <w:r w:rsidR="00160A2A" w:rsidRPr="00160A2A">
        <w:rPr>
          <w:lang w:val="en-GB"/>
        </w:rPr>
        <w:t xml:space="preserve"> D</w:t>
      </w:r>
      <w:r w:rsidR="00160A2A">
        <w:rPr>
          <w:lang w:val="en-GB"/>
        </w:rPr>
        <w:t xml:space="preserve">OI: </w:t>
      </w:r>
      <w:r w:rsidR="00160A2A" w:rsidRPr="00CF7034">
        <w:rPr>
          <w:lang w:val="en-GB"/>
        </w:rPr>
        <w:t>https://doi.org/10.34115/basrv5n1-014</w:t>
      </w:r>
    </w:p>
    <w:p w14:paraId="4086ACCB" w14:textId="77777777" w:rsidR="00702466" w:rsidRPr="00160A2A" w:rsidRDefault="00702466" w:rsidP="00027A36">
      <w:pPr>
        <w:jc w:val="left"/>
        <w:rPr>
          <w:lang w:val="en-GB"/>
        </w:rPr>
      </w:pPr>
    </w:p>
    <w:p w14:paraId="099FB2E7" w14:textId="6649E14D" w:rsidR="00702466" w:rsidRDefault="0077271C" w:rsidP="00027A36">
      <w:pPr>
        <w:jc w:val="left"/>
      </w:pPr>
      <w:r w:rsidRPr="005D2B08">
        <w:rPr>
          <w:lang w:val="pt-BR"/>
        </w:rPr>
        <w:t xml:space="preserve">OLACIA, E.; PISELLO, A. L.; CHIODO, V.; MAISANO, S.; FRAZZICA, A.; CABEZA, L. </w:t>
      </w:r>
      <w:proofErr w:type="gramStart"/>
      <w:r w:rsidRPr="005D2B08">
        <w:rPr>
          <w:lang w:val="pt-BR"/>
        </w:rPr>
        <w:t>F..</w:t>
      </w:r>
      <w:proofErr w:type="gramEnd"/>
      <w:r w:rsidRPr="005D2B08">
        <w:rPr>
          <w:lang w:val="pt-BR"/>
        </w:rPr>
        <w:t xml:space="preserve"> </w:t>
      </w:r>
      <w:r>
        <w:t xml:space="preserve">Sustainable adobe bricks with seagrass </w:t>
      </w:r>
      <w:proofErr w:type="spellStart"/>
      <w:r>
        <w:t>fibres</w:t>
      </w:r>
      <w:proofErr w:type="spellEnd"/>
      <w:r>
        <w:t xml:space="preserve">. Mechanical and thermal properties characterization. </w:t>
      </w:r>
      <w:r>
        <w:rPr>
          <w:b/>
        </w:rPr>
        <w:t>Construction And Building Materials</w:t>
      </w:r>
      <w:r>
        <w:t>, [S.L.], v. 239, p. 117669, abr. 2020.</w:t>
      </w:r>
      <w:r w:rsidR="00160A2A">
        <w:t xml:space="preserve"> DOI: </w:t>
      </w:r>
      <w:hyperlink r:id="rId22" w:tgtFrame="_blank" w:tooltip="Persistent link using digital object identifier" w:history="1">
        <w:r w:rsidR="00160A2A" w:rsidRPr="00160A2A">
          <w:t>https://doi.org/10.1016/j.conbuildmat.2019.117669</w:t>
        </w:r>
      </w:hyperlink>
    </w:p>
    <w:p w14:paraId="4E9F0283" w14:textId="77777777" w:rsidR="00702466" w:rsidRDefault="00702466" w:rsidP="00027A36">
      <w:pPr>
        <w:jc w:val="left"/>
      </w:pPr>
    </w:p>
    <w:p w14:paraId="45303714" w14:textId="7CEB5F68" w:rsidR="00702466" w:rsidRDefault="0077271C" w:rsidP="00027A36">
      <w:pPr>
        <w:jc w:val="left"/>
      </w:pPr>
      <w:r>
        <w:t xml:space="preserve">RAIMONDO, M.; DONDI, M.; GARDINI, D.; GUARINI, G.; MAZZANTI, R. </w:t>
      </w:r>
      <w:proofErr w:type="spellStart"/>
      <w:r>
        <w:t>Predisting</w:t>
      </w:r>
      <w:proofErr w:type="spellEnd"/>
      <w:r>
        <w:t xml:space="preserve"> </w:t>
      </w:r>
      <w:r w:rsidRPr="00CF7034">
        <w:rPr>
          <w:lang w:val="en-GB"/>
        </w:rPr>
        <w:t xml:space="preserve">the initial rate of water absorption in clay bricks. </w:t>
      </w:r>
      <w:r w:rsidRPr="00CF7034">
        <w:rPr>
          <w:b/>
          <w:bCs/>
          <w:lang w:val="en-GB"/>
        </w:rPr>
        <w:t>Construction and Building Materials</w:t>
      </w:r>
      <w:r w:rsidRPr="00CF7034">
        <w:rPr>
          <w:lang w:val="en-GB"/>
        </w:rPr>
        <w:t>.</w:t>
      </w:r>
      <w:r w:rsidR="00160A2A" w:rsidRPr="00CF7034">
        <w:rPr>
          <w:lang w:val="en-GB"/>
        </w:rPr>
        <w:t xml:space="preserve"> </w:t>
      </w:r>
      <w:hyperlink r:id="rId23" w:tooltip="Go to table of contents for this volume/issue" w:history="1">
        <w:r w:rsidR="00160A2A" w:rsidRPr="00CF7034">
          <w:rPr>
            <w:lang w:val="en-GB"/>
          </w:rPr>
          <w:t>Volume 23, Issue 7</w:t>
        </w:r>
      </w:hyperlink>
      <w:r w:rsidR="00160A2A" w:rsidRPr="00CF7034">
        <w:rPr>
          <w:lang w:val="en-GB"/>
        </w:rPr>
        <w:t>, July 2009, Pages 2623-2630.</w:t>
      </w:r>
      <w:r w:rsidRPr="00CF7034">
        <w:rPr>
          <w:lang w:val="en-GB"/>
        </w:rPr>
        <w:t xml:space="preserve"> 2009.</w:t>
      </w:r>
      <w:r w:rsidR="00160A2A" w:rsidRPr="00CF7034">
        <w:rPr>
          <w:lang w:val="en-GB"/>
        </w:rPr>
        <w:t xml:space="preserve"> DOI: </w:t>
      </w:r>
      <w:hyperlink r:id="rId24" w:tgtFrame="_blank" w:tooltip="Persistent link using digital object identifier" w:history="1">
        <w:r w:rsidR="00160A2A" w:rsidRPr="00CF7034">
          <w:rPr>
            <w:lang w:val="en-GB"/>
          </w:rPr>
          <w:t>https://doi.org/10.1016/j.conbuildmat.2009.01.009</w:t>
        </w:r>
      </w:hyperlink>
    </w:p>
    <w:p w14:paraId="65BDCBC9" w14:textId="77777777" w:rsidR="00702466" w:rsidRDefault="00702466" w:rsidP="00027A36">
      <w:pPr>
        <w:jc w:val="left"/>
      </w:pPr>
    </w:p>
    <w:p w14:paraId="3D3FCFD6" w14:textId="097DFBFA" w:rsidR="00702466" w:rsidRDefault="0077271C" w:rsidP="00027A36">
      <w:pPr>
        <w:jc w:val="left"/>
      </w:pPr>
      <w:r w:rsidRPr="00CF7034">
        <w:rPr>
          <w:lang w:val="pt-BR"/>
        </w:rPr>
        <w:lastRenderedPageBreak/>
        <w:t xml:space="preserve">SÁNCHEZ, A.; VARUM, H.; MARTINS, T.; FERNANDEZ, J.  </w:t>
      </w:r>
      <w:r>
        <w:t xml:space="preserve">Mechanical properties of adobe masonry for the rehabilitation of buildings. </w:t>
      </w:r>
      <w:r>
        <w:rPr>
          <w:b/>
        </w:rPr>
        <w:t>Construction and Building Materials.</w:t>
      </w:r>
      <w:r w:rsidR="005F7F06">
        <w:rPr>
          <w:b/>
        </w:rPr>
        <w:t xml:space="preserve"> </w:t>
      </w:r>
      <w:hyperlink r:id="rId25" w:tooltip="Go to table of contents for this volume/issue" w:history="1">
        <w:r w:rsidR="005F7F06" w:rsidRPr="005F7F06">
          <w:t>Volume 333</w:t>
        </w:r>
      </w:hyperlink>
      <w:r w:rsidR="005F7F06" w:rsidRPr="005F7F06">
        <w:t>, 23 May 2022, 127330.</w:t>
      </w:r>
      <w:r w:rsidRPr="005F7F06">
        <w:t xml:space="preserve"> </w:t>
      </w:r>
      <w:r>
        <w:t>2022.</w:t>
      </w:r>
      <w:r w:rsidR="005F7F06">
        <w:t xml:space="preserve"> DOI: </w:t>
      </w:r>
      <w:hyperlink r:id="rId26" w:history="1">
        <w:r w:rsidR="005F7F06" w:rsidRPr="005F7F06">
          <w:rPr>
            <w:rStyle w:val="Hyperlink"/>
            <w:color w:val="auto"/>
            <w:u w:val="none"/>
          </w:rPr>
          <w:t>https://doi.org/10.1016/j.conbuildmat.2022.127330</w:t>
        </w:r>
      </w:hyperlink>
    </w:p>
    <w:p w14:paraId="54151B35" w14:textId="77777777" w:rsidR="00702466" w:rsidRDefault="00702466" w:rsidP="00027A36">
      <w:pPr>
        <w:jc w:val="left"/>
      </w:pPr>
    </w:p>
    <w:p w14:paraId="48C1B19F" w14:textId="77C6F06C" w:rsidR="00702466" w:rsidRPr="005F7F06" w:rsidRDefault="0077271C" w:rsidP="00027A36">
      <w:pPr>
        <w:jc w:val="left"/>
        <w:rPr>
          <w:lang w:val="pt-BR"/>
        </w:rPr>
      </w:pPr>
      <w:r>
        <w:t xml:space="preserve">SILVA, F. L. da; ARAÚJO, F. G.; TEIXEIRA, M. P.; GOMES, R. C.; VON KRÜGER, F. L. Study of the recovery and recycling of tailings from the concentration of iron ore </w:t>
      </w:r>
      <w:proofErr w:type="gramStart"/>
      <w:r>
        <w:t>for the production of</w:t>
      </w:r>
      <w:proofErr w:type="gramEnd"/>
      <w:r>
        <w:t xml:space="preserve"> ceramic. </w:t>
      </w:r>
      <w:proofErr w:type="spellStart"/>
      <w:r w:rsidRPr="005F7F06">
        <w:rPr>
          <w:b/>
          <w:lang w:val="pt-BR"/>
        </w:rPr>
        <w:t>Ceramics</w:t>
      </w:r>
      <w:proofErr w:type="spellEnd"/>
      <w:r w:rsidRPr="005F7F06">
        <w:rPr>
          <w:b/>
          <w:lang w:val="pt-BR"/>
        </w:rPr>
        <w:t xml:space="preserve"> </w:t>
      </w:r>
      <w:proofErr w:type="spellStart"/>
      <w:r w:rsidRPr="005F7F06">
        <w:rPr>
          <w:b/>
          <w:lang w:val="pt-BR"/>
        </w:rPr>
        <w:t>International</w:t>
      </w:r>
      <w:proofErr w:type="spellEnd"/>
      <w:r w:rsidRPr="005F7F06">
        <w:rPr>
          <w:lang w:val="pt-BR"/>
        </w:rPr>
        <w:t>, [S.L.], v. 40, n. 10, p. 16085-16089, dez. 2014.</w:t>
      </w:r>
      <w:r w:rsidR="005F7F06">
        <w:rPr>
          <w:lang w:val="pt-BR"/>
        </w:rPr>
        <w:t xml:space="preserve"> DOI:</w:t>
      </w:r>
      <w:r w:rsidR="005F7F06" w:rsidRPr="005F7F06">
        <w:rPr>
          <w:lang w:val="pt-BR"/>
        </w:rPr>
        <w:t xml:space="preserve"> </w:t>
      </w:r>
      <w:hyperlink r:id="rId27" w:tgtFrame="_blank" w:tooltip="Persistent link using digital object identifier" w:history="1">
        <w:r w:rsidR="005F7F06" w:rsidRPr="005F7F06">
          <w:rPr>
            <w:lang w:val="pt-BR"/>
          </w:rPr>
          <w:t>https://doi.org/10.1016/j.ceramint.2014.07.145</w:t>
        </w:r>
      </w:hyperlink>
    </w:p>
    <w:p w14:paraId="49C7F3C8" w14:textId="77777777" w:rsidR="00702466" w:rsidRPr="005F7F06" w:rsidRDefault="00702466" w:rsidP="00027A36">
      <w:pPr>
        <w:jc w:val="left"/>
        <w:rPr>
          <w:lang w:val="pt-BR"/>
        </w:rPr>
      </w:pPr>
    </w:p>
    <w:p w14:paraId="2FBA5DBD" w14:textId="045F15F6" w:rsidR="00702466" w:rsidRPr="005F7F06" w:rsidRDefault="0077271C" w:rsidP="00027A36">
      <w:pPr>
        <w:jc w:val="left"/>
        <w:rPr>
          <w:lang w:val="en-GB"/>
        </w:rPr>
      </w:pPr>
      <w:r>
        <w:t>TAALLAH, B.; GUETTALA, A. The mechanical and physical properties of compressed earth block stabilized with lime and filled with untreated and alkali-treated date</w:t>
      </w:r>
      <w:r w:rsidR="005D2B08">
        <w:t xml:space="preserve"> </w:t>
      </w:r>
      <w:r>
        <w:t xml:space="preserve">palm fibers. </w:t>
      </w:r>
      <w:r w:rsidRPr="005F7F06">
        <w:rPr>
          <w:b/>
          <w:lang w:val="en-GB"/>
        </w:rPr>
        <w:t>Construction and Building Materials</w:t>
      </w:r>
      <w:r w:rsidRPr="005F7F06">
        <w:rPr>
          <w:lang w:val="en-GB"/>
        </w:rPr>
        <w:t>.</w:t>
      </w:r>
      <w:r w:rsidR="005F7F06" w:rsidRPr="005F7F06">
        <w:t xml:space="preserve"> </w:t>
      </w:r>
      <w:hyperlink r:id="rId28" w:tooltip="Go to table of contents for this volume/issue" w:history="1">
        <w:r w:rsidR="005F7F06" w:rsidRPr="005F7F06">
          <w:t>Volume 104</w:t>
        </w:r>
      </w:hyperlink>
      <w:r w:rsidR="005F7F06" w:rsidRPr="005F7F06">
        <w:t>, 1 February 2016, Pages 52-62.</w:t>
      </w:r>
      <w:r w:rsidRPr="005F7F06">
        <w:t xml:space="preserve"> 2016.</w:t>
      </w:r>
      <w:r w:rsidR="005F7F06" w:rsidRPr="005F7F06">
        <w:t xml:space="preserve"> DOI: </w:t>
      </w:r>
      <w:hyperlink r:id="rId29" w:tgtFrame="_blank" w:tooltip="Persistent link using digital object identifier" w:history="1">
        <w:r w:rsidR="005F7F06" w:rsidRPr="005F7F06">
          <w:t>https://doi.org/10.1016/j.conbuildmat.2015.12.007</w:t>
        </w:r>
      </w:hyperlink>
    </w:p>
    <w:p w14:paraId="215C8093" w14:textId="77777777" w:rsidR="000B5435" w:rsidRPr="005F7F06" w:rsidRDefault="000B5435" w:rsidP="00027A36">
      <w:pPr>
        <w:jc w:val="left"/>
        <w:rPr>
          <w:lang w:val="en-GB"/>
        </w:rPr>
      </w:pPr>
    </w:p>
    <w:p w14:paraId="1DD2D585" w14:textId="0A28CF5C" w:rsidR="000B5435" w:rsidRPr="000B5435" w:rsidRDefault="000B5435" w:rsidP="00027A36">
      <w:pPr>
        <w:jc w:val="left"/>
        <w:rPr>
          <w:lang w:val="pt-BR"/>
        </w:rPr>
      </w:pPr>
      <w:r w:rsidRPr="000B5435">
        <w:rPr>
          <w:lang w:val="pt-BR"/>
        </w:rPr>
        <w:t>VIMIEIRO</w:t>
      </w:r>
      <w:r>
        <w:rPr>
          <w:lang w:val="pt-BR"/>
        </w:rPr>
        <w:t xml:space="preserve">, </w:t>
      </w:r>
      <w:r w:rsidRPr="000B5435">
        <w:rPr>
          <w:lang w:val="pt-BR"/>
        </w:rPr>
        <w:t>J</w:t>
      </w:r>
      <w:r>
        <w:rPr>
          <w:lang w:val="pt-BR"/>
        </w:rPr>
        <w:t>.</w:t>
      </w:r>
      <w:r w:rsidRPr="000B5435">
        <w:rPr>
          <w:lang w:val="pt-BR"/>
        </w:rPr>
        <w:t xml:space="preserve"> I. C.</w:t>
      </w:r>
      <w:r>
        <w:rPr>
          <w:lang w:val="pt-BR"/>
        </w:rPr>
        <w:t xml:space="preserve">; </w:t>
      </w:r>
      <w:r w:rsidRPr="000B5435">
        <w:rPr>
          <w:lang w:val="pt-BR"/>
        </w:rPr>
        <w:t>LAGE</w:t>
      </w:r>
      <w:r>
        <w:rPr>
          <w:lang w:val="pt-BR"/>
        </w:rPr>
        <w:t xml:space="preserve">, </w:t>
      </w:r>
      <w:r w:rsidRPr="000B5435">
        <w:rPr>
          <w:lang w:val="pt-BR"/>
        </w:rPr>
        <w:t>G</w:t>
      </w:r>
      <w:r>
        <w:rPr>
          <w:lang w:val="pt-BR"/>
        </w:rPr>
        <w:t>.</w:t>
      </w:r>
      <w:r w:rsidRPr="000B5435">
        <w:rPr>
          <w:lang w:val="pt-BR"/>
        </w:rPr>
        <w:t xml:space="preserve"> T. </w:t>
      </w:r>
      <w:r>
        <w:rPr>
          <w:lang w:val="pt-BR"/>
        </w:rPr>
        <w:t>de</w:t>
      </w:r>
      <w:r w:rsidRPr="000B5435">
        <w:rPr>
          <w:lang w:val="pt-BR"/>
        </w:rPr>
        <w:t xml:space="preserve"> L</w:t>
      </w:r>
      <w:r>
        <w:rPr>
          <w:lang w:val="pt-BR"/>
        </w:rPr>
        <w:t xml:space="preserve">.; </w:t>
      </w:r>
      <w:r w:rsidRPr="000B5435">
        <w:rPr>
          <w:lang w:val="pt-BR"/>
        </w:rPr>
        <w:t>MATIAS</w:t>
      </w:r>
      <w:r>
        <w:rPr>
          <w:lang w:val="pt-BR"/>
        </w:rPr>
        <w:t xml:space="preserve">, </w:t>
      </w:r>
      <w:r w:rsidRPr="000B5435">
        <w:rPr>
          <w:lang w:val="pt-BR"/>
        </w:rPr>
        <w:t>L</w:t>
      </w:r>
      <w:r>
        <w:rPr>
          <w:lang w:val="pt-BR"/>
        </w:rPr>
        <w:t>.</w:t>
      </w:r>
      <w:r w:rsidRPr="000B5435">
        <w:rPr>
          <w:lang w:val="pt-BR"/>
        </w:rPr>
        <w:t xml:space="preserve"> M</w:t>
      </w:r>
      <w:r>
        <w:rPr>
          <w:lang w:val="pt-BR"/>
        </w:rPr>
        <w:t xml:space="preserve">.; </w:t>
      </w:r>
      <w:r w:rsidRPr="000B5435">
        <w:rPr>
          <w:lang w:val="pt-BR"/>
        </w:rPr>
        <w:t>BATISTA</w:t>
      </w:r>
      <w:r>
        <w:rPr>
          <w:lang w:val="pt-BR"/>
        </w:rPr>
        <w:t xml:space="preserve">, </w:t>
      </w:r>
      <w:r w:rsidRPr="000B5435">
        <w:rPr>
          <w:lang w:val="pt-BR"/>
        </w:rPr>
        <w:t>G</w:t>
      </w:r>
      <w:r>
        <w:rPr>
          <w:lang w:val="pt-BR"/>
        </w:rPr>
        <w:t>.</w:t>
      </w:r>
      <w:r w:rsidRPr="000B5435">
        <w:rPr>
          <w:lang w:val="pt-BR"/>
        </w:rPr>
        <w:t xml:space="preserve"> E. F.</w:t>
      </w:r>
      <w:r>
        <w:rPr>
          <w:lang w:val="pt-BR"/>
        </w:rPr>
        <w:t>;</w:t>
      </w:r>
      <w:r w:rsidRPr="000B5435">
        <w:rPr>
          <w:lang w:val="pt-BR"/>
        </w:rPr>
        <w:t xml:space="preserve"> COSTA</w:t>
      </w:r>
      <w:r>
        <w:rPr>
          <w:lang w:val="pt-BR"/>
        </w:rPr>
        <w:t xml:space="preserve">, </w:t>
      </w:r>
      <w:r w:rsidRPr="000B5435">
        <w:rPr>
          <w:lang w:val="pt-BR"/>
        </w:rPr>
        <w:t>J</w:t>
      </w:r>
      <w:r>
        <w:rPr>
          <w:lang w:val="pt-BR"/>
        </w:rPr>
        <w:t>.</w:t>
      </w:r>
      <w:r w:rsidRPr="000B5435">
        <w:rPr>
          <w:lang w:val="pt-BR"/>
        </w:rPr>
        <w:t xml:space="preserve"> M.</w:t>
      </w:r>
      <w:r w:rsidR="003233F8">
        <w:rPr>
          <w:lang w:val="pt-BR"/>
        </w:rPr>
        <w:t xml:space="preserve">; </w:t>
      </w:r>
      <w:r w:rsidR="003233F8" w:rsidRPr="000B5435">
        <w:rPr>
          <w:lang w:val="pt-BR"/>
        </w:rPr>
        <w:t>BESSA</w:t>
      </w:r>
      <w:r w:rsidR="003233F8">
        <w:rPr>
          <w:lang w:val="pt-BR"/>
        </w:rPr>
        <w:t>,</w:t>
      </w:r>
      <w:r w:rsidRPr="000B5435">
        <w:rPr>
          <w:lang w:val="pt-BR"/>
        </w:rPr>
        <w:t xml:space="preserve"> S</w:t>
      </w:r>
      <w:r w:rsidR="003233F8">
        <w:rPr>
          <w:lang w:val="pt-BR"/>
        </w:rPr>
        <w:t>.</w:t>
      </w:r>
      <w:r w:rsidRPr="000B5435">
        <w:rPr>
          <w:lang w:val="pt-BR"/>
        </w:rPr>
        <w:t xml:space="preserve"> A. L.</w:t>
      </w:r>
      <w:r w:rsidR="003233F8">
        <w:rPr>
          <w:lang w:val="pt-BR"/>
        </w:rPr>
        <w:t xml:space="preserve"> </w:t>
      </w:r>
      <w:r w:rsidR="00E71B8B" w:rsidRPr="00DE7D86">
        <w:rPr>
          <w:b/>
          <w:bCs/>
          <w:lang w:val="pt-BR"/>
        </w:rPr>
        <w:t>Análises físicas e mecânicas de adobes produzidos com sedimento de rejeito de minério de ferro</w:t>
      </w:r>
      <w:r w:rsidR="00E71B8B">
        <w:rPr>
          <w:lang w:val="pt-BR"/>
        </w:rPr>
        <w:t>.</w:t>
      </w:r>
      <w:r w:rsidR="00DE7D86">
        <w:rPr>
          <w:lang w:val="pt-BR"/>
        </w:rPr>
        <w:t xml:space="preserve"> </w:t>
      </w:r>
      <w:r w:rsidR="00DE7D86" w:rsidRPr="00DE7D86">
        <w:rPr>
          <w:lang w:val="pt-BR"/>
        </w:rPr>
        <w:t>4º Congresso Luso-Brasileiro</w:t>
      </w:r>
      <w:r w:rsidR="00DE7D86">
        <w:rPr>
          <w:lang w:val="pt-BR"/>
        </w:rPr>
        <w:t xml:space="preserve"> </w:t>
      </w:r>
      <w:r w:rsidR="00DE7D86" w:rsidRPr="00DE7D86">
        <w:rPr>
          <w:lang w:val="pt-BR"/>
        </w:rPr>
        <w:t>Materiais de Construção Sustentáveis</w:t>
      </w:r>
      <w:r w:rsidR="00DE7D86">
        <w:rPr>
          <w:lang w:val="pt-BR"/>
        </w:rPr>
        <w:t xml:space="preserve"> </w:t>
      </w:r>
      <w:r w:rsidR="00DE7D86" w:rsidRPr="00DE7D86">
        <w:rPr>
          <w:lang w:val="pt-BR"/>
        </w:rPr>
        <w:t>Salvador, 9-11 de novembro</w:t>
      </w:r>
      <w:r w:rsidR="00DE7D86">
        <w:rPr>
          <w:lang w:val="pt-BR"/>
        </w:rPr>
        <w:t>.</w:t>
      </w:r>
      <w:r w:rsidR="00DE7D86" w:rsidRPr="00DE7D86">
        <w:rPr>
          <w:lang w:val="pt-BR"/>
        </w:rPr>
        <w:t xml:space="preserve"> 2022</w:t>
      </w:r>
      <w:r w:rsidR="00DE7D86">
        <w:rPr>
          <w:lang w:val="pt-BR"/>
        </w:rPr>
        <w:t>.</w:t>
      </w:r>
    </w:p>
    <w:p w14:paraId="1BAAEE29" w14:textId="73E6BB3C" w:rsidR="00702466" w:rsidRPr="000B5435" w:rsidRDefault="00702466">
      <w:pPr>
        <w:rPr>
          <w:lang w:val="pt-BR"/>
        </w:rPr>
      </w:pPr>
    </w:p>
    <w:p w14:paraId="75A9F2B1" w14:textId="77777777" w:rsidR="005D2B08" w:rsidRPr="000B5435" w:rsidRDefault="005D2B08">
      <w:pPr>
        <w:rPr>
          <w:lang w:val="pt-BR"/>
        </w:rPr>
      </w:pPr>
    </w:p>
    <w:sectPr w:rsidR="005D2B08" w:rsidRPr="000B5435" w:rsidSect="008859CC">
      <w:headerReference w:type="default" r:id="rId30"/>
      <w:footerReference w:type="default" r:id="rId31"/>
      <w:pgSz w:w="11907" w:h="16840"/>
      <w:pgMar w:top="1701" w:right="1134" w:bottom="1134" w:left="1701" w:header="1077" w:footer="567" w:gutter="0"/>
      <w:pgNumType w:start="4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2C987E" w14:textId="77777777" w:rsidR="009E2016" w:rsidRDefault="009E2016">
      <w:r>
        <w:separator/>
      </w:r>
    </w:p>
  </w:endnote>
  <w:endnote w:type="continuationSeparator" w:id="0">
    <w:p w14:paraId="3C1AEC92" w14:textId="77777777" w:rsidR="009E2016" w:rsidRDefault="009E20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Lucida Grande">
    <w:altName w:val="Times New Roman"/>
    <w:panose1 w:val="00000000000000000000"/>
    <w:charset w:val="00"/>
    <w:family w:val="roman"/>
    <w:notTrueType/>
    <w:pitch w:val="default"/>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C7B8FB" w14:textId="77777777" w:rsidR="00CF7034" w:rsidRPr="00A94F5C" w:rsidRDefault="00CF7034" w:rsidP="00CF7034">
    <w:pPr>
      <w:widowControl w:val="0"/>
      <w:autoSpaceDE w:val="0"/>
      <w:autoSpaceDN w:val="0"/>
      <w:adjustRightInd w:val="0"/>
      <w:rPr>
        <w:sz w:val="17"/>
        <w:szCs w:val="17"/>
        <w:lang w:val="pt-BR"/>
      </w:rPr>
    </w:pPr>
    <w:r w:rsidRPr="00A94F5C">
      <w:rPr>
        <w:rFonts w:ascii="Arial" w:hAnsi="Arial" w:cs="Arial"/>
        <w:b/>
        <w:bCs/>
        <w:color w:val="7F7F7F"/>
        <w:sz w:val="17"/>
        <w:szCs w:val="17"/>
        <w:lang w:val="pt-BR" w:eastAsia="en-US" w:bidi="en-US"/>
      </w:rPr>
      <w:t>ENSUS</w:t>
    </w:r>
    <w:r>
      <w:rPr>
        <w:rFonts w:ascii="Arial" w:hAnsi="Arial" w:cs="Arial"/>
        <w:b/>
        <w:bCs/>
        <w:color w:val="7F7F7F"/>
        <w:sz w:val="17"/>
        <w:szCs w:val="17"/>
        <w:lang w:val="pt-BR" w:eastAsia="en-US" w:bidi="en-US"/>
      </w:rPr>
      <w:t xml:space="preserve"> 2023</w:t>
    </w:r>
    <w:r w:rsidRPr="00A94F5C">
      <w:rPr>
        <w:rFonts w:ascii="Arial" w:hAnsi="Arial" w:cs="Arial"/>
        <w:b/>
        <w:bCs/>
        <w:color w:val="7F7F7F"/>
        <w:sz w:val="17"/>
        <w:szCs w:val="17"/>
        <w:lang w:val="pt-BR" w:eastAsia="en-US" w:bidi="en-US"/>
      </w:rPr>
      <w:t xml:space="preserve"> – </w:t>
    </w:r>
    <w:r>
      <w:rPr>
        <w:rFonts w:ascii="Arial" w:hAnsi="Arial" w:cs="Arial"/>
        <w:b/>
        <w:bCs/>
        <w:color w:val="7F7F7F"/>
        <w:sz w:val="17"/>
        <w:szCs w:val="17"/>
        <w:lang w:val="pt-BR" w:eastAsia="en-US" w:bidi="en-US"/>
      </w:rPr>
      <w:t xml:space="preserve">XI </w:t>
    </w:r>
    <w:r w:rsidRPr="00A94F5C">
      <w:rPr>
        <w:rFonts w:ascii="Arial" w:hAnsi="Arial" w:cs="Arial"/>
        <w:b/>
        <w:bCs/>
        <w:color w:val="7F7F7F"/>
        <w:sz w:val="17"/>
        <w:szCs w:val="17"/>
        <w:lang w:val="pt-BR" w:eastAsia="en-US" w:bidi="en-US"/>
      </w:rPr>
      <w:t xml:space="preserve">Encontro de Sustentabilidade em Projeto – </w:t>
    </w:r>
    <w:r w:rsidRPr="00A94F5C">
      <w:rPr>
        <w:rFonts w:ascii="Arial" w:hAnsi="Arial" w:cs="Arial"/>
        <w:bCs/>
        <w:color w:val="7F7F7F"/>
        <w:sz w:val="17"/>
        <w:szCs w:val="17"/>
        <w:lang w:val="pt-BR" w:eastAsia="en-US" w:bidi="en-US"/>
      </w:rPr>
      <w:t>U</w:t>
    </w:r>
    <w:r>
      <w:rPr>
        <w:rFonts w:ascii="Arial" w:hAnsi="Arial" w:cs="Arial"/>
        <w:bCs/>
        <w:color w:val="7F7F7F"/>
        <w:sz w:val="17"/>
        <w:szCs w:val="17"/>
        <w:lang w:val="pt-BR" w:eastAsia="en-US" w:bidi="en-US"/>
      </w:rPr>
      <w:t>FSC</w:t>
    </w:r>
    <w:r w:rsidRPr="00A94F5C">
      <w:rPr>
        <w:rFonts w:ascii="Arial" w:hAnsi="Arial" w:cs="Arial"/>
        <w:bCs/>
        <w:color w:val="7F7F7F"/>
        <w:sz w:val="17"/>
        <w:szCs w:val="17"/>
        <w:lang w:val="pt-BR" w:eastAsia="en-US" w:bidi="en-US"/>
      </w:rPr>
      <w:t xml:space="preserve"> –</w:t>
    </w:r>
    <w:r>
      <w:rPr>
        <w:rFonts w:ascii="Arial" w:hAnsi="Arial" w:cs="Arial"/>
        <w:bCs/>
        <w:color w:val="7F7F7F"/>
        <w:sz w:val="17"/>
        <w:szCs w:val="17"/>
        <w:lang w:val="pt-BR" w:eastAsia="en-US" w:bidi="en-US"/>
      </w:rPr>
      <w:t xml:space="preserve"> Florianópolis – 05</w:t>
    </w:r>
    <w:r w:rsidRPr="00A94F5C">
      <w:rPr>
        <w:rFonts w:ascii="Arial" w:hAnsi="Arial" w:cs="Arial"/>
        <w:bCs/>
        <w:color w:val="7F7F7F"/>
        <w:sz w:val="17"/>
        <w:szCs w:val="17"/>
        <w:lang w:val="pt-BR" w:eastAsia="en-US" w:bidi="en-US"/>
      </w:rPr>
      <w:t xml:space="preserve"> a </w:t>
    </w:r>
    <w:r>
      <w:rPr>
        <w:rFonts w:ascii="Arial" w:hAnsi="Arial" w:cs="Arial"/>
        <w:bCs/>
        <w:color w:val="7F7F7F"/>
        <w:sz w:val="17"/>
        <w:szCs w:val="17"/>
        <w:lang w:val="pt-BR" w:eastAsia="en-US" w:bidi="en-US"/>
      </w:rPr>
      <w:t>07</w:t>
    </w:r>
    <w:r w:rsidRPr="00A94F5C">
      <w:rPr>
        <w:rFonts w:ascii="Arial" w:hAnsi="Arial" w:cs="Arial"/>
        <w:bCs/>
        <w:color w:val="7F7F7F"/>
        <w:sz w:val="17"/>
        <w:szCs w:val="17"/>
        <w:lang w:val="pt-BR" w:eastAsia="en-US" w:bidi="en-US"/>
      </w:rPr>
      <w:t xml:space="preserve"> de </w:t>
    </w:r>
    <w:proofErr w:type="gramStart"/>
    <w:r>
      <w:rPr>
        <w:rFonts w:ascii="Arial" w:hAnsi="Arial" w:cs="Arial"/>
        <w:bCs/>
        <w:color w:val="7F7F7F"/>
        <w:sz w:val="17"/>
        <w:szCs w:val="17"/>
        <w:lang w:val="pt-BR" w:eastAsia="en-US" w:bidi="en-US"/>
      </w:rPr>
      <w:t>Junho</w:t>
    </w:r>
    <w:proofErr w:type="gramEnd"/>
    <w:r w:rsidRPr="00A94F5C">
      <w:rPr>
        <w:rFonts w:ascii="Arial" w:hAnsi="Arial" w:cs="Arial"/>
        <w:bCs/>
        <w:color w:val="7F7F7F"/>
        <w:sz w:val="17"/>
        <w:szCs w:val="17"/>
        <w:lang w:val="pt-BR" w:eastAsia="en-US" w:bidi="en-US"/>
      </w:rPr>
      <w:t xml:space="preserve"> de 202</w:t>
    </w:r>
    <w:r>
      <w:rPr>
        <w:rFonts w:ascii="Arial" w:hAnsi="Arial" w:cs="Arial"/>
        <w:bCs/>
        <w:color w:val="7F7F7F"/>
        <w:sz w:val="17"/>
        <w:szCs w:val="17"/>
        <w:lang w:val="pt-BR" w:eastAsia="en-US" w:bidi="en-US"/>
      </w:rPr>
      <w:t>3</w:t>
    </w:r>
    <w:r w:rsidRPr="00A94F5C">
      <w:rPr>
        <w:rFonts w:ascii="Arial" w:hAnsi="Arial" w:cs="Arial"/>
        <w:bCs/>
        <w:color w:val="7F7F7F"/>
        <w:sz w:val="17"/>
        <w:szCs w:val="17"/>
        <w:lang w:val="pt-BR" w:eastAsia="en-US" w:bidi="en-US"/>
      </w:rPr>
      <w:t>.</w:t>
    </w:r>
  </w:p>
  <w:p w14:paraId="21DCBD45" w14:textId="77777777" w:rsidR="00CF7034" w:rsidRPr="00CF7034" w:rsidRDefault="00CF7034">
    <w:pPr>
      <w:pStyle w:val="Rodap"/>
      <w:rPr>
        <w:lang w:val="pt-B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57FBF2" w14:textId="77777777" w:rsidR="009E2016" w:rsidRDefault="009E2016">
      <w:r>
        <w:separator/>
      </w:r>
    </w:p>
  </w:footnote>
  <w:footnote w:type="continuationSeparator" w:id="0">
    <w:p w14:paraId="761720C4" w14:textId="77777777" w:rsidR="009E2016" w:rsidRDefault="009E20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B53E06" w14:textId="3C69705E" w:rsidR="008859CC" w:rsidRDefault="008859CC" w:rsidP="00CF7034">
    <w:pPr>
      <w:pStyle w:val="Cabealho"/>
      <w:jc w:val="left"/>
    </w:pPr>
    <w:r>
      <w:rPr>
        <w:noProof/>
        <w:lang w:val="pt-BR"/>
      </w:rPr>
      <w:drawing>
        <wp:anchor distT="0" distB="0" distL="114300" distR="114300" simplePos="0" relativeHeight="251658240" behindDoc="0" locked="0" layoutInCell="1" allowOverlap="1" wp14:anchorId="2B60E5AA" wp14:editId="30481951">
          <wp:simplePos x="0" y="0"/>
          <wp:positionH relativeFrom="margin">
            <wp:posOffset>4919980</wp:posOffset>
          </wp:positionH>
          <wp:positionV relativeFrom="margin">
            <wp:posOffset>-1296670</wp:posOffset>
          </wp:positionV>
          <wp:extent cx="764540" cy="1056640"/>
          <wp:effectExtent l="0" t="0" r="0" b="0"/>
          <wp:wrapSquare wrapText="bothSides"/>
          <wp:docPr id="1353986350" name="Imagem 1353986350"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m 4"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flipH="1">
                    <a:off x="0" y="0"/>
                    <a:ext cx="764540" cy="1056640"/>
                  </a:xfrm>
                  <a:prstGeom prst="rect">
                    <a:avLst/>
                  </a:prstGeom>
                </pic:spPr>
              </pic:pic>
            </a:graphicData>
          </a:graphic>
        </wp:anchor>
      </w:drawing>
    </w:r>
    <w:r>
      <w:rPr>
        <w:noProof/>
        <w:lang w:val="pt-BR"/>
      </w:rPr>
      <w:drawing>
        <wp:anchor distT="0" distB="0" distL="114300" distR="114300" simplePos="0" relativeHeight="251659264" behindDoc="0" locked="0" layoutInCell="1" allowOverlap="1" wp14:anchorId="61FADECC" wp14:editId="0D0F12FB">
          <wp:simplePos x="0" y="0"/>
          <wp:positionH relativeFrom="margin">
            <wp:posOffset>2308225</wp:posOffset>
          </wp:positionH>
          <wp:positionV relativeFrom="margin">
            <wp:posOffset>-1238250</wp:posOffset>
          </wp:positionV>
          <wp:extent cx="1410970" cy="857250"/>
          <wp:effectExtent l="0" t="0" r="0" b="0"/>
          <wp:wrapSquare wrapText="bothSides"/>
          <wp:docPr id="252984881" name="Imagem 252984881" descr="Logotipo, nome da empres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m 3" descr="Logotipo, nome da empresa&#10;&#10;Descrição gerada automaticamente"/>
                  <pic:cNvPicPr/>
                </pic:nvPicPr>
                <pic:blipFill>
                  <a:blip r:embed="rId2">
                    <a:extLst>
                      <a:ext uri="{28A0092B-C50C-407E-A947-70E740481C1C}">
                        <a14:useLocalDpi xmlns:a14="http://schemas.microsoft.com/office/drawing/2010/main" val="0"/>
                      </a:ext>
                    </a:extLst>
                  </a:blip>
                  <a:stretch>
                    <a:fillRect/>
                  </a:stretch>
                </pic:blipFill>
                <pic:spPr>
                  <a:xfrm>
                    <a:off x="0" y="0"/>
                    <a:ext cx="1410970" cy="857250"/>
                  </a:xfrm>
                  <a:prstGeom prst="rect">
                    <a:avLst/>
                  </a:prstGeom>
                </pic:spPr>
              </pic:pic>
            </a:graphicData>
          </a:graphic>
        </wp:anchor>
      </w:drawing>
    </w:r>
    <w:r>
      <w:rPr>
        <w:noProof/>
        <w:lang w:val="pt-BR"/>
      </w:rPr>
      <w:drawing>
        <wp:anchor distT="0" distB="0" distL="114300" distR="114300" simplePos="0" relativeHeight="251660288" behindDoc="0" locked="0" layoutInCell="1" allowOverlap="1" wp14:anchorId="2E60E6DA" wp14:editId="2B66C8B0">
          <wp:simplePos x="0" y="0"/>
          <wp:positionH relativeFrom="margin">
            <wp:posOffset>381000</wp:posOffset>
          </wp:positionH>
          <wp:positionV relativeFrom="margin">
            <wp:posOffset>-1320165</wp:posOffset>
          </wp:positionV>
          <wp:extent cx="1074420" cy="1074420"/>
          <wp:effectExtent l="0" t="0" r="0" b="0"/>
          <wp:wrapSquare wrapText="bothSides"/>
          <wp:docPr id="1912187657" name="Imagem 1912187657"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m 2" descr="Logotipo&#10;&#10;Descrição gerada automaticamente"/>
                  <pic:cNvPicPr/>
                </pic:nvPicPr>
                <pic:blipFill>
                  <a:blip r:embed="rId3">
                    <a:extLst>
                      <a:ext uri="{28A0092B-C50C-407E-A947-70E740481C1C}">
                        <a14:useLocalDpi xmlns:a14="http://schemas.microsoft.com/office/drawing/2010/main" val="0"/>
                      </a:ext>
                    </a:extLst>
                  </a:blip>
                  <a:stretch>
                    <a:fillRect/>
                  </a:stretch>
                </pic:blipFill>
                <pic:spPr>
                  <a:xfrm>
                    <a:off x="0" y="0"/>
                    <a:ext cx="1074420" cy="1074420"/>
                  </a:xfrm>
                  <a:prstGeom prst="rect">
                    <a:avLst/>
                  </a:prstGeom>
                </pic:spPr>
              </pic:pic>
            </a:graphicData>
          </a:graphic>
        </wp:anchor>
      </w:drawing>
    </w:r>
  </w:p>
  <w:p w14:paraId="17C41262" w14:textId="65F9D4E6" w:rsidR="00CF7034" w:rsidRDefault="00CF7034" w:rsidP="00CF7034">
    <w:pPr>
      <w:pStyle w:val="Cabealho"/>
      <w:jc w:val="left"/>
    </w:pPr>
  </w:p>
  <w:p w14:paraId="0F3D6A57" w14:textId="77777777" w:rsidR="008859CC" w:rsidRDefault="008859CC" w:rsidP="00CF7034">
    <w:pPr>
      <w:pStyle w:val="Cabealho"/>
      <w:jc w:val="left"/>
    </w:pPr>
  </w:p>
  <w:p w14:paraId="0E807EEF" w14:textId="77777777" w:rsidR="008859CC" w:rsidRDefault="008859CC" w:rsidP="00CF7034">
    <w:pPr>
      <w:pStyle w:val="Cabealho"/>
      <w:jc w:val="left"/>
    </w:pPr>
  </w:p>
  <w:p w14:paraId="723ED1E0" w14:textId="77777777" w:rsidR="008859CC" w:rsidRDefault="008859CC" w:rsidP="00CF7034">
    <w:pPr>
      <w:pStyle w:val="Cabealho"/>
      <w:jc w:val="left"/>
    </w:pPr>
  </w:p>
  <w:p w14:paraId="62AF3980" w14:textId="77777777" w:rsidR="008859CC" w:rsidRPr="00CF7034" w:rsidRDefault="008859CC" w:rsidP="00CF7034">
    <w:pPr>
      <w:pStyle w:val="Cabealho"/>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6F4E19"/>
    <w:multiLevelType w:val="multilevel"/>
    <w:tmpl w:val="9208E2A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7C011148"/>
    <w:multiLevelType w:val="multilevel"/>
    <w:tmpl w:val="6944CEA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248318595">
    <w:abstractNumId w:val="0"/>
  </w:num>
  <w:num w:numId="2" w16cid:durableId="450274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jU3NLC0NDY1NDA1NDdQ0lEKTi0uzszPAykwrAUA4CKN6ywAAAA="/>
  </w:docVars>
  <w:rsids>
    <w:rsidRoot w:val="00702466"/>
    <w:rsid w:val="00007176"/>
    <w:rsid w:val="000110EE"/>
    <w:rsid w:val="000248AA"/>
    <w:rsid w:val="00027A36"/>
    <w:rsid w:val="00042385"/>
    <w:rsid w:val="00050353"/>
    <w:rsid w:val="000A0E10"/>
    <w:rsid w:val="000B5435"/>
    <w:rsid w:val="000B64F8"/>
    <w:rsid w:val="000D5883"/>
    <w:rsid w:val="00135AAB"/>
    <w:rsid w:val="00160A2A"/>
    <w:rsid w:val="001708BC"/>
    <w:rsid w:val="00227078"/>
    <w:rsid w:val="00243B5E"/>
    <w:rsid w:val="0026465D"/>
    <w:rsid w:val="00274BF2"/>
    <w:rsid w:val="003233F8"/>
    <w:rsid w:val="0038054D"/>
    <w:rsid w:val="0038436F"/>
    <w:rsid w:val="00397292"/>
    <w:rsid w:val="003B2D15"/>
    <w:rsid w:val="003C0DD6"/>
    <w:rsid w:val="003D7639"/>
    <w:rsid w:val="003E7F7E"/>
    <w:rsid w:val="003F26EA"/>
    <w:rsid w:val="004357F4"/>
    <w:rsid w:val="00546B6E"/>
    <w:rsid w:val="005A4889"/>
    <w:rsid w:val="005B732B"/>
    <w:rsid w:val="005D2B08"/>
    <w:rsid w:val="005E302E"/>
    <w:rsid w:val="005F7F06"/>
    <w:rsid w:val="006463F4"/>
    <w:rsid w:val="006557E8"/>
    <w:rsid w:val="00671FE6"/>
    <w:rsid w:val="00685927"/>
    <w:rsid w:val="006C752C"/>
    <w:rsid w:val="00702466"/>
    <w:rsid w:val="0077271C"/>
    <w:rsid w:val="007A0CA9"/>
    <w:rsid w:val="007C7D7C"/>
    <w:rsid w:val="00831566"/>
    <w:rsid w:val="00841200"/>
    <w:rsid w:val="008859CC"/>
    <w:rsid w:val="00895A26"/>
    <w:rsid w:val="008A3AB7"/>
    <w:rsid w:val="009761DB"/>
    <w:rsid w:val="00984545"/>
    <w:rsid w:val="009E2016"/>
    <w:rsid w:val="009E49F6"/>
    <w:rsid w:val="00A27606"/>
    <w:rsid w:val="00A71D58"/>
    <w:rsid w:val="00B06C15"/>
    <w:rsid w:val="00B11B56"/>
    <w:rsid w:val="00B634B1"/>
    <w:rsid w:val="00B663F1"/>
    <w:rsid w:val="00B722A9"/>
    <w:rsid w:val="00BB2DF7"/>
    <w:rsid w:val="00C050D0"/>
    <w:rsid w:val="00C20D4F"/>
    <w:rsid w:val="00C66A8C"/>
    <w:rsid w:val="00CF7034"/>
    <w:rsid w:val="00D16BAB"/>
    <w:rsid w:val="00D644E2"/>
    <w:rsid w:val="00D67190"/>
    <w:rsid w:val="00DE36EC"/>
    <w:rsid w:val="00DE7D86"/>
    <w:rsid w:val="00DF0C28"/>
    <w:rsid w:val="00E147BC"/>
    <w:rsid w:val="00E2060C"/>
    <w:rsid w:val="00E21F7A"/>
    <w:rsid w:val="00E71B8B"/>
    <w:rsid w:val="00E9741E"/>
    <w:rsid w:val="00EA4EA8"/>
    <w:rsid w:val="00F31DF9"/>
    <w:rsid w:val="00F4112A"/>
    <w:rsid w:val="00FA5174"/>
    <w:rsid w:val="00FB12ED"/>
    <w:rsid w:val="00FE1152"/>
    <w:rsid w:val="00FE1A30"/>
    <w:rsid w:val="00FF190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5AF8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pt-BR" w:eastAsia="pt-BR"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7839"/>
    <w:rPr>
      <w:lang w:val="en-US"/>
    </w:rPr>
  </w:style>
  <w:style w:type="paragraph" w:styleId="Ttulo1">
    <w:name w:val="heading 1"/>
    <w:basedOn w:val="Normal"/>
    <w:next w:val="Normal"/>
    <w:link w:val="Ttulo1Char"/>
    <w:uiPriority w:val="9"/>
    <w:qFormat/>
    <w:rsid w:val="00827839"/>
    <w:pPr>
      <w:keepNext/>
      <w:spacing w:before="240" w:after="60"/>
      <w:outlineLvl w:val="0"/>
    </w:pPr>
    <w:rPr>
      <w:rFonts w:ascii="Arial" w:hAnsi="Arial"/>
      <w:b/>
      <w:kern w:val="28"/>
      <w:sz w:val="2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link w:val="TtuloChar"/>
    <w:uiPriority w:val="10"/>
    <w:qFormat/>
    <w:rsid w:val="007628A1"/>
    <w:pPr>
      <w:jc w:val="center"/>
    </w:pPr>
    <w:rPr>
      <w:rFonts w:ascii="Tahoma" w:hAnsi="Tahoma" w:cs="Tahoma"/>
      <w:b/>
      <w:bCs/>
      <w:color w:val="0066FF"/>
      <w:sz w:val="28"/>
      <w:szCs w:val="28"/>
      <w:lang w:val="pt-BR"/>
    </w:rPr>
  </w:style>
  <w:style w:type="character" w:customStyle="1" w:styleId="Ttulo1Char">
    <w:name w:val="Título 1 Char"/>
    <w:link w:val="Ttulo1"/>
    <w:rsid w:val="00827839"/>
    <w:rPr>
      <w:rFonts w:ascii="Arial" w:eastAsia="Times New Roman" w:hAnsi="Arial" w:cs="Times New Roman"/>
      <w:b/>
      <w:kern w:val="28"/>
      <w:sz w:val="28"/>
      <w:szCs w:val="20"/>
      <w:lang w:val="en-US" w:eastAsia="pt-BR"/>
    </w:rPr>
  </w:style>
  <w:style w:type="paragraph" w:styleId="Rodap">
    <w:name w:val="footer"/>
    <w:basedOn w:val="Normal"/>
    <w:link w:val="RodapChar"/>
    <w:autoRedefine/>
    <w:semiHidden/>
    <w:rsid w:val="00827839"/>
    <w:pPr>
      <w:tabs>
        <w:tab w:val="center" w:pos="4320"/>
        <w:tab w:val="right" w:pos="8640"/>
      </w:tabs>
      <w:ind w:left="567" w:right="360"/>
    </w:pPr>
    <w:rPr>
      <w:rFonts w:ascii="Verdana" w:hAnsi="Verdana"/>
      <w:smallCaps/>
      <w:sz w:val="10"/>
    </w:rPr>
  </w:style>
  <w:style w:type="character" w:customStyle="1" w:styleId="RodapChar">
    <w:name w:val="Rodapé Char"/>
    <w:link w:val="Rodap"/>
    <w:semiHidden/>
    <w:rsid w:val="00827839"/>
    <w:rPr>
      <w:rFonts w:ascii="Verdana" w:eastAsia="Times New Roman" w:hAnsi="Verdana" w:cs="Times New Roman"/>
      <w:smallCaps/>
      <w:sz w:val="10"/>
      <w:szCs w:val="20"/>
      <w:lang w:val="en-US" w:eastAsia="pt-BR"/>
    </w:rPr>
  </w:style>
  <w:style w:type="character" w:styleId="Nmerodepgina">
    <w:name w:val="page number"/>
    <w:semiHidden/>
    <w:rsid w:val="00827839"/>
    <w:rPr>
      <w:rFonts w:ascii="Verdana" w:hAnsi="Verdana"/>
      <w:sz w:val="24"/>
    </w:rPr>
  </w:style>
  <w:style w:type="character" w:styleId="Hyperlink">
    <w:name w:val="Hyperlink"/>
    <w:uiPriority w:val="99"/>
    <w:unhideWhenUsed/>
    <w:rsid w:val="00827839"/>
    <w:rPr>
      <w:color w:val="0000FF"/>
      <w:u w:val="single"/>
    </w:rPr>
  </w:style>
  <w:style w:type="character" w:customStyle="1" w:styleId="apple-style-span">
    <w:name w:val="apple-style-span"/>
    <w:rsid w:val="00827839"/>
  </w:style>
  <w:style w:type="paragraph" w:styleId="PargrafodaLista">
    <w:name w:val="List Paragraph"/>
    <w:basedOn w:val="Normal"/>
    <w:uiPriority w:val="34"/>
    <w:qFormat/>
    <w:rsid w:val="005D0B9A"/>
    <w:pPr>
      <w:ind w:left="720"/>
      <w:contextualSpacing/>
    </w:pPr>
  </w:style>
  <w:style w:type="paragraph" w:customStyle="1" w:styleId="IDpaper-Text">
    <w:name w:val="IDpaper-Text"/>
    <w:basedOn w:val="Normal"/>
    <w:rsid w:val="00DF1010"/>
    <w:pPr>
      <w:widowControl w:val="0"/>
      <w:tabs>
        <w:tab w:val="left" w:pos="284"/>
      </w:tabs>
      <w:spacing w:after="120"/>
      <w:jc w:val="left"/>
    </w:pPr>
    <w:rPr>
      <w:rFonts w:ascii="Arial" w:hAnsi="Arial" w:cs="Arial"/>
      <w:kern w:val="16"/>
      <w:sz w:val="20"/>
      <w:lang w:val="en-GB" w:eastAsia="en-US"/>
    </w:rPr>
  </w:style>
  <w:style w:type="paragraph" w:customStyle="1" w:styleId="IDpaper-heading2">
    <w:name w:val="IDpaper-heading2"/>
    <w:basedOn w:val="Normal"/>
    <w:rsid w:val="00DF1010"/>
    <w:pPr>
      <w:widowControl w:val="0"/>
      <w:tabs>
        <w:tab w:val="left" w:pos="284"/>
      </w:tabs>
      <w:spacing w:before="240" w:after="120"/>
      <w:jc w:val="left"/>
    </w:pPr>
    <w:rPr>
      <w:rFonts w:ascii="Arial" w:hAnsi="Arial" w:cs="Arial"/>
      <w:b/>
      <w:bCs/>
      <w:kern w:val="16"/>
      <w:sz w:val="20"/>
      <w:lang w:val="en-GB" w:eastAsia="en-US"/>
    </w:rPr>
  </w:style>
  <w:style w:type="paragraph" w:styleId="Textodebalo">
    <w:name w:val="Balloon Text"/>
    <w:basedOn w:val="Normal"/>
    <w:link w:val="TextodebaloChar"/>
    <w:uiPriority w:val="99"/>
    <w:semiHidden/>
    <w:unhideWhenUsed/>
    <w:rsid w:val="00A16C65"/>
    <w:rPr>
      <w:rFonts w:ascii="Lucida Grande" w:hAnsi="Lucida Grande" w:cs="Lucida Grande"/>
      <w:sz w:val="18"/>
      <w:szCs w:val="18"/>
    </w:rPr>
  </w:style>
  <w:style w:type="character" w:customStyle="1" w:styleId="TextodebaloChar">
    <w:name w:val="Texto de balão Char"/>
    <w:link w:val="Textodebalo"/>
    <w:uiPriority w:val="99"/>
    <w:semiHidden/>
    <w:rsid w:val="00A16C65"/>
    <w:rPr>
      <w:rFonts w:ascii="Lucida Grande" w:eastAsia="Times New Roman" w:hAnsi="Lucida Grande" w:cs="Lucida Grande"/>
      <w:sz w:val="18"/>
      <w:szCs w:val="18"/>
      <w:lang w:val="en-US" w:eastAsia="pt-BR"/>
    </w:rPr>
  </w:style>
  <w:style w:type="paragraph" w:styleId="Legenda">
    <w:name w:val="caption"/>
    <w:basedOn w:val="Normal"/>
    <w:next w:val="Normal"/>
    <w:uiPriority w:val="35"/>
    <w:unhideWhenUsed/>
    <w:qFormat/>
    <w:rsid w:val="00C210B0"/>
    <w:pPr>
      <w:spacing w:after="200"/>
    </w:pPr>
    <w:rPr>
      <w:b/>
      <w:bCs/>
      <w:color w:val="4F81BD"/>
      <w:sz w:val="18"/>
      <w:szCs w:val="18"/>
    </w:rPr>
  </w:style>
  <w:style w:type="paragraph" w:styleId="Cabealho">
    <w:name w:val="header"/>
    <w:basedOn w:val="Normal"/>
    <w:link w:val="CabealhoChar"/>
    <w:uiPriority w:val="99"/>
    <w:unhideWhenUsed/>
    <w:rsid w:val="00777D35"/>
    <w:pPr>
      <w:tabs>
        <w:tab w:val="center" w:pos="4320"/>
        <w:tab w:val="right" w:pos="8640"/>
      </w:tabs>
    </w:pPr>
  </w:style>
  <w:style w:type="character" w:customStyle="1" w:styleId="CabealhoChar">
    <w:name w:val="Cabeçalho Char"/>
    <w:link w:val="Cabealho"/>
    <w:uiPriority w:val="99"/>
    <w:rsid w:val="00777D35"/>
    <w:rPr>
      <w:rFonts w:ascii="Times New Roman" w:eastAsia="Times New Roman" w:hAnsi="Times New Roman" w:cs="Times New Roman"/>
      <w:sz w:val="24"/>
      <w:szCs w:val="20"/>
      <w:lang w:val="en-US" w:eastAsia="pt-BR"/>
    </w:rPr>
  </w:style>
  <w:style w:type="paragraph" w:styleId="Textodenotaderodap">
    <w:name w:val="footnote text"/>
    <w:basedOn w:val="Normal"/>
    <w:link w:val="TextodenotaderodapChar"/>
    <w:uiPriority w:val="99"/>
    <w:unhideWhenUsed/>
    <w:rsid w:val="00777D35"/>
  </w:style>
  <w:style w:type="character" w:customStyle="1" w:styleId="TextodenotaderodapChar">
    <w:name w:val="Texto de nota de rodapé Char"/>
    <w:link w:val="Textodenotaderodap"/>
    <w:uiPriority w:val="99"/>
    <w:rsid w:val="00777D35"/>
    <w:rPr>
      <w:rFonts w:ascii="Times New Roman" w:eastAsia="Times New Roman" w:hAnsi="Times New Roman" w:cs="Times New Roman"/>
      <w:sz w:val="24"/>
      <w:szCs w:val="24"/>
      <w:lang w:val="en-US" w:eastAsia="pt-BR"/>
    </w:rPr>
  </w:style>
  <w:style w:type="character" w:styleId="Refdenotaderodap">
    <w:name w:val="footnote reference"/>
    <w:uiPriority w:val="99"/>
    <w:unhideWhenUsed/>
    <w:rsid w:val="00777D35"/>
    <w:rPr>
      <w:vertAlign w:val="superscript"/>
    </w:rPr>
  </w:style>
  <w:style w:type="paragraph" w:styleId="MapadoDocumento">
    <w:name w:val="Document Map"/>
    <w:basedOn w:val="Normal"/>
    <w:link w:val="MapadoDocumentoChar"/>
    <w:uiPriority w:val="99"/>
    <w:semiHidden/>
    <w:unhideWhenUsed/>
    <w:rsid w:val="00342D36"/>
    <w:rPr>
      <w:rFonts w:ascii="Lucida Grande" w:hAnsi="Lucida Grande" w:cs="Lucida Grande"/>
    </w:rPr>
  </w:style>
  <w:style w:type="character" w:customStyle="1" w:styleId="MapadoDocumentoChar">
    <w:name w:val="Mapa do Documento Char"/>
    <w:link w:val="MapadoDocumento"/>
    <w:uiPriority w:val="99"/>
    <w:semiHidden/>
    <w:rsid w:val="00342D36"/>
    <w:rPr>
      <w:rFonts w:ascii="Lucida Grande" w:eastAsia="Times New Roman" w:hAnsi="Lucida Grande" w:cs="Lucida Grande"/>
      <w:sz w:val="24"/>
      <w:szCs w:val="24"/>
      <w:lang w:val="en-US" w:eastAsia="pt-BR"/>
    </w:rPr>
  </w:style>
  <w:style w:type="paragraph" w:styleId="Reviso">
    <w:name w:val="Revision"/>
    <w:hidden/>
    <w:uiPriority w:val="99"/>
    <w:semiHidden/>
    <w:rsid w:val="00342D36"/>
    <w:rPr>
      <w:lang w:val="en-US"/>
    </w:rPr>
  </w:style>
  <w:style w:type="table" w:styleId="Tabelacomgrade">
    <w:name w:val="Table Grid"/>
    <w:basedOn w:val="Tabelanormal"/>
    <w:uiPriority w:val="59"/>
    <w:rsid w:val="00B745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Char">
    <w:name w:val="Título Char"/>
    <w:link w:val="Ttulo"/>
    <w:rsid w:val="007628A1"/>
    <w:rPr>
      <w:rFonts w:ascii="Tahoma" w:eastAsia="Times New Roman" w:hAnsi="Tahoma" w:cs="Tahoma"/>
      <w:b/>
      <w:bCs/>
      <w:color w:val="0066FF"/>
      <w:sz w:val="28"/>
      <w:szCs w:val="28"/>
      <w:lang w:eastAsia="pt-BR"/>
    </w:rPr>
  </w:style>
  <w:style w:type="table" w:styleId="TabelaSimples4">
    <w:name w:val="Plain Table 4"/>
    <w:basedOn w:val="Tabelanormal"/>
    <w:uiPriority w:val="44"/>
    <w:rsid w:val="0083691D"/>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styleId="Subttulo">
    <w:name w:val="Subtitle"/>
    <w:basedOn w:val="Normal"/>
    <w:next w:val="Normal"/>
    <w:link w:val="SubttuloChar"/>
    <w:uiPriority w:val="11"/>
    <w:qFormat/>
    <w:pPr>
      <w:spacing w:before="240" w:after="120"/>
      <w:ind w:left="357" w:hanging="357"/>
    </w:pPr>
    <w:rPr>
      <w:rFonts w:ascii="Arial" w:eastAsia="Arial" w:hAnsi="Arial" w:cs="Arial"/>
      <w:b/>
    </w:rPr>
  </w:style>
  <w:style w:type="character" w:customStyle="1" w:styleId="SubttuloChar">
    <w:name w:val="Subtítulo Char"/>
    <w:link w:val="Subttulo"/>
    <w:uiPriority w:val="11"/>
    <w:rsid w:val="00575335"/>
    <w:rPr>
      <w:rFonts w:ascii="Arial" w:eastAsia="Times New Roman" w:hAnsi="Arial"/>
      <w:b/>
      <w:spacing w:val="15"/>
      <w:sz w:val="24"/>
      <w:szCs w:val="22"/>
      <w:lang w:eastAsia="en-US"/>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left w:w="108" w:type="dxa"/>
        <w:right w:w="108" w:type="dxa"/>
      </w:tblCellMar>
    </w:tblPr>
  </w:style>
  <w:style w:type="character" w:styleId="MenoPendente">
    <w:name w:val="Unresolved Mention"/>
    <w:basedOn w:val="Fontepargpadro"/>
    <w:uiPriority w:val="99"/>
    <w:semiHidden/>
    <w:unhideWhenUsed/>
    <w:rsid w:val="00BB2DF7"/>
    <w:rPr>
      <w:color w:val="605E5C"/>
      <w:shd w:val="clear" w:color="auto" w:fill="E1DFDD"/>
    </w:rPr>
  </w:style>
  <w:style w:type="character" w:styleId="Refdecomentrio">
    <w:name w:val="annotation reference"/>
    <w:basedOn w:val="Fontepargpadro"/>
    <w:uiPriority w:val="99"/>
    <w:semiHidden/>
    <w:unhideWhenUsed/>
    <w:rsid w:val="00BB2DF7"/>
    <w:rPr>
      <w:sz w:val="16"/>
      <w:szCs w:val="16"/>
    </w:rPr>
  </w:style>
  <w:style w:type="paragraph" w:styleId="Textodecomentrio">
    <w:name w:val="annotation text"/>
    <w:basedOn w:val="Normal"/>
    <w:link w:val="TextodecomentrioChar"/>
    <w:uiPriority w:val="99"/>
    <w:unhideWhenUsed/>
    <w:rsid w:val="00BB2DF7"/>
    <w:rPr>
      <w:sz w:val="20"/>
      <w:szCs w:val="20"/>
    </w:rPr>
  </w:style>
  <w:style w:type="character" w:customStyle="1" w:styleId="TextodecomentrioChar">
    <w:name w:val="Texto de comentário Char"/>
    <w:basedOn w:val="Fontepargpadro"/>
    <w:link w:val="Textodecomentrio"/>
    <w:uiPriority w:val="99"/>
    <w:rsid w:val="00BB2DF7"/>
    <w:rPr>
      <w:sz w:val="20"/>
      <w:szCs w:val="20"/>
      <w:lang w:val="en-US"/>
    </w:rPr>
  </w:style>
  <w:style w:type="paragraph" w:styleId="Assuntodocomentrio">
    <w:name w:val="annotation subject"/>
    <w:basedOn w:val="Textodecomentrio"/>
    <w:next w:val="Textodecomentrio"/>
    <w:link w:val="AssuntodocomentrioChar"/>
    <w:uiPriority w:val="99"/>
    <w:semiHidden/>
    <w:unhideWhenUsed/>
    <w:rsid w:val="00BB2DF7"/>
    <w:rPr>
      <w:b/>
      <w:bCs/>
    </w:rPr>
  </w:style>
  <w:style w:type="character" w:customStyle="1" w:styleId="AssuntodocomentrioChar">
    <w:name w:val="Assunto do comentário Char"/>
    <w:basedOn w:val="TextodecomentrioChar"/>
    <w:link w:val="Assuntodocomentrio"/>
    <w:uiPriority w:val="99"/>
    <w:semiHidden/>
    <w:rsid w:val="00BB2DF7"/>
    <w:rPr>
      <w:b/>
      <w:bCs/>
      <w:sz w:val="20"/>
      <w:szCs w:val="20"/>
      <w:lang w:val="en-US"/>
    </w:rPr>
  </w:style>
  <w:style w:type="character" w:customStyle="1" w:styleId="anchor-text">
    <w:name w:val="anchor-text"/>
    <w:basedOn w:val="Fontepargpadro"/>
    <w:rsid w:val="00E147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3377501">
      <w:bodyDiv w:val="1"/>
      <w:marLeft w:val="0"/>
      <w:marRight w:val="0"/>
      <w:marTop w:val="0"/>
      <w:marBottom w:val="0"/>
      <w:divBdr>
        <w:top w:val="none" w:sz="0" w:space="0" w:color="auto"/>
        <w:left w:val="none" w:sz="0" w:space="0" w:color="auto"/>
        <w:bottom w:val="none" w:sz="0" w:space="0" w:color="auto"/>
        <w:right w:val="none" w:sz="0" w:space="0" w:color="auto"/>
      </w:divBdr>
      <w:divsChild>
        <w:div w:id="1472864725">
          <w:marLeft w:val="0"/>
          <w:marRight w:val="0"/>
          <w:marTop w:val="0"/>
          <w:marBottom w:val="0"/>
          <w:divBdr>
            <w:top w:val="none" w:sz="0" w:space="0" w:color="auto"/>
            <w:left w:val="none" w:sz="0" w:space="0" w:color="auto"/>
            <w:bottom w:val="none" w:sz="0" w:space="0" w:color="auto"/>
            <w:right w:val="none" w:sz="0" w:space="0" w:color="auto"/>
          </w:divBdr>
        </w:div>
        <w:div w:id="1846287696">
          <w:marLeft w:val="0"/>
          <w:marRight w:val="0"/>
          <w:marTop w:val="0"/>
          <w:marBottom w:val="0"/>
          <w:divBdr>
            <w:top w:val="none" w:sz="0" w:space="0" w:color="auto"/>
            <w:left w:val="none" w:sz="0" w:space="0" w:color="auto"/>
            <w:bottom w:val="none" w:sz="0" w:space="0" w:color="auto"/>
            <w:right w:val="none" w:sz="0" w:space="0" w:color="auto"/>
          </w:divBdr>
        </w:div>
        <w:div w:id="289282079">
          <w:marLeft w:val="0"/>
          <w:marRight w:val="0"/>
          <w:marTop w:val="0"/>
          <w:marBottom w:val="0"/>
          <w:divBdr>
            <w:top w:val="none" w:sz="0" w:space="0" w:color="auto"/>
            <w:left w:val="none" w:sz="0" w:space="0" w:color="auto"/>
            <w:bottom w:val="none" w:sz="0" w:space="0" w:color="auto"/>
            <w:right w:val="none" w:sz="0" w:space="0" w:color="auto"/>
          </w:divBdr>
        </w:div>
        <w:div w:id="1749618395">
          <w:marLeft w:val="0"/>
          <w:marRight w:val="0"/>
          <w:marTop w:val="0"/>
          <w:marBottom w:val="0"/>
          <w:divBdr>
            <w:top w:val="none" w:sz="0" w:space="0" w:color="auto"/>
            <w:left w:val="none" w:sz="0" w:space="0" w:color="auto"/>
            <w:bottom w:val="none" w:sz="0" w:space="0" w:color="auto"/>
            <w:right w:val="none" w:sz="0" w:space="0" w:color="auto"/>
          </w:divBdr>
        </w:div>
      </w:divsChild>
    </w:div>
    <w:div w:id="911545432">
      <w:bodyDiv w:val="1"/>
      <w:marLeft w:val="0"/>
      <w:marRight w:val="0"/>
      <w:marTop w:val="0"/>
      <w:marBottom w:val="0"/>
      <w:divBdr>
        <w:top w:val="none" w:sz="0" w:space="0" w:color="auto"/>
        <w:left w:val="none" w:sz="0" w:space="0" w:color="auto"/>
        <w:bottom w:val="none" w:sz="0" w:space="0" w:color="auto"/>
        <w:right w:val="none" w:sz="0" w:space="0" w:color="auto"/>
      </w:divBdr>
      <w:divsChild>
        <w:div w:id="1035500507">
          <w:marLeft w:val="0"/>
          <w:marRight w:val="0"/>
          <w:marTop w:val="0"/>
          <w:marBottom w:val="0"/>
          <w:divBdr>
            <w:top w:val="none" w:sz="0" w:space="0" w:color="auto"/>
            <w:left w:val="none" w:sz="0" w:space="0" w:color="auto"/>
            <w:bottom w:val="none" w:sz="0" w:space="0" w:color="auto"/>
            <w:right w:val="none" w:sz="0" w:space="0" w:color="auto"/>
          </w:divBdr>
        </w:div>
      </w:divsChild>
    </w:div>
    <w:div w:id="1243905939">
      <w:bodyDiv w:val="1"/>
      <w:marLeft w:val="0"/>
      <w:marRight w:val="0"/>
      <w:marTop w:val="0"/>
      <w:marBottom w:val="0"/>
      <w:divBdr>
        <w:top w:val="none" w:sz="0" w:space="0" w:color="auto"/>
        <w:left w:val="none" w:sz="0" w:space="0" w:color="auto"/>
        <w:bottom w:val="none" w:sz="0" w:space="0" w:color="auto"/>
        <w:right w:val="none" w:sz="0" w:space="0" w:color="auto"/>
      </w:divBdr>
      <w:divsChild>
        <w:div w:id="1453937798">
          <w:marLeft w:val="0"/>
          <w:marRight w:val="0"/>
          <w:marTop w:val="0"/>
          <w:marBottom w:val="0"/>
          <w:divBdr>
            <w:top w:val="none" w:sz="0" w:space="0" w:color="auto"/>
            <w:left w:val="none" w:sz="0" w:space="0" w:color="auto"/>
            <w:bottom w:val="none" w:sz="0" w:space="0" w:color="auto"/>
            <w:right w:val="none" w:sz="0" w:space="0" w:color="auto"/>
          </w:divBdr>
        </w:div>
      </w:divsChild>
    </w:div>
    <w:div w:id="1311640808">
      <w:bodyDiv w:val="1"/>
      <w:marLeft w:val="0"/>
      <w:marRight w:val="0"/>
      <w:marTop w:val="0"/>
      <w:marBottom w:val="0"/>
      <w:divBdr>
        <w:top w:val="none" w:sz="0" w:space="0" w:color="auto"/>
        <w:left w:val="none" w:sz="0" w:space="0" w:color="auto"/>
        <w:bottom w:val="none" w:sz="0" w:space="0" w:color="auto"/>
        <w:right w:val="none" w:sz="0" w:space="0" w:color="auto"/>
      </w:divBdr>
      <w:divsChild>
        <w:div w:id="929461445">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hyperlink" Target="https://doi.org/10.17226/22999" TargetMode="External"/><Relationship Id="rId26" Type="http://schemas.openxmlformats.org/officeDocument/2006/relationships/hyperlink" Target="https://doi.org/10.1016/j.conbuildmat.2022.127330" TargetMode="External"/><Relationship Id="rId3" Type="http://schemas.openxmlformats.org/officeDocument/2006/relationships/styles" Target="styles.xml"/><Relationship Id="rId21" Type="http://schemas.openxmlformats.org/officeDocument/2006/relationships/hyperlink" Target="https://doi.org/10.1016/j.conbuildmat.2020.119314" TargetMode="External"/><Relationship Id="rId7" Type="http://schemas.openxmlformats.org/officeDocument/2006/relationships/endnotes" Target="endnotes.xml"/><Relationship Id="rId12" Type="http://schemas.openxmlformats.org/officeDocument/2006/relationships/image" Target="media/image3.jpg"/><Relationship Id="rId17" Type="http://schemas.openxmlformats.org/officeDocument/2006/relationships/hyperlink" Target="https://doi.org/10.1016/j.conbuildmat.2021.122689" TargetMode="External"/><Relationship Id="rId25" Type="http://schemas.openxmlformats.org/officeDocument/2006/relationships/hyperlink" Target="https://www.sciencedirect.com/journal/construction-and-building-materials/vol/333/suppl/C"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doi.org/10.1002/ieam.4227" TargetMode="External"/><Relationship Id="rId20" Type="http://schemas.openxmlformats.org/officeDocument/2006/relationships/hyperlink" Target="http://dx.doi.org/10.21575/25254782rmetg2017vol2n1333" TargetMode="External"/><Relationship Id="rId29" Type="http://schemas.openxmlformats.org/officeDocument/2006/relationships/hyperlink" Target="https://doi.org/10.1016/j.conbuildmat.2015.12.00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g"/><Relationship Id="rId24" Type="http://schemas.openxmlformats.org/officeDocument/2006/relationships/hyperlink" Target="https://doi.org/10.1016/j.conbuildmat.2009.01.009"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doi.org/10.1016/j.conbuildmat.2020.118098" TargetMode="External"/><Relationship Id="rId23" Type="http://schemas.openxmlformats.org/officeDocument/2006/relationships/hyperlink" Target="https://www.sciencedirect.com/journal/construction-and-building-materials/vol/23/issue/7" TargetMode="External"/><Relationship Id="rId28" Type="http://schemas.openxmlformats.org/officeDocument/2006/relationships/hyperlink" Target="https://www.sciencedirect.com/journal/construction-and-building-materials/vol/104/suppl/C" TargetMode="External"/><Relationship Id="rId10" Type="http://schemas.openxmlformats.org/officeDocument/2006/relationships/image" Target="media/image1.jpg"/><Relationship Id="rId19" Type="http://schemas.openxmlformats.org/officeDocument/2006/relationships/hyperlink" Target="https://doi.org/10.1016/j.conbuildmat.2019.04.040" TargetMode="Externa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salbessa@hotmail.com" TargetMode="External"/><Relationship Id="rId14" Type="http://schemas.openxmlformats.org/officeDocument/2006/relationships/image" Target="media/image5.png"/><Relationship Id="rId22" Type="http://schemas.openxmlformats.org/officeDocument/2006/relationships/hyperlink" Target="https://doi.org/10.1016/j.conbuildmat.2019.117669" TargetMode="External"/><Relationship Id="rId27" Type="http://schemas.openxmlformats.org/officeDocument/2006/relationships/hyperlink" Target="https://doi.org/10.1016/j.ceramint.2014.07.145" TargetMode="External"/><Relationship Id="rId30" Type="http://schemas.openxmlformats.org/officeDocument/2006/relationships/header" Target="header1.xml"/><Relationship Id="rId8" Type="http://schemas.openxmlformats.org/officeDocument/2006/relationships/hyperlink" Target="mailto:gabieduarda22@hotmail.com"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8.png"/><Relationship Id="rId2" Type="http://schemas.openxmlformats.org/officeDocument/2006/relationships/image" Target="media/image7.jpg"/><Relationship Id="rId1" Type="http://schemas.openxmlformats.org/officeDocument/2006/relationships/image" Target="media/image6.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ED19F9-8F1C-428C-B1D7-60298F8769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4964</Words>
  <Characters>26806</Characters>
  <Application>Microsoft Office Word</Application>
  <DocSecurity>0</DocSecurity>
  <Lines>223</Lines>
  <Paragraphs>63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2023-02-28T20:13:00Z</dcterms:created>
  <dcterms:modified xsi:type="dcterms:W3CDTF">2023-04-11T22:43:00Z</dcterms:modified>
</cp:coreProperties>
</file>