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C6532D" w14:textId="77777777" w:rsidR="00190774" w:rsidRDefault="00190774">
      <w:pPr>
        <w:pBdr>
          <w:top w:val="nil"/>
          <w:left w:val="nil"/>
          <w:bottom w:val="nil"/>
          <w:right w:val="nil"/>
          <w:between w:val="nil"/>
        </w:pBdr>
        <w:ind w:firstLine="284"/>
        <w:jc w:val="center"/>
        <w:rPr>
          <w:rFonts w:ascii="Times New Roman" w:eastAsia="Times New Roman" w:hAnsi="Times New Roman" w:cs="Times New Roman"/>
          <w:b/>
          <w:color w:val="000000"/>
          <w:sz w:val="28"/>
          <w:szCs w:val="28"/>
        </w:rPr>
      </w:pPr>
      <w:bookmarkStart w:id="0" w:name="_GoBack"/>
      <w:bookmarkEnd w:id="0"/>
    </w:p>
    <w:p w14:paraId="1071C0D7" w14:textId="77777777" w:rsidR="00190774" w:rsidRDefault="00A55055">
      <w:pPr>
        <w:pBdr>
          <w:top w:val="nil"/>
          <w:left w:val="nil"/>
          <w:bottom w:val="nil"/>
          <w:right w:val="nil"/>
          <w:between w:val="nil"/>
        </w:pBdr>
        <w:ind w:firstLine="28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Resíduos sólidos de construção e demolição: panorama geral e uma proposta para Goiânia – GO</w:t>
      </w:r>
    </w:p>
    <w:p w14:paraId="76FFA343" w14:textId="77777777" w:rsidR="00190774" w:rsidRDefault="00190774"/>
    <w:p w14:paraId="48273328" w14:textId="77777777" w:rsidR="00190774" w:rsidRDefault="00190774">
      <w:pPr>
        <w:pBdr>
          <w:top w:val="nil"/>
          <w:left w:val="nil"/>
          <w:bottom w:val="nil"/>
          <w:right w:val="nil"/>
          <w:between w:val="nil"/>
        </w:pBdr>
        <w:spacing w:after="0"/>
        <w:ind w:firstLine="284"/>
        <w:jc w:val="center"/>
        <w:rPr>
          <w:rFonts w:ascii="Times New Roman" w:eastAsia="Times New Roman" w:hAnsi="Times New Roman" w:cs="Times New Roman"/>
          <w:i/>
          <w:color w:val="000000"/>
          <w:sz w:val="28"/>
          <w:szCs w:val="28"/>
        </w:rPr>
      </w:pPr>
    </w:p>
    <w:p w14:paraId="22E25C13" w14:textId="77777777" w:rsidR="00190774" w:rsidRPr="0040364F" w:rsidRDefault="00A55055">
      <w:pPr>
        <w:pBdr>
          <w:top w:val="nil"/>
          <w:left w:val="nil"/>
          <w:bottom w:val="nil"/>
          <w:right w:val="nil"/>
          <w:between w:val="nil"/>
        </w:pBdr>
        <w:ind w:firstLine="284"/>
        <w:jc w:val="center"/>
        <w:rPr>
          <w:rFonts w:ascii="Times New Roman" w:eastAsia="Times New Roman" w:hAnsi="Times New Roman" w:cs="Times New Roman"/>
          <w:b/>
          <w:bCs/>
          <w:i/>
          <w:color w:val="000000"/>
          <w:sz w:val="28"/>
          <w:szCs w:val="28"/>
        </w:rPr>
      </w:pPr>
      <w:r w:rsidRPr="0040364F">
        <w:rPr>
          <w:rFonts w:ascii="Times New Roman" w:eastAsia="Times New Roman" w:hAnsi="Times New Roman" w:cs="Times New Roman"/>
          <w:b/>
          <w:bCs/>
          <w:i/>
          <w:color w:val="000000"/>
          <w:sz w:val="28"/>
          <w:szCs w:val="28"/>
        </w:rPr>
        <w:t xml:space="preserve">Solid </w:t>
      </w:r>
      <w:proofErr w:type="spellStart"/>
      <w:r w:rsidRPr="0040364F">
        <w:rPr>
          <w:rFonts w:ascii="Times New Roman" w:eastAsia="Times New Roman" w:hAnsi="Times New Roman" w:cs="Times New Roman"/>
          <w:b/>
          <w:bCs/>
          <w:i/>
          <w:color w:val="000000"/>
          <w:sz w:val="28"/>
          <w:szCs w:val="28"/>
        </w:rPr>
        <w:t>waste</w:t>
      </w:r>
      <w:proofErr w:type="spellEnd"/>
      <w:r w:rsidRPr="0040364F">
        <w:rPr>
          <w:rFonts w:ascii="Times New Roman" w:eastAsia="Times New Roman" w:hAnsi="Times New Roman" w:cs="Times New Roman"/>
          <w:b/>
          <w:bCs/>
          <w:i/>
          <w:color w:val="000000"/>
          <w:sz w:val="28"/>
          <w:szCs w:val="28"/>
        </w:rPr>
        <w:t xml:space="preserve"> </w:t>
      </w:r>
      <w:proofErr w:type="spellStart"/>
      <w:r w:rsidRPr="0040364F">
        <w:rPr>
          <w:rFonts w:ascii="Times New Roman" w:eastAsia="Times New Roman" w:hAnsi="Times New Roman" w:cs="Times New Roman"/>
          <w:b/>
          <w:bCs/>
          <w:i/>
          <w:color w:val="000000"/>
          <w:sz w:val="28"/>
          <w:szCs w:val="28"/>
        </w:rPr>
        <w:t>from</w:t>
      </w:r>
      <w:proofErr w:type="spellEnd"/>
      <w:r w:rsidRPr="0040364F">
        <w:rPr>
          <w:rFonts w:ascii="Times New Roman" w:eastAsia="Times New Roman" w:hAnsi="Times New Roman" w:cs="Times New Roman"/>
          <w:b/>
          <w:bCs/>
          <w:i/>
          <w:color w:val="000000"/>
          <w:sz w:val="28"/>
          <w:szCs w:val="28"/>
        </w:rPr>
        <w:t xml:space="preserve"> </w:t>
      </w:r>
      <w:proofErr w:type="spellStart"/>
      <w:r w:rsidRPr="0040364F">
        <w:rPr>
          <w:rFonts w:ascii="Times New Roman" w:eastAsia="Times New Roman" w:hAnsi="Times New Roman" w:cs="Times New Roman"/>
          <w:b/>
          <w:bCs/>
          <w:i/>
          <w:color w:val="000000"/>
          <w:sz w:val="28"/>
          <w:szCs w:val="28"/>
        </w:rPr>
        <w:t>construction</w:t>
      </w:r>
      <w:proofErr w:type="spellEnd"/>
      <w:r w:rsidRPr="0040364F">
        <w:rPr>
          <w:rFonts w:ascii="Times New Roman" w:eastAsia="Times New Roman" w:hAnsi="Times New Roman" w:cs="Times New Roman"/>
          <w:b/>
          <w:bCs/>
          <w:i/>
          <w:color w:val="000000"/>
          <w:sz w:val="28"/>
          <w:szCs w:val="28"/>
        </w:rPr>
        <w:t xml:space="preserve"> </w:t>
      </w:r>
      <w:proofErr w:type="spellStart"/>
      <w:r w:rsidRPr="0040364F">
        <w:rPr>
          <w:rFonts w:ascii="Times New Roman" w:eastAsia="Times New Roman" w:hAnsi="Times New Roman" w:cs="Times New Roman"/>
          <w:b/>
          <w:bCs/>
          <w:i/>
          <w:color w:val="000000"/>
          <w:sz w:val="28"/>
          <w:szCs w:val="28"/>
        </w:rPr>
        <w:t>and</w:t>
      </w:r>
      <w:proofErr w:type="spellEnd"/>
      <w:r w:rsidRPr="0040364F">
        <w:rPr>
          <w:rFonts w:ascii="Times New Roman" w:eastAsia="Times New Roman" w:hAnsi="Times New Roman" w:cs="Times New Roman"/>
          <w:b/>
          <w:bCs/>
          <w:i/>
          <w:color w:val="000000"/>
          <w:sz w:val="28"/>
          <w:szCs w:val="28"/>
        </w:rPr>
        <w:t xml:space="preserve"> </w:t>
      </w:r>
      <w:proofErr w:type="spellStart"/>
      <w:r w:rsidRPr="0040364F">
        <w:rPr>
          <w:rFonts w:ascii="Times New Roman" w:eastAsia="Times New Roman" w:hAnsi="Times New Roman" w:cs="Times New Roman"/>
          <w:b/>
          <w:bCs/>
          <w:i/>
          <w:color w:val="000000"/>
          <w:sz w:val="28"/>
          <w:szCs w:val="28"/>
        </w:rPr>
        <w:t>demolition</w:t>
      </w:r>
      <w:proofErr w:type="spellEnd"/>
      <w:r w:rsidRPr="0040364F">
        <w:rPr>
          <w:rFonts w:ascii="Times New Roman" w:eastAsia="Times New Roman" w:hAnsi="Times New Roman" w:cs="Times New Roman"/>
          <w:b/>
          <w:bCs/>
          <w:i/>
          <w:color w:val="000000"/>
          <w:sz w:val="28"/>
          <w:szCs w:val="28"/>
        </w:rPr>
        <w:t xml:space="preserve">: overview </w:t>
      </w:r>
      <w:proofErr w:type="spellStart"/>
      <w:r w:rsidRPr="0040364F">
        <w:rPr>
          <w:rFonts w:ascii="Times New Roman" w:eastAsia="Times New Roman" w:hAnsi="Times New Roman" w:cs="Times New Roman"/>
          <w:b/>
          <w:bCs/>
          <w:i/>
          <w:color w:val="000000"/>
          <w:sz w:val="28"/>
          <w:szCs w:val="28"/>
        </w:rPr>
        <w:t>and</w:t>
      </w:r>
      <w:proofErr w:type="spellEnd"/>
      <w:r w:rsidRPr="0040364F">
        <w:rPr>
          <w:rFonts w:ascii="Times New Roman" w:eastAsia="Times New Roman" w:hAnsi="Times New Roman" w:cs="Times New Roman"/>
          <w:b/>
          <w:bCs/>
          <w:i/>
          <w:color w:val="000000"/>
          <w:sz w:val="28"/>
          <w:szCs w:val="28"/>
        </w:rPr>
        <w:t xml:space="preserve"> a </w:t>
      </w:r>
      <w:proofErr w:type="spellStart"/>
      <w:r w:rsidRPr="0040364F">
        <w:rPr>
          <w:rFonts w:ascii="Times New Roman" w:eastAsia="Times New Roman" w:hAnsi="Times New Roman" w:cs="Times New Roman"/>
          <w:b/>
          <w:bCs/>
          <w:i/>
          <w:color w:val="000000"/>
          <w:sz w:val="28"/>
          <w:szCs w:val="28"/>
        </w:rPr>
        <w:t>proposal</w:t>
      </w:r>
      <w:proofErr w:type="spellEnd"/>
      <w:r w:rsidRPr="0040364F">
        <w:rPr>
          <w:rFonts w:ascii="Times New Roman" w:eastAsia="Times New Roman" w:hAnsi="Times New Roman" w:cs="Times New Roman"/>
          <w:b/>
          <w:bCs/>
          <w:i/>
          <w:color w:val="000000"/>
          <w:sz w:val="28"/>
          <w:szCs w:val="28"/>
        </w:rPr>
        <w:t xml:space="preserve"> for Goiânia – GO</w:t>
      </w:r>
    </w:p>
    <w:p w14:paraId="60F316DF" w14:textId="77777777" w:rsidR="00190774" w:rsidRDefault="00190774">
      <w:pPr>
        <w:pBdr>
          <w:top w:val="nil"/>
          <w:left w:val="nil"/>
          <w:bottom w:val="nil"/>
          <w:right w:val="nil"/>
          <w:between w:val="nil"/>
        </w:pBdr>
        <w:ind w:firstLine="284"/>
        <w:jc w:val="center"/>
        <w:rPr>
          <w:rFonts w:ascii="Times New Roman" w:eastAsia="Times New Roman" w:hAnsi="Times New Roman" w:cs="Times New Roman"/>
          <w:i/>
          <w:color w:val="000000"/>
          <w:sz w:val="28"/>
          <w:szCs w:val="28"/>
        </w:rPr>
      </w:pPr>
    </w:p>
    <w:p w14:paraId="68C15E46" w14:textId="77777777" w:rsidR="00190774" w:rsidRDefault="00190774">
      <w:pPr>
        <w:pBdr>
          <w:top w:val="nil"/>
          <w:left w:val="nil"/>
          <w:bottom w:val="nil"/>
          <w:right w:val="nil"/>
          <w:between w:val="nil"/>
        </w:pBdr>
        <w:ind w:firstLine="284"/>
        <w:jc w:val="center"/>
        <w:rPr>
          <w:rFonts w:ascii="Times New Roman" w:eastAsia="Times New Roman" w:hAnsi="Times New Roman" w:cs="Times New Roman"/>
          <w:i/>
          <w:color w:val="000000"/>
          <w:sz w:val="28"/>
          <w:szCs w:val="28"/>
        </w:rPr>
      </w:pPr>
    </w:p>
    <w:p w14:paraId="5D4A8788" w14:textId="77777777" w:rsidR="00190774" w:rsidRDefault="00A55055">
      <w:pPr>
        <w:jc w:val="left"/>
      </w:pPr>
      <w:proofErr w:type="spellStart"/>
      <w:r>
        <w:rPr>
          <w:b/>
        </w:rPr>
        <w:t>Lidia</w:t>
      </w:r>
      <w:proofErr w:type="spellEnd"/>
      <w:r>
        <w:rPr>
          <w:b/>
        </w:rPr>
        <w:t xml:space="preserve"> </w:t>
      </w:r>
      <w:proofErr w:type="spellStart"/>
      <w:r>
        <w:rPr>
          <w:b/>
        </w:rPr>
        <w:t>Licio</w:t>
      </w:r>
      <w:proofErr w:type="spellEnd"/>
      <w:r>
        <w:rPr>
          <w:b/>
        </w:rPr>
        <w:t xml:space="preserve"> Borges, Arquiteta e Urbanista, UFG </w:t>
      </w:r>
    </w:p>
    <w:p w14:paraId="0F3E6006" w14:textId="77777777" w:rsidR="00190774" w:rsidRDefault="00A55055">
      <w:pPr>
        <w:jc w:val="left"/>
      </w:pPr>
      <w:hyperlink r:id="rId8">
        <w:r>
          <w:rPr>
            <w:color w:val="0000FF"/>
            <w:u w:val="single"/>
          </w:rPr>
          <w:t>lidialborges@discente.ufg.br</w:t>
        </w:r>
      </w:hyperlink>
    </w:p>
    <w:p w14:paraId="66F68412" w14:textId="77777777" w:rsidR="00190774" w:rsidRDefault="00A55055">
      <w:pPr>
        <w:jc w:val="left"/>
        <w:rPr>
          <w:b/>
        </w:rPr>
      </w:pPr>
      <w:r>
        <w:rPr>
          <w:b/>
        </w:rPr>
        <w:t>Patrícia Sousa Marques, Mestra em Arquitetura e Urbanismo, UFG</w:t>
      </w:r>
    </w:p>
    <w:p w14:paraId="1A3581BB" w14:textId="77777777" w:rsidR="00190774" w:rsidRDefault="00A55055">
      <w:pPr>
        <w:jc w:val="left"/>
      </w:pPr>
      <w:hyperlink r:id="rId9">
        <w:r>
          <w:rPr>
            <w:color w:val="0000FF"/>
            <w:u w:val="single"/>
          </w:rPr>
          <w:t>patriciaarqurb1380@gmail.com</w:t>
        </w:r>
      </w:hyperlink>
    </w:p>
    <w:p w14:paraId="11BE9896" w14:textId="77777777" w:rsidR="00190774" w:rsidRDefault="00A55055">
      <w:pPr>
        <w:jc w:val="left"/>
        <w:rPr>
          <w:b/>
        </w:rPr>
      </w:pPr>
      <w:proofErr w:type="spellStart"/>
      <w:r>
        <w:rPr>
          <w:b/>
        </w:rPr>
        <w:t>Janes</w:t>
      </w:r>
      <w:proofErr w:type="spellEnd"/>
      <w:r>
        <w:rPr>
          <w:b/>
        </w:rPr>
        <w:t xml:space="preserve"> Cleiton Alves de Oliv</w:t>
      </w:r>
      <w:r>
        <w:rPr>
          <w:b/>
        </w:rPr>
        <w:t>eira, Doutor em Estruturas e Construção Civil, UFG</w:t>
      </w:r>
    </w:p>
    <w:p w14:paraId="57F06811" w14:textId="77777777" w:rsidR="00190774" w:rsidRDefault="00A55055">
      <w:hyperlink r:id="rId10">
        <w:r>
          <w:rPr>
            <w:color w:val="0000FF"/>
            <w:u w:val="single"/>
          </w:rPr>
          <w:t>janescleiton@ufg.br</w:t>
        </w:r>
      </w:hyperlink>
    </w:p>
    <w:p w14:paraId="3CD52925" w14:textId="2C3D5CED" w:rsidR="00190774" w:rsidRDefault="00A55055">
      <w:pPr>
        <w:rPr>
          <w:b/>
        </w:rPr>
      </w:pPr>
      <w:r>
        <w:rPr>
          <w:b/>
        </w:rPr>
        <w:t>Fab</w:t>
      </w:r>
      <w:r w:rsidR="007B5D61">
        <w:rPr>
          <w:b/>
        </w:rPr>
        <w:t>í</w:t>
      </w:r>
      <w:r>
        <w:rPr>
          <w:b/>
        </w:rPr>
        <w:t>olla Xavier Rocha Ferreira Lima, Doutora em Arquitetura e Urbanismo, UFG</w:t>
      </w:r>
    </w:p>
    <w:p w14:paraId="58984988" w14:textId="77777777" w:rsidR="00190774" w:rsidRDefault="00A55055">
      <w:hyperlink r:id="rId11">
        <w:r>
          <w:rPr>
            <w:color w:val="0000FF"/>
            <w:u w:val="single"/>
          </w:rPr>
          <w:t>fabiolla_lima@u</w:t>
        </w:r>
        <w:r>
          <w:rPr>
            <w:color w:val="0000FF"/>
            <w:u w:val="single"/>
          </w:rPr>
          <w:t>fg.br</w:t>
        </w:r>
      </w:hyperlink>
      <w:r>
        <w:t xml:space="preserve"> </w:t>
      </w:r>
    </w:p>
    <w:p w14:paraId="6549BF1F" w14:textId="77777777" w:rsidR="00190774" w:rsidRDefault="00A55055">
      <w:pPr>
        <w:rPr>
          <w:b/>
        </w:rPr>
      </w:pPr>
      <w:r>
        <w:rPr>
          <w:b/>
        </w:rPr>
        <w:t>Lucas Felício Costa (</w:t>
      </w:r>
      <w:r>
        <w:rPr>
          <w:b/>
          <w:i/>
        </w:rPr>
        <w:t xml:space="preserve">In </w:t>
      </w:r>
      <w:proofErr w:type="spellStart"/>
      <w:r>
        <w:rPr>
          <w:b/>
          <w:i/>
        </w:rPr>
        <w:t>memorian</w:t>
      </w:r>
      <w:proofErr w:type="spellEnd"/>
      <w:r>
        <w:rPr>
          <w:b/>
        </w:rPr>
        <w:t>)</w:t>
      </w:r>
    </w:p>
    <w:p w14:paraId="5935E47F" w14:textId="77777777" w:rsidR="00190774" w:rsidRDefault="00190774"/>
    <w:p w14:paraId="038BCCFC" w14:textId="77777777" w:rsidR="00190774" w:rsidRDefault="00190774">
      <w:pPr>
        <w:rPr>
          <w:rFonts w:ascii="Times New Roman" w:eastAsia="Times New Roman" w:hAnsi="Times New Roman" w:cs="Times New Roman"/>
          <w:color w:val="A6A6A6"/>
        </w:rPr>
      </w:pPr>
    </w:p>
    <w:p w14:paraId="254381CB" w14:textId="77777777" w:rsidR="00190774" w:rsidRDefault="00A55055">
      <w:pPr>
        <w:rPr>
          <w:rFonts w:ascii="Times New Roman" w:eastAsia="Times New Roman" w:hAnsi="Times New Roman" w:cs="Times New Roman"/>
          <w:b/>
        </w:rPr>
      </w:pPr>
      <w:r>
        <w:rPr>
          <w:rFonts w:ascii="Times New Roman" w:eastAsia="Times New Roman" w:hAnsi="Times New Roman" w:cs="Times New Roman"/>
          <w:b/>
        </w:rPr>
        <w:t>Resumo</w:t>
      </w:r>
    </w:p>
    <w:p w14:paraId="29D6FC99" w14:textId="77777777" w:rsidR="00190774" w:rsidRDefault="00A55055">
      <w:pPr>
        <w:pBdr>
          <w:top w:val="nil"/>
          <w:left w:val="nil"/>
          <w:bottom w:val="nil"/>
          <w:right w:val="nil"/>
          <w:between w:val="nil"/>
        </w:pBdr>
        <w:tabs>
          <w:tab w:val="left" w:pos="4020"/>
        </w:tabs>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Em Goiânia – GO, resíduos de construção são levados para um aterro e utilizados para cobrir um maciço formado por resíduos orgânicos, o que configura um problema ambiental. Grande parte desse material pode </w:t>
      </w:r>
      <w:r>
        <w:rPr>
          <w:rFonts w:ascii="Times New Roman" w:eastAsia="Times New Roman" w:hAnsi="Times New Roman" w:cs="Times New Roman"/>
          <w:sz w:val="22"/>
          <w:szCs w:val="22"/>
        </w:rPr>
        <w:t xml:space="preserve">ser reciclado, processado e transformado. A geração de subprodutos e novos materiais construtivos que podem ser absorvidos pela própria construção civil, constituem alternativa viável ao ciclo da construção, favorecendo o meio ambiente. A sustentabilidade </w:t>
      </w:r>
      <w:r>
        <w:rPr>
          <w:rFonts w:ascii="Times New Roman" w:eastAsia="Times New Roman" w:hAnsi="Times New Roman" w:cs="Times New Roman"/>
          <w:sz w:val="22"/>
          <w:szCs w:val="22"/>
        </w:rPr>
        <w:t>deve ser ressaltada e aplicada em projetos acadêmicos e profissionais. Resíduos mal descartados impactam o meio ambiente negativamente, assim, deve-se agir com soluções transformadoras. Esta pesquisa contempla revisão bibliográfica e levantamento histórico</w:t>
      </w:r>
      <w:r>
        <w:rPr>
          <w:rFonts w:ascii="Times New Roman" w:eastAsia="Times New Roman" w:hAnsi="Times New Roman" w:cs="Times New Roman"/>
          <w:sz w:val="22"/>
          <w:szCs w:val="22"/>
        </w:rPr>
        <w:t xml:space="preserve"> acerca do tratamento de resíduos em Goiânia, expõe diretrizes e resulta na proposição do projeto de uma usina de reciclagem de resíduos sólidos de construção e demolição</w:t>
      </w:r>
      <w:r>
        <w:rPr>
          <w:rFonts w:ascii="Times New Roman" w:eastAsia="Times New Roman" w:hAnsi="Times New Roman" w:cs="Times New Roman"/>
          <w:i/>
          <w:sz w:val="22"/>
          <w:szCs w:val="22"/>
        </w:rPr>
        <w:t>.</w:t>
      </w:r>
      <w:r>
        <w:rPr>
          <w:rFonts w:ascii="Times New Roman" w:eastAsia="Times New Roman" w:hAnsi="Times New Roman" w:cs="Times New Roman"/>
          <w:sz w:val="22"/>
          <w:szCs w:val="22"/>
        </w:rPr>
        <w:t xml:space="preserve"> </w:t>
      </w:r>
    </w:p>
    <w:p w14:paraId="37A547BC" w14:textId="77777777" w:rsidR="00190774" w:rsidRDefault="00190774">
      <w:pPr>
        <w:pBdr>
          <w:top w:val="nil"/>
          <w:left w:val="nil"/>
          <w:bottom w:val="nil"/>
          <w:right w:val="nil"/>
          <w:between w:val="nil"/>
        </w:pBdr>
        <w:jc w:val="left"/>
        <w:rPr>
          <w:rFonts w:ascii="Times New Roman" w:eastAsia="Times New Roman" w:hAnsi="Times New Roman" w:cs="Times New Roman"/>
          <w:b/>
          <w:color w:val="000000"/>
        </w:rPr>
      </w:pPr>
    </w:p>
    <w:p w14:paraId="5ABDBC14" w14:textId="77777777" w:rsidR="00190774" w:rsidRDefault="00A55055">
      <w:pPr>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b/>
          <w:color w:val="000000"/>
        </w:rPr>
        <w:t>Palavras-chave:</w:t>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sz w:val="22"/>
          <w:szCs w:val="22"/>
        </w:rPr>
        <w:t>RSCD; Arquitet</w:t>
      </w:r>
      <w:r>
        <w:rPr>
          <w:rFonts w:ascii="Times New Roman" w:eastAsia="Times New Roman" w:hAnsi="Times New Roman" w:cs="Times New Roman"/>
          <w:sz w:val="22"/>
          <w:szCs w:val="22"/>
        </w:rPr>
        <w:t>ura; Usina de reciclagem.</w:t>
      </w:r>
    </w:p>
    <w:p w14:paraId="3BE541BA" w14:textId="77777777" w:rsidR="00190774" w:rsidRDefault="00190774">
      <w:pPr>
        <w:rPr>
          <w:rFonts w:ascii="Times New Roman" w:eastAsia="Times New Roman" w:hAnsi="Times New Roman" w:cs="Times New Roman"/>
          <w:color w:val="A6A6A6"/>
        </w:rPr>
      </w:pPr>
    </w:p>
    <w:p w14:paraId="65175D13" w14:textId="77777777" w:rsidR="00190774" w:rsidRDefault="00A55055">
      <w:pPr>
        <w:rPr>
          <w:rFonts w:ascii="Times New Roman" w:eastAsia="Times New Roman" w:hAnsi="Times New Roman" w:cs="Times New Roman"/>
          <w:b/>
          <w:i/>
          <w:color w:val="A6A6A6"/>
        </w:rPr>
      </w:pPr>
      <w:r>
        <w:rPr>
          <w:rFonts w:ascii="Times New Roman" w:eastAsia="Times New Roman" w:hAnsi="Times New Roman" w:cs="Times New Roman"/>
          <w:b/>
          <w:i/>
        </w:rPr>
        <w:t>Abstract</w:t>
      </w:r>
    </w:p>
    <w:p w14:paraId="4C5AA04E" w14:textId="77777777" w:rsidR="00190774" w:rsidRDefault="00A55055">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lastRenderedPageBreak/>
        <w:t xml:space="preserve">In Goiânia - GO, </w:t>
      </w:r>
      <w:proofErr w:type="spellStart"/>
      <w:r>
        <w:rPr>
          <w:rFonts w:ascii="Times New Roman" w:eastAsia="Times New Roman" w:hAnsi="Times New Roman" w:cs="Times New Roman"/>
          <w:i/>
          <w:sz w:val="22"/>
          <w:szCs w:val="22"/>
        </w:rPr>
        <w:t>construction</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waste</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is</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taken</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to</w:t>
      </w:r>
      <w:proofErr w:type="spellEnd"/>
      <w:r>
        <w:rPr>
          <w:rFonts w:ascii="Times New Roman" w:eastAsia="Times New Roman" w:hAnsi="Times New Roman" w:cs="Times New Roman"/>
          <w:i/>
          <w:sz w:val="22"/>
          <w:szCs w:val="22"/>
        </w:rPr>
        <w:t xml:space="preserve"> a </w:t>
      </w:r>
      <w:proofErr w:type="spellStart"/>
      <w:r>
        <w:rPr>
          <w:rFonts w:ascii="Times New Roman" w:eastAsia="Times New Roman" w:hAnsi="Times New Roman" w:cs="Times New Roman"/>
          <w:i/>
          <w:sz w:val="22"/>
          <w:szCs w:val="22"/>
        </w:rPr>
        <w:t>landfill</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and</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used</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to</w:t>
      </w:r>
      <w:proofErr w:type="spellEnd"/>
      <w:r>
        <w:rPr>
          <w:rFonts w:ascii="Times New Roman" w:eastAsia="Times New Roman" w:hAnsi="Times New Roman" w:cs="Times New Roman"/>
          <w:i/>
          <w:sz w:val="22"/>
          <w:szCs w:val="22"/>
        </w:rPr>
        <w:t xml:space="preserve"> cover a </w:t>
      </w:r>
      <w:proofErr w:type="spellStart"/>
      <w:r>
        <w:rPr>
          <w:rFonts w:ascii="Times New Roman" w:eastAsia="Times New Roman" w:hAnsi="Times New Roman" w:cs="Times New Roman"/>
          <w:i/>
          <w:sz w:val="22"/>
          <w:szCs w:val="22"/>
        </w:rPr>
        <w:t>mass</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formed</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by</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organic</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waste</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which</w:t>
      </w:r>
      <w:proofErr w:type="spellEnd"/>
      <w:r>
        <w:rPr>
          <w:rFonts w:ascii="Times New Roman" w:eastAsia="Times New Roman" w:hAnsi="Times New Roman" w:cs="Times New Roman"/>
          <w:i/>
          <w:sz w:val="22"/>
          <w:szCs w:val="22"/>
        </w:rPr>
        <w:t xml:space="preserve"> configures </w:t>
      </w:r>
      <w:proofErr w:type="spellStart"/>
      <w:r>
        <w:rPr>
          <w:rFonts w:ascii="Times New Roman" w:eastAsia="Times New Roman" w:hAnsi="Times New Roman" w:cs="Times New Roman"/>
          <w:i/>
          <w:sz w:val="22"/>
          <w:szCs w:val="22"/>
        </w:rPr>
        <w:t>an</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environmental</w:t>
      </w:r>
      <w:proofErr w:type="spellEnd"/>
      <w:r>
        <w:rPr>
          <w:rFonts w:ascii="Times New Roman" w:eastAsia="Times New Roman" w:hAnsi="Times New Roman" w:cs="Times New Roman"/>
          <w:i/>
          <w:sz w:val="22"/>
          <w:szCs w:val="22"/>
        </w:rPr>
        <w:t xml:space="preserve"> problem. </w:t>
      </w:r>
      <w:proofErr w:type="spellStart"/>
      <w:r>
        <w:rPr>
          <w:rFonts w:ascii="Times New Roman" w:eastAsia="Times New Roman" w:hAnsi="Times New Roman" w:cs="Times New Roman"/>
          <w:i/>
          <w:sz w:val="22"/>
          <w:szCs w:val="22"/>
        </w:rPr>
        <w:t>Much</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of</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this</w:t>
      </w:r>
      <w:proofErr w:type="spellEnd"/>
      <w:r>
        <w:rPr>
          <w:rFonts w:ascii="Times New Roman" w:eastAsia="Times New Roman" w:hAnsi="Times New Roman" w:cs="Times New Roman"/>
          <w:i/>
          <w:sz w:val="22"/>
          <w:szCs w:val="22"/>
        </w:rPr>
        <w:t xml:space="preserve"> material </w:t>
      </w:r>
      <w:proofErr w:type="spellStart"/>
      <w:r>
        <w:rPr>
          <w:rFonts w:ascii="Times New Roman" w:eastAsia="Times New Roman" w:hAnsi="Times New Roman" w:cs="Times New Roman"/>
          <w:i/>
          <w:sz w:val="22"/>
          <w:szCs w:val="22"/>
        </w:rPr>
        <w:t>can</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be</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recycled</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processed</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and</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transformed</w:t>
      </w:r>
      <w:proofErr w:type="spellEnd"/>
      <w:r>
        <w:rPr>
          <w:rFonts w:ascii="Times New Roman" w:eastAsia="Times New Roman" w:hAnsi="Times New Roman" w:cs="Times New Roman"/>
          <w:i/>
          <w:sz w:val="22"/>
          <w:szCs w:val="22"/>
        </w:rPr>
        <w:t xml:space="preserve">. The </w:t>
      </w:r>
      <w:proofErr w:type="spellStart"/>
      <w:r>
        <w:rPr>
          <w:rFonts w:ascii="Times New Roman" w:eastAsia="Times New Roman" w:hAnsi="Times New Roman" w:cs="Times New Roman"/>
          <w:i/>
          <w:sz w:val="22"/>
          <w:szCs w:val="22"/>
        </w:rPr>
        <w:t>generation</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of</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by-products</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and</w:t>
      </w:r>
      <w:proofErr w:type="spellEnd"/>
      <w:r>
        <w:rPr>
          <w:rFonts w:ascii="Times New Roman" w:eastAsia="Times New Roman" w:hAnsi="Times New Roman" w:cs="Times New Roman"/>
          <w:i/>
          <w:sz w:val="22"/>
          <w:szCs w:val="22"/>
        </w:rPr>
        <w:t xml:space="preserve"> new </w:t>
      </w:r>
      <w:proofErr w:type="spellStart"/>
      <w:r>
        <w:rPr>
          <w:rFonts w:ascii="Times New Roman" w:eastAsia="Times New Roman" w:hAnsi="Times New Roman" w:cs="Times New Roman"/>
          <w:i/>
          <w:sz w:val="22"/>
          <w:szCs w:val="22"/>
        </w:rPr>
        <w:t>construction</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materials</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that</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can</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be</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absorbed</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by</w:t>
      </w:r>
      <w:proofErr w:type="spellEnd"/>
      <w:r>
        <w:rPr>
          <w:rFonts w:ascii="Times New Roman" w:eastAsia="Times New Roman" w:hAnsi="Times New Roman" w:cs="Times New Roman"/>
          <w:i/>
          <w:sz w:val="22"/>
          <w:szCs w:val="22"/>
        </w:rPr>
        <w:t xml:space="preserve"> civil </w:t>
      </w:r>
      <w:proofErr w:type="spellStart"/>
      <w:r>
        <w:rPr>
          <w:rFonts w:ascii="Times New Roman" w:eastAsia="Times New Roman" w:hAnsi="Times New Roman" w:cs="Times New Roman"/>
          <w:i/>
          <w:sz w:val="22"/>
          <w:szCs w:val="22"/>
        </w:rPr>
        <w:t>construction</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itself</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constitute</w:t>
      </w:r>
      <w:proofErr w:type="spellEnd"/>
      <w:r>
        <w:rPr>
          <w:rFonts w:ascii="Times New Roman" w:eastAsia="Times New Roman" w:hAnsi="Times New Roman" w:cs="Times New Roman"/>
          <w:i/>
          <w:sz w:val="22"/>
          <w:szCs w:val="22"/>
        </w:rPr>
        <w:t xml:space="preserve"> a </w:t>
      </w:r>
      <w:proofErr w:type="spellStart"/>
      <w:r>
        <w:rPr>
          <w:rFonts w:ascii="Times New Roman" w:eastAsia="Times New Roman" w:hAnsi="Times New Roman" w:cs="Times New Roman"/>
          <w:i/>
          <w:sz w:val="22"/>
          <w:szCs w:val="22"/>
        </w:rPr>
        <w:t>viable</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alternative</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to</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the</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construction</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cycle</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favoring</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the</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environment</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Sustainability</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should</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be</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emphasized</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and</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applied</w:t>
      </w:r>
      <w:proofErr w:type="spellEnd"/>
      <w:r>
        <w:rPr>
          <w:rFonts w:ascii="Times New Roman" w:eastAsia="Times New Roman" w:hAnsi="Times New Roman" w:cs="Times New Roman"/>
          <w:i/>
          <w:sz w:val="22"/>
          <w:szCs w:val="22"/>
        </w:rPr>
        <w:t xml:space="preserve"> in </w:t>
      </w:r>
      <w:proofErr w:type="spellStart"/>
      <w:r>
        <w:rPr>
          <w:rFonts w:ascii="Times New Roman" w:eastAsia="Times New Roman" w:hAnsi="Times New Roman" w:cs="Times New Roman"/>
          <w:i/>
          <w:sz w:val="22"/>
          <w:szCs w:val="22"/>
        </w:rPr>
        <w:t>academic</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and</w:t>
      </w:r>
      <w:proofErr w:type="spellEnd"/>
      <w:r>
        <w:rPr>
          <w:rFonts w:ascii="Times New Roman" w:eastAsia="Times New Roman" w:hAnsi="Times New Roman" w:cs="Times New Roman"/>
          <w:i/>
          <w:sz w:val="22"/>
          <w:szCs w:val="22"/>
        </w:rPr>
        <w:t xml:space="preserve"> professional </w:t>
      </w:r>
      <w:proofErr w:type="spellStart"/>
      <w:r>
        <w:rPr>
          <w:rFonts w:ascii="Times New Roman" w:eastAsia="Times New Roman" w:hAnsi="Times New Roman" w:cs="Times New Roman"/>
          <w:i/>
          <w:sz w:val="22"/>
          <w:szCs w:val="22"/>
        </w:rPr>
        <w:t>projects</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Badly</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disca</w:t>
      </w:r>
      <w:r>
        <w:rPr>
          <w:rFonts w:ascii="Times New Roman" w:eastAsia="Times New Roman" w:hAnsi="Times New Roman" w:cs="Times New Roman"/>
          <w:i/>
          <w:sz w:val="22"/>
          <w:szCs w:val="22"/>
        </w:rPr>
        <w:t>rded</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waste</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impacts</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the</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environment</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negatively</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so</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one</w:t>
      </w:r>
      <w:proofErr w:type="spellEnd"/>
      <w:r>
        <w:rPr>
          <w:rFonts w:ascii="Times New Roman" w:eastAsia="Times New Roman" w:hAnsi="Times New Roman" w:cs="Times New Roman"/>
          <w:i/>
          <w:sz w:val="22"/>
          <w:szCs w:val="22"/>
        </w:rPr>
        <w:t xml:space="preserve"> must </w:t>
      </w:r>
      <w:proofErr w:type="spellStart"/>
      <w:r>
        <w:rPr>
          <w:rFonts w:ascii="Times New Roman" w:eastAsia="Times New Roman" w:hAnsi="Times New Roman" w:cs="Times New Roman"/>
          <w:i/>
          <w:sz w:val="22"/>
          <w:szCs w:val="22"/>
        </w:rPr>
        <w:t>act</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with</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transformative</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solutions</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This</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research</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makes</w:t>
      </w:r>
      <w:proofErr w:type="spellEnd"/>
      <w:r>
        <w:rPr>
          <w:rFonts w:ascii="Times New Roman" w:eastAsia="Times New Roman" w:hAnsi="Times New Roman" w:cs="Times New Roman"/>
          <w:i/>
          <w:sz w:val="22"/>
          <w:szCs w:val="22"/>
        </w:rPr>
        <w:t xml:space="preserve"> a </w:t>
      </w:r>
      <w:proofErr w:type="spellStart"/>
      <w:r>
        <w:rPr>
          <w:rFonts w:ascii="Times New Roman" w:eastAsia="Times New Roman" w:hAnsi="Times New Roman" w:cs="Times New Roman"/>
          <w:i/>
          <w:sz w:val="22"/>
          <w:szCs w:val="22"/>
        </w:rPr>
        <w:t>bibliographical</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review</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and</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historical</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survey</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about</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waste</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treatment</w:t>
      </w:r>
      <w:proofErr w:type="spellEnd"/>
      <w:r>
        <w:rPr>
          <w:rFonts w:ascii="Times New Roman" w:eastAsia="Times New Roman" w:hAnsi="Times New Roman" w:cs="Times New Roman"/>
          <w:i/>
          <w:sz w:val="22"/>
          <w:szCs w:val="22"/>
        </w:rPr>
        <w:t xml:space="preserve"> in Goiânia, </w:t>
      </w:r>
      <w:proofErr w:type="spellStart"/>
      <w:r>
        <w:rPr>
          <w:rFonts w:ascii="Times New Roman" w:eastAsia="Times New Roman" w:hAnsi="Times New Roman" w:cs="Times New Roman"/>
          <w:i/>
          <w:sz w:val="22"/>
          <w:szCs w:val="22"/>
        </w:rPr>
        <w:t>exposes</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guidelines</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and</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results</w:t>
      </w:r>
      <w:proofErr w:type="spellEnd"/>
      <w:r>
        <w:rPr>
          <w:rFonts w:ascii="Times New Roman" w:eastAsia="Times New Roman" w:hAnsi="Times New Roman" w:cs="Times New Roman"/>
          <w:i/>
          <w:sz w:val="22"/>
          <w:szCs w:val="22"/>
        </w:rPr>
        <w:t xml:space="preserve"> in </w:t>
      </w:r>
      <w:proofErr w:type="spellStart"/>
      <w:r>
        <w:rPr>
          <w:rFonts w:ascii="Times New Roman" w:eastAsia="Times New Roman" w:hAnsi="Times New Roman" w:cs="Times New Roman"/>
          <w:i/>
          <w:sz w:val="22"/>
          <w:szCs w:val="22"/>
        </w:rPr>
        <w:t>the</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proposal</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of</w:t>
      </w:r>
      <w:proofErr w:type="spellEnd"/>
      <w:r>
        <w:rPr>
          <w:rFonts w:ascii="Times New Roman" w:eastAsia="Times New Roman" w:hAnsi="Times New Roman" w:cs="Times New Roman"/>
          <w:i/>
          <w:sz w:val="22"/>
          <w:szCs w:val="22"/>
        </w:rPr>
        <w:t xml:space="preserve"> a </w:t>
      </w:r>
      <w:proofErr w:type="spellStart"/>
      <w:r>
        <w:rPr>
          <w:rFonts w:ascii="Times New Roman" w:eastAsia="Times New Roman" w:hAnsi="Times New Roman" w:cs="Times New Roman"/>
          <w:i/>
          <w:sz w:val="22"/>
          <w:szCs w:val="22"/>
        </w:rPr>
        <w:t>project</w:t>
      </w:r>
      <w:proofErr w:type="spellEnd"/>
      <w:r>
        <w:rPr>
          <w:rFonts w:ascii="Times New Roman" w:eastAsia="Times New Roman" w:hAnsi="Times New Roman" w:cs="Times New Roman"/>
          <w:i/>
          <w:sz w:val="22"/>
          <w:szCs w:val="22"/>
        </w:rPr>
        <w:t xml:space="preserve"> f</w:t>
      </w:r>
      <w:r>
        <w:rPr>
          <w:rFonts w:ascii="Times New Roman" w:eastAsia="Times New Roman" w:hAnsi="Times New Roman" w:cs="Times New Roman"/>
          <w:i/>
          <w:sz w:val="22"/>
          <w:szCs w:val="22"/>
        </w:rPr>
        <w:t xml:space="preserve">or </w:t>
      </w:r>
      <w:proofErr w:type="spellStart"/>
      <w:r>
        <w:rPr>
          <w:rFonts w:ascii="Times New Roman" w:eastAsia="Times New Roman" w:hAnsi="Times New Roman" w:cs="Times New Roman"/>
          <w:i/>
          <w:sz w:val="22"/>
          <w:szCs w:val="22"/>
        </w:rPr>
        <w:t>recycling</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solid</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waste</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from</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construction</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and</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demolition</w:t>
      </w:r>
      <w:proofErr w:type="spellEnd"/>
      <w:r>
        <w:rPr>
          <w:rFonts w:ascii="Times New Roman" w:eastAsia="Times New Roman" w:hAnsi="Times New Roman" w:cs="Times New Roman"/>
          <w:i/>
          <w:sz w:val="22"/>
          <w:szCs w:val="22"/>
        </w:rPr>
        <w:t>.</w:t>
      </w:r>
    </w:p>
    <w:p w14:paraId="4BC4BA95" w14:textId="77777777" w:rsidR="00190774" w:rsidRDefault="00190774">
      <w:pPr>
        <w:rPr>
          <w:rFonts w:ascii="Times New Roman" w:eastAsia="Times New Roman" w:hAnsi="Times New Roman" w:cs="Times New Roman"/>
          <w:color w:val="A6A6A6"/>
        </w:rPr>
      </w:pPr>
    </w:p>
    <w:p w14:paraId="5536D5B2" w14:textId="77777777" w:rsidR="00190774" w:rsidRDefault="00A55055">
      <w:pPr>
        <w:rPr>
          <w:rFonts w:ascii="Times New Roman" w:eastAsia="Times New Roman" w:hAnsi="Times New Roman" w:cs="Times New Roman"/>
        </w:rPr>
      </w:pPr>
      <w:proofErr w:type="spellStart"/>
      <w:r>
        <w:rPr>
          <w:rFonts w:ascii="Times New Roman" w:eastAsia="Times New Roman" w:hAnsi="Times New Roman" w:cs="Times New Roman"/>
          <w:b/>
          <w:i/>
        </w:rPr>
        <w:t>Keywords</w:t>
      </w:r>
      <w:proofErr w:type="spellEnd"/>
      <w:r>
        <w:rPr>
          <w:rFonts w:ascii="Times New Roman" w:eastAsia="Times New Roman" w:hAnsi="Times New Roman" w:cs="Times New Roman"/>
          <w:b/>
          <w:i/>
        </w:rPr>
        <w:t xml:space="preserve">: </w:t>
      </w:r>
      <w:r>
        <w:rPr>
          <w:rFonts w:ascii="Times New Roman" w:eastAsia="Times New Roman" w:hAnsi="Times New Roman" w:cs="Times New Roman"/>
          <w:i/>
          <w:sz w:val="22"/>
          <w:szCs w:val="22"/>
        </w:rPr>
        <w:t xml:space="preserve">RSCD; </w:t>
      </w:r>
      <w:proofErr w:type="spellStart"/>
      <w:r>
        <w:rPr>
          <w:rFonts w:ascii="Times New Roman" w:eastAsia="Times New Roman" w:hAnsi="Times New Roman" w:cs="Times New Roman"/>
          <w:i/>
          <w:sz w:val="22"/>
          <w:szCs w:val="22"/>
        </w:rPr>
        <w:t>Architecture</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Recycling</w:t>
      </w:r>
      <w:proofErr w:type="spellEnd"/>
      <w:r>
        <w:rPr>
          <w:rFonts w:ascii="Times New Roman" w:eastAsia="Times New Roman" w:hAnsi="Times New Roman" w:cs="Times New Roman"/>
          <w:i/>
          <w:sz w:val="22"/>
          <w:szCs w:val="22"/>
        </w:rPr>
        <w:t xml:space="preserve"> </w:t>
      </w:r>
      <w:proofErr w:type="spellStart"/>
      <w:r>
        <w:rPr>
          <w:rFonts w:ascii="Times New Roman" w:eastAsia="Times New Roman" w:hAnsi="Times New Roman" w:cs="Times New Roman"/>
          <w:i/>
          <w:sz w:val="22"/>
          <w:szCs w:val="22"/>
        </w:rPr>
        <w:t>plant</w:t>
      </w:r>
      <w:proofErr w:type="spellEnd"/>
      <w:r>
        <w:rPr>
          <w:rFonts w:ascii="Times New Roman" w:eastAsia="Times New Roman" w:hAnsi="Times New Roman" w:cs="Times New Roman"/>
          <w:sz w:val="22"/>
          <w:szCs w:val="22"/>
        </w:rPr>
        <w:t>.</w:t>
      </w:r>
    </w:p>
    <w:p w14:paraId="33B0F943" w14:textId="77777777" w:rsidR="00190774" w:rsidRDefault="00190774">
      <w:pPr>
        <w:rPr>
          <w:rFonts w:ascii="Times New Roman" w:eastAsia="Times New Roman" w:hAnsi="Times New Roman" w:cs="Times New Roman"/>
          <w:b/>
        </w:rPr>
      </w:pPr>
    </w:p>
    <w:p w14:paraId="275752E3" w14:textId="77777777" w:rsidR="00190774" w:rsidRDefault="00190774">
      <w:pPr>
        <w:rPr>
          <w:rFonts w:ascii="Times New Roman" w:eastAsia="Times New Roman" w:hAnsi="Times New Roman" w:cs="Times New Roman"/>
          <w:b/>
        </w:rPr>
      </w:pPr>
    </w:p>
    <w:p w14:paraId="5C13963F" w14:textId="77777777" w:rsidR="00190774" w:rsidRDefault="00A55055">
      <w:pPr>
        <w:numPr>
          <w:ilvl w:val="0"/>
          <w:numId w:val="1"/>
        </w:numPr>
        <w:pBdr>
          <w:top w:val="nil"/>
          <w:left w:val="nil"/>
          <w:bottom w:val="nil"/>
          <w:right w:val="nil"/>
          <w:between w:val="nil"/>
        </w:pBdr>
        <w:ind w:left="0" w:firstLine="284"/>
        <w:jc w:val="left"/>
        <w:rPr>
          <w:rFonts w:ascii="Times New Roman" w:eastAsia="Times New Roman" w:hAnsi="Times New Roman" w:cs="Times New Roman"/>
          <w:b/>
          <w:color w:val="000000"/>
        </w:rPr>
      </w:pPr>
      <w:r>
        <w:rPr>
          <w:rFonts w:ascii="Times New Roman" w:eastAsia="Times New Roman" w:hAnsi="Times New Roman" w:cs="Times New Roman"/>
          <w:b/>
          <w:color w:val="000000"/>
        </w:rPr>
        <w:t>Introdução</w:t>
      </w:r>
    </w:p>
    <w:p w14:paraId="7677C92C" w14:textId="77777777" w:rsidR="00190774" w:rsidRDefault="00190774">
      <w:pPr>
        <w:ind w:firstLine="284"/>
        <w:rPr>
          <w:rFonts w:ascii="Times New Roman" w:eastAsia="Times New Roman" w:hAnsi="Times New Roman" w:cs="Times New Roman"/>
        </w:rPr>
      </w:pPr>
    </w:p>
    <w:p w14:paraId="6C6D9877" w14:textId="77777777" w:rsidR="00190774" w:rsidRDefault="00A55055">
      <w:pPr>
        <w:ind w:firstLine="284"/>
        <w:rPr>
          <w:rFonts w:ascii="Times New Roman" w:eastAsia="Times New Roman" w:hAnsi="Times New Roman" w:cs="Times New Roman"/>
          <w:color w:val="E36C09"/>
        </w:rPr>
      </w:pPr>
      <w:r>
        <w:rPr>
          <w:rFonts w:ascii="Times New Roman" w:eastAsia="Times New Roman" w:hAnsi="Times New Roman" w:cs="Times New Roman"/>
        </w:rPr>
        <w:t xml:space="preserve">Arquitetos e Urbanistas estão conectados ao processo de idealização de projetos dos mais diversos tipos e complexidades. Ao longo dos </w:t>
      </w:r>
      <w:r>
        <w:rPr>
          <w:rFonts w:ascii="Times New Roman" w:eastAsia="Times New Roman" w:hAnsi="Times New Roman" w:cs="Times New Roman"/>
        </w:rPr>
        <w:t>anos de graduação são instigados a explorar e investigar cada vez mais o universo deste específico campo. Criam, imaginam e realizam transformações no espaço, porém, poucos questionam sobre o que acontecerá depois das edificações construídas, das obras urb</w:t>
      </w:r>
      <w:r>
        <w:rPr>
          <w:rFonts w:ascii="Times New Roman" w:eastAsia="Times New Roman" w:hAnsi="Times New Roman" w:cs="Times New Roman"/>
        </w:rPr>
        <w:t>anísticas finalizadas e possíveis alterações futuras, demolições, reconstruções ou adaptações de espaços para novos usos. Estas transformações físicas passam, necessariamente, por processos de construção e demolição, gerando resíduos sólidos decorrentes da</w:t>
      </w:r>
      <w:r>
        <w:rPr>
          <w:rFonts w:ascii="Times New Roman" w:eastAsia="Times New Roman" w:hAnsi="Times New Roman" w:cs="Times New Roman"/>
        </w:rPr>
        <w:t>s operações.</w:t>
      </w:r>
    </w:p>
    <w:p w14:paraId="437EF442" w14:textId="77777777" w:rsidR="00190774" w:rsidRDefault="00A55055">
      <w:pPr>
        <w:ind w:firstLine="284"/>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 indústria da construção consome 40% dos materiais globais e produz boa parte dos resíduos do planeta (RIOS; GRAU e CHONG, 2019). </w:t>
      </w:r>
      <w:proofErr w:type="spellStart"/>
      <w:r>
        <w:rPr>
          <w:rFonts w:ascii="Times New Roman" w:eastAsia="Times New Roman" w:hAnsi="Times New Roman" w:cs="Times New Roman"/>
          <w:highlight w:val="white"/>
        </w:rPr>
        <w:t>Honic</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Kovacic</w:t>
      </w:r>
      <w:proofErr w:type="spellEnd"/>
      <w:r>
        <w:rPr>
          <w:rFonts w:ascii="Times New Roman" w:eastAsia="Times New Roman" w:hAnsi="Times New Roman" w:cs="Times New Roman"/>
          <w:highlight w:val="white"/>
        </w:rPr>
        <w:t xml:space="preserve"> e </w:t>
      </w:r>
      <w:proofErr w:type="spellStart"/>
      <w:r>
        <w:rPr>
          <w:rFonts w:ascii="Times New Roman" w:eastAsia="Times New Roman" w:hAnsi="Times New Roman" w:cs="Times New Roman"/>
          <w:highlight w:val="white"/>
        </w:rPr>
        <w:t>Rechberger</w:t>
      </w:r>
      <w:proofErr w:type="spellEnd"/>
      <w:r>
        <w:rPr>
          <w:rFonts w:ascii="Times New Roman" w:eastAsia="Times New Roman" w:hAnsi="Times New Roman" w:cs="Times New Roman"/>
          <w:highlight w:val="white"/>
        </w:rPr>
        <w:t xml:space="preserve"> (2019), expressam que, por razões de sustentabilidade, é importante reciclar e por c</w:t>
      </w:r>
      <w:r>
        <w:rPr>
          <w:rFonts w:ascii="Times New Roman" w:eastAsia="Times New Roman" w:hAnsi="Times New Roman" w:cs="Times New Roman"/>
          <w:highlight w:val="white"/>
        </w:rPr>
        <w:t>onsequência, minimizar o uso de recursos primários.</w:t>
      </w:r>
    </w:p>
    <w:p w14:paraId="786D5885" w14:textId="77777777" w:rsidR="00190774" w:rsidRDefault="00A55055">
      <w:pPr>
        <w:ind w:firstLine="284"/>
        <w:rPr>
          <w:rFonts w:ascii="Times New Roman" w:eastAsia="Times New Roman" w:hAnsi="Times New Roman" w:cs="Times New Roman"/>
          <w:highlight w:val="white"/>
        </w:rPr>
      </w:pPr>
      <w:r>
        <w:rPr>
          <w:rFonts w:ascii="Times New Roman" w:eastAsia="Times New Roman" w:hAnsi="Times New Roman" w:cs="Times New Roman"/>
          <w:highlight w:val="white"/>
        </w:rPr>
        <w:t>A necessidade de atender ao aumento das exigências por parte das entidades governamentais e da sociedade quanto à redução do impacto ambiental e econômico causado pela grande quantidade de resíduos de con</w:t>
      </w:r>
      <w:r>
        <w:rPr>
          <w:rFonts w:ascii="Times New Roman" w:eastAsia="Times New Roman" w:hAnsi="Times New Roman" w:cs="Times New Roman"/>
          <w:highlight w:val="white"/>
        </w:rPr>
        <w:t xml:space="preserve">strução e demolição gerados e descartados inadequadamente no meio ambiente torna-se cada vez mais latente na sociedade atual, embora já exista uma legislação rigorosa em vigor, a sua aplicação ainda pode ser considerada incipiente (DE OLIVEIRA </w:t>
      </w:r>
      <w:r>
        <w:rPr>
          <w:rFonts w:ascii="Times New Roman" w:eastAsia="Times New Roman" w:hAnsi="Times New Roman" w:cs="Times New Roman"/>
          <w:i/>
          <w:highlight w:val="white"/>
        </w:rPr>
        <w:t>et al</w:t>
      </w:r>
      <w:r>
        <w:rPr>
          <w:rFonts w:ascii="Times New Roman" w:eastAsia="Times New Roman" w:hAnsi="Times New Roman" w:cs="Times New Roman"/>
          <w:highlight w:val="white"/>
        </w:rPr>
        <w:t>., 2023</w:t>
      </w:r>
      <w:r>
        <w:rPr>
          <w:rFonts w:ascii="Times New Roman" w:eastAsia="Times New Roman" w:hAnsi="Times New Roman" w:cs="Times New Roman"/>
          <w:highlight w:val="white"/>
        </w:rPr>
        <w:t>).</w:t>
      </w:r>
    </w:p>
    <w:p w14:paraId="15E9F0A3"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Os resíduos gerados pela indústria da construção civil, representam mais da metade de todos os resíduos gerados no país e resultam em impactos no meio natural, na cidade e na sociedade (PINTO, 1999). Portanto, faz-se necessário pensar em soluções de ger</w:t>
      </w:r>
      <w:r>
        <w:rPr>
          <w:rFonts w:ascii="Times New Roman" w:eastAsia="Times New Roman" w:hAnsi="Times New Roman" w:cs="Times New Roman"/>
        </w:rPr>
        <w:t>enciamento dos resíduos sólidos de construção civil, a partir de articulação entre instâncias político-governamentais, socioculturais, econômicas e técnicas, por meio de soluções arquitetônicas e da engenharia.</w:t>
      </w:r>
    </w:p>
    <w:p w14:paraId="4AC15CAE" w14:textId="77777777" w:rsidR="00190774" w:rsidRDefault="00A55055">
      <w:pPr>
        <w:ind w:firstLine="284"/>
        <w:rPr>
          <w:rFonts w:ascii="Times New Roman" w:eastAsia="Times New Roman" w:hAnsi="Times New Roman" w:cs="Times New Roman"/>
          <w:highlight w:val="white"/>
        </w:rPr>
      </w:pPr>
      <w:r>
        <w:rPr>
          <w:rFonts w:ascii="Times New Roman" w:eastAsia="Times New Roman" w:hAnsi="Times New Roman" w:cs="Times New Roman"/>
          <w:highlight w:val="white"/>
        </w:rPr>
        <w:lastRenderedPageBreak/>
        <w:t>O arquiteto João da Gama Filgueiras Lima, o L</w:t>
      </w:r>
      <w:r>
        <w:rPr>
          <w:rFonts w:ascii="Times New Roman" w:eastAsia="Times New Roman" w:hAnsi="Times New Roman" w:cs="Times New Roman"/>
          <w:highlight w:val="white"/>
        </w:rPr>
        <w:t>elé, demonstrou que a arquitetura não deve ser desvinculada de questões ambientais, pois estas preservam recursos e humanizam projetos. Lelé</w:t>
      </w:r>
      <w:r>
        <w:rPr>
          <w:rFonts w:ascii="Times New Roman" w:eastAsia="Times New Roman" w:hAnsi="Times New Roman" w:cs="Times New Roman"/>
          <w:color w:val="FF0000"/>
          <w:highlight w:val="white"/>
        </w:rPr>
        <w:t xml:space="preserve"> </w:t>
      </w:r>
      <w:r>
        <w:rPr>
          <w:rFonts w:ascii="Times New Roman" w:eastAsia="Times New Roman" w:hAnsi="Times New Roman" w:cs="Times New Roman"/>
          <w:highlight w:val="white"/>
        </w:rPr>
        <w:t>uniu</w:t>
      </w:r>
      <w:r>
        <w:rPr>
          <w:rFonts w:ascii="Times New Roman" w:eastAsia="Times New Roman" w:hAnsi="Times New Roman" w:cs="Times New Roman"/>
          <w:color w:val="FF0000"/>
          <w:highlight w:val="white"/>
        </w:rPr>
        <w:t xml:space="preserve"> </w:t>
      </w:r>
      <w:r>
        <w:rPr>
          <w:rFonts w:ascii="Times New Roman" w:eastAsia="Times New Roman" w:hAnsi="Times New Roman" w:cs="Times New Roman"/>
          <w:highlight w:val="white"/>
        </w:rPr>
        <w:t xml:space="preserve">concepção, projeto, construção, questões climáticas, otimização de matéria-prima, qualidade técnica e </w:t>
      </w:r>
      <w:r>
        <w:rPr>
          <w:rFonts w:ascii="Times New Roman" w:eastAsia="Times New Roman" w:hAnsi="Times New Roman" w:cs="Times New Roman"/>
          <w:highlight w:val="white"/>
        </w:rPr>
        <w:t>artística, ventilação e iluminação naturais, eficiência energética e bem-estar em ambientes. A arquitetura e os princípios de Lelé, possuem relação com este trabalho, ressaltando a necessidade de conceder mais oportunidades a profissionais com visão sistêm</w:t>
      </w:r>
      <w:r>
        <w:rPr>
          <w:rFonts w:ascii="Times New Roman" w:eastAsia="Times New Roman" w:hAnsi="Times New Roman" w:cs="Times New Roman"/>
          <w:highlight w:val="white"/>
        </w:rPr>
        <w:t>ica, preocupados com a sustentabilidade socioambiental.</w:t>
      </w:r>
    </w:p>
    <w:p w14:paraId="770D5347" w14:textId="77777777" w:rsidR="00190774" w:rsidRDefault="00190774">
      <w:pPr>
        <w:ind w:firstLine="284"/>
        <w:rPr>
          <w:rFonts w:ascii="Times New Roman" w:eastAsia="Times New Roman" w:hAnsi="Times New Roman" w:cs="Times New Roman"/>
          <w:highlight w:val="white"/>
        </w:rPr>
      </w:pPr>
    </w:p>
    <w:p w14:paraId="5540C35A" w14:textId="77777777" w:rsidR="00190774" w:rsidRDefault="00A55055">
      <w:pPr>
        <w:ind w:firstLine="284"/>
        <w:jc w:val="left"/>
        <w:rPr>
          <w:rFonts w:ascii="Times New Roman" w:eastAsia="Times New Roman" w:hAnsi="Times New Roman" w:cs="Times New Roman"/>
          <w:b/>
        </w:rPr>
      </w:pPr>
      <w:r>
        <w:rPr>
          <w:rFonts w:ascii="Times New Roman" w:eastAsia="Times New Roman" w:hAnsi="Times New Roman" w:cs="Times New Roman"/>
          <w:b/>
        </w:rPr>
        <w:t>1.1 Problemática, justificativa, objetivos</w:t>
      </w:r>
    </w:p>
    <w:p w14:paraId="30933793"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Sabe-se que a construção civil está relacionada a grandes impactos no meio ambiente, seja pela extração de matérias-primas não renováveis, para a produção d</w:t>
      </w:r>
      <w:r>
        <w:rPr>
          <w:rFonts w:ascii="Times New Roman" w:eastAsia="Times New Roman" w:hAnsi="Times New Roman" w:cs="Times New Roman"/>
        </w:rPr>
        <w:t>e insumos de construção, ou pelo descarte inapropriado destes materiais. No Brasil, os resíduos gerados pela indústria da construção civil podem representar de 54% a 70% do total de Resíduos Sólidos Urbanos (RSU) gerados em todo o país (PINTO, 1999). Grand</w:t>
      </w:r>
      <w:r>
        <w:rPr>
          <w:rFonts w:ascii="Times New Roman" w:eastAsia="Times New Roman" w:hAnsi="Times New Roman" w:cs="Times New Roman"/>
        </w:rPr>
        <w:t xml:space="preserve">e volume deste material é destinado a aterros de inertes, intensificando a demanda por extensas áreas para sua disposição. Apesar da existência de locais específicos para tratamento e acondicionamento dos resíduos de construção civil (RCC), muitas cidades </w:t>
      </w:r>
      <w:r>
        <w:rPr>
          <w:rFonts w:ascii="Times New Roman" w:eastAsia="Times New Roman" w:hAnsi="Times New Roman" w:cs="Times New Roman"/>
        </w:rPr>
        <w:t>brasileiras enfrentam a realidade do descarte irregular e clandestino.</w:t>
      </w:r>
      <w:r>
        <w:rPr>
          <w:rFonts w:ascii="Times New Roman" w:eastAsia="Times New Roman" w:hAnsi="Times New Roman" w:cs="Times New Roman"/>
          <w:color w:val="E36C09"/>
        </w:rPr>
        <w:t xml:space="preserve"> </w:t>
      </w:r>
    </w:p>
    <w:p w14:paraId="1AC7E11D"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A falta de conscientização ambiental resulta na disposição destes materiais em vias públicas, lotes baldios, margens e leitos de córregos, contribuindo para a degradação do solo, assor</w:t>
      </w:r>
      <w:r>
        <w:rPr>
          <w:rFonts w:ascii="Times New Roman" w:eastAsia="Times New Roman" w:hAnsi="Times New Roman" w:cs="Times New Roman"/>
        </w:rPr>
        <w:t>eamento dos rios, enchentes e proliferação de vetores transmissores de doenças, outro agravante é a falta de integração entre poder público, os transportadores de entulhos e a população enquanto geradora, que interfere diretamente no gerenciamento adequado</w:t>
      </w:r>
      <w:r>
        <w:rPr>
          <w:rFonts w:ascii="Times New Roman" w:eastAsia="Times New Roman" w:hAnsi="Times New Roman" w:cs="Times New Roman"/>
        </w:rPr>
        <w:t xml:space="preserve"> dos resíduos, pois, há pouca conscientização popular acerca dos tipos e particularidades destes materiais. </w:t>
      </w:r>
    </w:p>
    <w:p w14:paraId="0113DFCB"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 xml:space="preserve">Além dos benefícios ao meio ambiente, a reciclagem de RSCD pode trazer economia aos cofres públicos por meio da utilização de agregados reciclados </w:t>
      </w:r>
      <w:r>
        <w:rPr>
          <w:rFonts w:ascii="Times New Roman" w:eastAsia="Times New Roman" w:hAnsi="Times New Roman" w:cs="Times New Roman"/>
        </w:rPr>
        <w:t>para pavimentação de vias, produção de artefatos como meio-fio, tubulação para rede de drenagem, manutenção de praças entre outros. No município de Goiânia – GO, grande parte dos resíduos de construção e demolição ainda é levada para o aterro e é utilizada</w:t>
      </w:r>
      <w:r>
        <w:rPr>
          <w:rFonts w:ascii="Times New Roman" w:eastAsia="Times New Roman" w:hAnsi="Times New Roman" w:cs="Times New Roman"/>
        </w:rPr>
        <w:t xml:space="preserve"> para cobrir resíduos orgânicos, o que configura um problema. Procedimentos como este são proibidos desde 2002, quando foi publicada a Resolução nº 307 do Conselho Nacional de Meio Ambiente (CONAMA).</w:t>
      </w:r>
    </w:p>
    <w:p w14:paraId="727D2272"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Diante deste cenário, o principal objetivo é abordar, po</w:t>
      </w:r>
      <w:r>
        <w:rPr>
          <w:rFonts w:ascii="Times New Roman" w:eastAsia="Times New Roman" w:hAnsi="Times New Roman" w:cs="Times New Roman"/>
        </w:rPr>
        <w:t>r meio de revisão bibliográfica, como vem sendo tratada a questão do descarte de resíduos urbanos e os de construção e demolição em Goiânia e propor o projeto de uma usina de reciclagem de RSCD para a cidade.</w:t>
      </w:r>
    </w:p>
    <w:p w14:paraId="459F55FE" w14:textId="77777777" w:rsidR="00190774" w:rsidRDefault="00190774">
      <w:pPr>
        <w:jc w:val="left"/>
        <w:rPr>
          <w:rFonts w:ascii="Times New Roman" w:eastAsia="Times New Roman" w:hAnsi="Times New Roman" w:cs="Times New Roman"/>
          <w:b/>
        </w:rPr>
      </w:pPr>
    </w:p>
    <w:p w14:paraId="0CB2C9EB" w14:textId="77777777" w:rsidR="00190774" w:rsidRDefault="00A55055">
      <w:pPr>
        <w:numPr>
          <w:ilvl w:val="0"/>
          <w:numId w:val="1"/>
        </w:numPr>
        <w:pBdr>
          <w:top w:val="nil"/>
          <w:left w:val="nil"/>
          <w:bottom w:val="nil"/>
          <w:right w:val="nil"/>
          <w:between w:val="nil"/>
        </w:pBdr>
        <w:ind w:left="0" w:firstLine="284"/>
        <w:jc w:val="left"/>
        <w:rPr>
          <w:rFonts w:ascii="Times New Roman" w:eastAsia="Times New Roman" w:hAnsi="Times New Roman" w:cs="Times New Roman"/>
          <w:b/>
          <w:color w:val="000000"/>
        </w:rPr>
      </w:pPr>
      <w:r>
        <w:rPr>
          <w:rFonts w:ascii="Times New Roman" w:eastAsia="Times New Roman" w:hAnsi="Times New Roman" w:cs="Times New Roman"/>
          <w:b/>
          <w:color w:val="000000"/>
        </w:rPr>
        <w:t>Revisão da bibliografia</w:t>
      </w:r>
    </w:p>
    <w:p w14:paraId="41F8EB47" w14:textId="77777777" w:rsidR="00190774" w:rsidRDefault="00190774">
      <w:pPr>
        <w:pBdr>
          <w:top w:val="nil"/>
          <w:left w:val="nil"/>
          <w:bottom w:val="nil"/>
          <w:right w:val="nil"/>
          <w:between w:val="nil"/>
        </w:pBdr>
        <w:ind w:firstLine="284"/>
        <w:jc w:val="left"/>
        <w:rPr>
          <w:rFonts w:ascii="Times New Roman" w:eastAsia="Times New Roman" w:hAnsi="Times New Roman" w:cs="Times New Roman"/>
          <w:b/>
          <w:color w:val="000000"/>
        </w:rPr>
      </w:pPr>
    </w:p>
    <w:p w14:paraId="0566D166"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lastRenderedPageBreak/>
        <w:t>A cadeia produtiva da indústria da construção civil representa um importante papel na sociedade e na economia. A construção civil é responsável por estabelecer sistemas de infraestruturas bem como proporcionar lazer, produção industrial e atender à demanda</w:t>
      </w:r>
      <w:r>
        <w:rPr>
          <w:rFonts w:ascii="Times New Roman" w:eastAsia="Times New Roman" w:hAnsi="Times New Roman" w:cs="Times New Roman"/>
        </w:rPr>
        <w:t xml:space="preserve"> por moradia. Apesar de sua relevância para economia e sociedade de modo geral, a construção civil também é responsável por causar grandes impactos ao meio natural. A ocupação de terras, a intensa extração de recursos naturais de origem não renovável, o pr</w:t>
      </w:r>
      <w:r>
        <w:rPr>
          <w:rFonts w:ascii="Times New Roman" w:eastAsia="Times New Roman" w:hAnsi="Times New Roman" w:cs="Times New Roman"/>
        </w:rPr>
        <w:t xml:space="preserve">ocesso de produção, utilização e transporte dos insumos para construção, bem como o alto consumo de energia e o grande volume de resíduos gerados são exemplos dos impactos causados pela indústria da construção civil ao meio ambiente (BLUMENSCHEIN, 2004). </w:t>
      </w:r>
    </w:p>
    <w:p w14:paraId="547BD7EC" w14:textId="77777777" w:rsidR="00190774" w:rsidRDefault="00A55055">
      <w:pPr>
        <w:ind w:firstLine="284"/>
        <w:rPr>
          <w:rFonts w:ascii="Times New Roman" w:eastAsia="Times New Roman" w:hAnsi="Times New Roman" w:cs="Times New Roman"/>
          <w:color w:val="F79646"/>
        </w:rPr>
      </w:pPr>
      <w:r>
        <w:rPr>
          <w:rFonts w:ascii="Times New Roman" w:eastAsia="Times New Roman" w:hAnsi="Times New Roman" w:cs="Times New Roman"/>
        </w:rPr>
        <w:t>Dentro dos processos da indústria da construção civil o gerenciamento de resíduos sólidos possibilita a diminuição dos impactos causados principalmente no que tange à extração de recursos naturais como cascalho e areia, e à disposição dos resíduos em áreas</w:t>
      </w:r>
      <w:r>
        <w:rPr>
          <w:rFonts w:ascii="Times New Roman" w:eastAsia="Times New Roman" w:hAnsi="Times New Roman" w:cs="Times New Roman"/>
        </w:rPr>
        <w:t xml:space="preserve"> de aterro.</w:t>
      </w:r>
      <w:r>
        <w:rPr>
          <w:rFonts w:ascii="Times New Roman" w:eastAsia="Times New Roman" w:hAnsi="Times New Roman" w:cs="Times New Roman"/>
          <w:color w:val="F79646"/>
        </w:rPr>
        <w:t xml:space="preserve"> </w:t>
      </w:r>
      <w:r>
        <w:rPr>
          <w:rFonts w:ascii="Times New Roman" w:eastAsia="Times New Roman" w:hAnsi="Times New Roman" w:cs="Times New Roman"/>
        </w:rPr>
        <w:t>Conforme Blumenschein (2007), os resíduos de construção e demolição, representam importante parcela no total de resíduos urbanos gerados no país, podendo compor de 40% a 70% da massa total de RSU. Considerando que cerca de 50% do entulho gerado</w:t>
      </w:r>
      <w:r>
        <w:rPr>
          <w:rFonts w:ascii="Times New Roman" w:eastAsia="Times New Roman" w:hAnsi="Times New Roman" w:cs="Times New Roman"/>
        </w:rPr>
        <w:t xml:space="preserve"> é disposto de forma irregular ou clandestina na maior parte das cidades brasileiras, a gestão dos resíduos sólidos de construção e demolição é um grande desafio para o Brasil como um todo. </w:t>
      </w:r>
    </w:p>
    <w:p w14:paraId="2E175679"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A Associação Brasileira de Empresas de Limpeza Pública e Resíduos</w:t>
      </w:r>
      <w:r>
        <w:rPr>
          <w:rFonts w:ascii="Times New Roman" w:eastAsia="Times New Roman" w:hAnsi="Times New Roman" w:cs="Times New Roman"/>
        </w:rPr>
        <w:t xml:space="preserve"> Especiais - ABRELPE elabora um panorama sobre os resíduos urbanos coletados ao longo do ano pelos serviços de limpeza. A quantidade de RCD recolhida apenas em logradouros públicos evidencia a causa de muitos problemas na cidade, como as enchentes, e que r</w:t>
      </w:r>
      <w:r>
        <w:rPr>
          <w:rFonts w:ascii="Times New Roman" w:eastAsia="Times New Roman" w:hAnsi="Times New Roman" w:cs="Times New Roman"/>
        </w:rPr>
        <w:t>eflete a falta de conscientização ambiental por parte dos geradores.</w:t>
      </w:r>
    </w:p>
    <w:p w14:paraId="505D1C59"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 xml:space="preserve">O gerenciamento dos resíduos sólidos da construção civil no Brasil, começou a ganhar destaque a partir da Resolução nº 307 de 2002, do CONAMA, estabelecendo diretrizes e critérios para a </w:t>
      </w:r>
      <w:r>
        <w:rPr>
          <w:rFonts w:ascii="Times New Roman" w:eastAsia="Times New Roman" w:hAnsi="Times New Roman" w:cs="Times New Roman"/>
        </w:rPr>
        <w:t>gestão integrada dos resíduos sólidos da construção civil. O documento definiu os termos: resíduos de construção civil (RCC), geradores, transportadores, agregado reciclado, gerenciamento de resíduos, reutilização, reciclagem, beneficiamento, aterro de res</w:t>
      </w:r>
      <w:r>
        <w:rPr>
          <w:rFonts w:ascii="Times New Roman" w:eastAsia="Times New Roman" w:hAnsi="Times New Roman" w:cs="Times New Roman"/>
        </w:rPr>
        <w:t>íduos da construção civil e áreas de destinação de resíduos. Em consonância com esta resolução, a Associação Brasileira de Normas Técnicas (ABNT) elaborou em 2004 a NBR 10004, com o intuito de fornecer subsídios para o gerenciamento de resíduos sólidos e e</w:t>
      </w:r>
      <w:r>
        <w:rPr>
          <w:rFonts w:ascii="Times New Roman" w:eastAsia="Times New Roman" w:hAnsi="Times New Roman" w:cs="Times New Roman"/>
        </w:rPr>
        <w:t xml:space="preserve">stabelecer critérios de classificação e códigos para identificação de resíduos de acordo com sua classificação. As normas brasileiras publicadas posteriormente foram de extrema importância para orientar os projetos, implantações e manutenção de aterros de </w:t>
      </w:r>
      <w:r>
        <w:rPr>
          <w:rFonts w:ascii="Times New Roman" w:eastAsia="Times New Roman" w:hAnsi="Times New Roman" w:cs="Times New Roman"/>
        </w:rPr>
        <w:t>resíduos da construção civil e inertes, áreas de transbordo e triagem, áreas de reciclagem, além da caracterização e requisitos relacionados aos agregados reciclados produzidos e outros artefatos fabricados a partir deles.</w:t>
      </w:r>
    </w:p>
    <w:p w14:paraId="1F156B9C"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Em 2 de agosto de 2010, foi publi</w:t>
      </w:r>
      <w:r>
        <w:rPr>
          <w:rFonts w:ascii="Times New Roman" w:eastAsia="Times New Roman" w:hAnsi="Times New Roman" w:cs="Times New Roman"/>
        </w:rPr>
        <w:t xml:space="preserve">cada a Política Nacional de Resíduos Sólidos (PNRS), instituída pela Lei nº 12.305, que representou grande avanço no âmbito do gerenciamento de resíduos sólidos urbanos no Brasil. Esta lei abrangeu as responsabilidades dos geradores e colocou em evidência </w:t>
      </w:r>
      <w:r>
        <w:rPr>
          <w:rFonts w:ascii="Times New Roman" w:eastAsia="Times New Roman" w:hAnsi="Times New Roman" w:cs="Times New Roman"/>
        </w:rPr>
        <w:t xml:space="preserve">conceitos de poluidor-pagador e protetor-recebedor, desenvolvimento sustentável e apontou a importância do reconhecimento dos resíduos reutilizáveis e recicláveis como bem econômico e valor social, capaz de gerar trabalho, renda </w:t>
      </w:r>
      <w:r>
        <w:rPr>
          <w:rFonts w:ascii="Times New Roman" w:eastAsia="Times New Roman" w:hAnsi="Times New Roman" w:cs="Times New Roman"/>
        </w:rPr>
        <w:lastRenderedPageBreak/>
        <w:t>e cidadania. Foi enfatizada</w:t>
      </w:r>
      <w:r>
        <w:rPr>
          <w:rFonts w:ascii="Times New Roman" w:eastAsia="Times New Roman" w:hAnsi="Times New Roman" w:cs="Times New Roman"/>
        </w:rPr>
        <w:t xml:space="preserve"> a necessidade de articulação entre as diferentes esferas do poder público, e destas com o setor empresarial, bem como a criação de incentivos à indústria da reciclagem, com vistas à cooperação técnica e financeira para o desenvolvimento de sistemas de ges</w:t>
      </w:r>
      <w:r>
        <w:rPr>
          <w:rFonts w:ascii="Times New Roman" w:eastAsia="Times New Roman" w:hAnsi="Times New Roman" w:cs="Times New Roman"/>
        </w:rPr>
        <w:t>tão ambiental e empresarial focados na melhoria dos processos produtivos, reaproveitamento dos resíduos e eficiência energética, questões fundamentais para o fortalecimento da gestão integrada dos resíduos.</w:t>
      </w:r>
    </w:p>
    <w:p w14:paraId="13CDFB05"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Diante deste contexto, a implantação de usinas de</w:t>
      </w:r>
      <w:r>
        <w:rPr>
          <w:rFonts w:ascii="Times New Roman" w:eastAsia="Times New Roman" w:hAnsi="Times New Roman" w:cs="Times New Roman"/>
        </w:rPr>
        <w:t xml:space="preserve"> reciclagem de RSCD como parte do gerenciamento de RCD vem se tornando uma alternativa cada vez mais eficiente do ponto de vista ambiental, para reduzir significativamente a necessidade de extração de matérias-primas naturais e a destinação de grandes parc</w:t>
      </w:r>
      <w:r>
        <w:rPr>
          <w:rFonts w:ascii="Times New Roman" w:eastAsia="Times New Roman" w:hAnsi="Times New Roman" w:cs="Times New Roman"/>
        </w:rPr>
        <w:t>elas de terras para criação de aterros de inertes. Na perspectiva dos grandes centros urbanos, as usinas de reciclagem contribuem direta e indiretamente para a manutenção da limpeza pública e ainda podem fornecer insumos para realização de obras de infraes</w:t>
      </w:r>
      <w:r>
        <w:rPr>
          <w:rFonts w:ascii="Times New Roman" w:eastAsia="Times New Roman" w:hAnsi="Times New Roman" w:cs="Times New Roman"/>
        </w:rPr>
        <w:t xml:space="preserve">trutura e de programas sociais. </w:t>
      </w:r>
    </w:p>
    <w:p w14:paraId="60239CE5"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Segundo a Associação Brasileira para Reciclagem de Resíduos da Construção e Demolição (ABRECON), atualmente existem no Brasil cerca de 310 usinas de reciclagem de RCD, a maioria delas encontra-se em operação e estão localiz</w:t>
      </w:r>
      <w:r>
        <w:rPr>
          <w:rFonts w:ascii="Times New Roman" w:eastAsia="Times New Roman" w:hAnsi="Times New Roman" w:cs="Times New Roman"/>
        </w:rPr>
        <w:t>adas nas regiões sudeste e sul, sendo administradas por empresas privadas. A ABRECON ressalta que quando se pensa em construir uma usina de reciclagem de materiais provenientes da construção civil, surgem obstáculos advindos  da falta de conscientização do</w:t>
      </w:r>
      <w:r>
        <w:rPr>
          <w:rFonts w:ascii="Times New Roman" w:eastAsia="Times New Roman" w:hAnsi="Times New Roman" w:cs="Times New Roman"/>
        </w:rPr>
        <w:t xml:space="preserve">s próprios geradores - muitos deles não se preocupam em dar destinação correta aos </w:t>
      </w:r>
      <w:proofErr w:type="spellStart"/>
      <w:r>
        <w:rPr>
          <w:rFonts w:ascii="Times New Roman" w:eastAsia="Times New Roman" w:hAnsi="Times New Roman" w:cs="Times New Roman"/>
        </w:rPr>
        <w:t>RCD’s</w:t>
      </w:r>
      <w:proofErr w:type="spellEnd"/>
      <w:r>
        <w:rPr>
          <w:rFonts w:ascii="Times New Roman" w:eastAsia="Times New Roman" w:hAnsi="Times New Roman" w:cs="Times New Roman"/>
        </w:rPr>
        <w:t xml:space="preserve"> e dispõem esses materiais em lotes baldios, logradouros, calçadas ou beira de córregos – e da dificuldade em se obter um material separado adequadamente, antes de ser </w:t>
      </w:r>
      <w:r>
        <w:rPr>
          <w:rFonts w:ascii="Times New Roman" w:eastAsia="Times New Roman" w:hAnsi="Times New Roman" w:cs="Times New Roman"/>
        </w:rPr>
        <w:t>processado e transformado; em sua maioria o material descartado acaba sendo misturado a outros tipos de resíduos, o que compromete sua qualidade um tratamento e destinação mais apropriados.</w:t>
      </w:r>
    </w:p>
    <w:p w14:paraId="5146F23B"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Um dos fatores determinantes para o sucesso de uma usina em termos</w:t>
      </w:r>
      <w:r>
        <w:rPr>
          <w:rFonts w:ascii="Times New Roman" w:eastAsia="Times New Roman" w:hAnsi="Times New Roman" w:cs="Times New Roman"/>
        </w:rPr>
        <w:t xml:space="preserve"> de custo benefício está relacionado aos materiais que são produzidos por ela, como ainda não são de conhecimento de grande parte da população, estes produtos definidos como agregados reciclados sofrem grande preconceito por muitas vezes serem confundidos </w:t>
      </w:r>
      <w:r>
        <w:rPr>
          <w:rFonts w:ascii="Times New Roman" w:eastAsia="Times New Roman" w:hAnsi="Times New Roman" w:cs="Times New Roman"/>
        </w:rPr>
        <w:t>com lixo e, consequentemente, não apresentam saída expressiva para o mercado da construção civil, diretamente ligado a isso é necessário investir em laboratórios de ensaio voltados para realização de testes de qualidade nestes produtos a fim de gerar maior</w:t>
      </w:r>
      <w:r>
        <w:rPr>
          <w:rFonts w:ascii="Times New Roman" w:eastAsia="Times New Roman" w:hAnsi="Times New Roman" w:cs="Times New Roman"/>
        </w:rPr>
        <w:t xml:space="preserve"> credibilidade e mais inserção no mercado.</w:t>
      </w:r>
    </w:p>
    <w:p w14:paraId="29C790A2" w14:textId="77777777" w:rsidR="00190774" w:rsidRDefault="00190774">
      <w:pPr>
        <w:ind w:firstLine="284"/>
        <w:rPr>
          <w:rFonts w:ascii="Times New Roman" w:eastAsia="Times New Roman" w:hAnsi="Times New Roman" w:cs="Times New Roman"/>
        </w:rPr>
      </w:pPr>
    </w:p>
    <w:p w14:paraId="68047077" w14:textId="77777777" w:rsidR="00190774" w:rsidRDefault="00A55055">
      <w:pPr>
        <w:numPr>
          <w:ilvl w:val="1"/>
          <w:numId w:val="1"/>
        </w:numPr>
        <w:pBdr>
          <w:top w:val="nil"/>
          <w:left w:val="nil"/>
          <w:bottom w:val="nil"/>
          <w:right w:val="nil"/>
          <w:between w:val="nil"/>
        </w:pBdr>
        <w:ind w:left="0" w:firstLine="284"/>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Gestão e tratamento dos resíduos sólidos em Goiânia - GO</w:t>
      </w:r>
    </w:p>
    <w:p w14:paraId="0D5B685D"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Apesar da disposição de RCC nos aterros de resíduos sólidos urbanos ser proibida (CONAMA, 2002; CONAMA, 2012), esta prática ainda é recorrente em Goiânia.</w:t>
      </w:r>
      <w:r>
        <w:rPr>
          <w:rFonts w:ascii="Times New Roman" w:eastAsia="Times New Roman" w:hAnsi="Times New Roman" w:cs="Times New Roman"/>
        </w:rPr>
        <w:t xml:space="preserve"> O Plano Municipal de Gestão Integrada de Resíduos Sólidos (PREFEITURA MUNICIPAL DE GOIÂNIA, 2016) aponta o Aterro Sanitário de Goiânia é responsável por receber resíduos sólidos urbanos de todo o município e dos lindeiros, incluindo os resíduos de constru</w:t>
      </w:r>
      <w:r>
        <w:rPr>
          <w:rFonts w:ascii="Times New Roman" w:eastAsia="Times New Roman" w:hAnsi="Times New Roman" w:cs="Times New Roman"/>
        </w:rPr>
        <w:t>ção civil, entulho coletado e transportado por empresas que atuam neste segmento.</w:t>
      </w:r>
    </w:p>
    <w:p w14:paraId="06BF772E"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lastRenderedPageBreak/>
        <w:t xml:space="preserve"> Está localizado entre as rodovias estaduais GO-060 e GO-070, região oeste da capital (Figura 1). A Figura 2 mostra o maciço de resíduos do aterro e sua altura relativa em co</w:t>
      </w:r>
      <w:r>
        <w:rPr>
          <w:rFonts w:ascii="Times New Roman" w:eastAsia="Times New Roman" w:hAnsi="Times New Roman" w:cs="Times New Roman"/>
        </w:rPr>
        <w:t>ntraste com o entorno.</w:t>
      </w:r>
    </w:p>
    <w:p w14:paraId="7A4BC672"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Com o esgotamento da capacidade do maciço de resíduos sólidos e o agravamento da situação ambiental do aterro sanitário de Goiânia, a sociedade civil por meio do Ministério Público de Goiás (MPGO) passou a exigir do poder público res</w:t>
      </w:r>
      <w:r>
        <w:rPr>
          <w:rFonts w:ascii="Times New Roman" w:eastAsia="Times New Roman" w:hAnsi="Times New Roman" w:cs="Times New Roman"/>
        </w:rPr>
        <w:t xml:space="preserve">postas imediatas e eficazes para melhoria da gestão dos resíduos sólidos no município e recuperação das áreas que foram degradadas em decorrência desta atividade. </w:t>
      </w:r>
    </w:p>
    <w:p w14:paraId="48090018"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Neste sentido, o MPGO firmou, através da Prefeitura de Goiânia e dos representantes da Agênc</w:t>
      </w:r>
      <w:r>
        <w:rPr>
          <w:rFonts w:ascii="Times New Roman" w:eastAsia="Times New Roman" w:hAnsi="Times New Roman" w:cs="Times New Roman"/>
        </w:rPr>
        <w:t>ia Municipal do Meio Ambiente (AMMA), Companhia de Urbanização de Goiânia (COMURG), Secretaria Municipal de Infraestrutura (SEINFRA) e da Agência de Regulação de Goiânia (AGR), o Termo de Ajustamento de Conduta (TAC), com o objetivo de corrigir e adequar a</w:t>
      </w:r>
      <w:r>
        <w:rPr>
          <w:rFonts w:ascii="Times New Roman" w:eastAsia="Times New Roman" w:hAnsi="Times New Roman" w:cs="Times New Roman"/>
        </w:rPr>
        <w:t xml:space="preserve">s atividades realizadas no aterro. Através do TAC em questão, estes órgãos reconheceram a importância e a urgência da regularização ambiental do aterro, e da transformação do local em um Centro de Tratamento e Disposição Final de Resíduos Sólidos (CTDRS), </w:t>
      </w:r>
      <w:r>
        <w:rPr>
          <w:rFonts w:ascii="Times New Roman" w:eastAsia="Times New Roman" w:hAnsi="Times New Roman" w:cs="Times New Roman"/>
        </w:rPr>
        <w:t>que esteja em acordo com as definições da Política Nacional de Resíduos Sólidos, do Plano Municipal de Saneamento Básico e do Plano Municipal de Gestão Integrada de Resíduos Sólidos de Goiânia (PMGIRS).</w:t>
      </w:r>
    </w:p>
    <w:p w14:paraId="1C557C27" w14:textId="77777777" w:rsidR="00190774" w:rsidRDefault="00190774">
      <w:pPr>
        <w:ind w:firstLine="284"/>
        <w:rPr>
          <w:rFonts w:ascii="Times New Roman" w:eastAsia="Times New Roman" w:hAnsi="Times New Roman" w:cs="Times New Roman"/>
        </w:rPr>
      </w:pPr>
    </w:p>
    <w:p w14:paraId="16889912" w14:textId="77777777" w:rsidR="00190774" w:rsidRDefault="00A55055">
      <w:pPr>
        <w:ind w:firstLine="284"/>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ED9153B" wp14:editId="4910733E">
            <wp:extent cx="2816547" cy="2871578"/>
            <wp:effectExtent l="0" t="0" r="0" b="0"/>
            <wp:docPr id="60" name="image15.png" descr="Mapa com ruas e prédios&#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5.png" descr="Mapa com ruas e prédios&#10;&#10;Descrição gerada automaticamente"/>
                    <pic:cNvPicPr preferRelativeResize="0"/>
                  </pic:nvPicPr>
                  <pic:blipFill>
                    <a:blip r:embed="rId12"/>
                    <a:srcRect/>
                    <a:stretch>
                      <a:fillRect/>
                    </a:stretch>
                  </pic:blipFill>
                  <pic:spPr>
                    <a:xfrm>
                      <a:off x="0" y="0"/>
                      <a:ext cx="2816547" cy="2871578"/>
                    </a:xfrm>
                    <a:prstGeom prst="rect">
                      <a:avLst/>
                    </a:prstGeom>
                    <a:ln/>
                  </pic:spPr>
                </pic:pic>
              </a:graphicData>
            </a:graphic>
          </wp:inline>
        </w:drawing>
      </w:r>
    </w:p>
    <w:p w14:paraId="11650429" w14:textId="77777777" w:rsidR="00190774" w:rsidRDefault="00A55055">
      <w:pPr>
        <w:ind w:firstLine="28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Figura 1: Aterro Sanitário de Goiânia. Fonte: © </w:t>
      </w:r>
      <w:r>
        <w:rPr>
          <w:rFonts w:ascii="Times New Roman" w:eastAsia="Times New Roman" w:hAnsi="Times New Roman" w:cs="Times New Roman"/>
          <w:b/>
          <w:sz w:val="20"/>
          <w:szCs w:val="20"/>
        </w:rPr>
        <w:t>Google Maps (2022).</w:t>
      </w:r>
    </w:p>
    <w:p w14:paraId="6B5D4A58" w14:textId="77777777" w:rsidR="00190774" w:rsidRDefault="00190774">
      <w:pPr>
        <w:ind w:firstLine="284"/>
        <w:jc w:val="center"/>
        <w:rPr>
          <w:rFonts w:ascii="Times New Roman" w:eastAsia="Times New Roman" w:hAnsi="Times New Roman" w:cs="Times New Roman"/>
        </w:rPr>
      </w:pPr>
    </w:p>
    <w:p w14:paraId="74FA0DAC" w14:textId="77777777" w:rsidR="00190774" w:rsidRDefault="00A55055">
      <w:pPr>
        <w:ind w:firstLine="284"/>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14:anchorId="1721E033" wp14:editId="09A2D3BB">
            <wp:extent cx="2886480" cy="1621773"/>
            <wp:effectExtent l="0" t="0" r="0" b="0"/>
            <wp:docPr id="62" name="image10.jpg" descr="DSC01068"/>
            <wp:cNvGraphicFramePr/>
            <a:graphic xmlns:a="http://schemas.openxmlformats.org/drawingml/2006/main">
              <a:graphicData uri="http://schemas.openxmlformats.org/drawingml/2006/picture">
                <pic:pic xmlns:pic="http://schemas.openxmlformats.org/drawingml/2006/picture">
                  <pic:nvPicPr>
                    <pic:cNvPr id="0" name="image10.jpg" descr="DSC01068"/>
                    <pic:cNvPicPr preferRelativeResize="0"/>
                  </pic:nvPicPr>
                  <pic:blipFill>
                    <a:blip r:embed="rId13"/>
                    <a:srcRect/>
                    <a:stretch>
                      <a:fillRect/>
                    </a:stretch>
                  </pic:blipFill>
                  <pic:spPr>
                    <a:xfrm>
                      <a:off x="0" y="0"/>
                      <a:ext cx="2886480" cy="1621773"/>
                    </a:xfrm>
                    <a:prstGeom prst="rect">
                      <a:avLst/>
                    </a:prstGeom>
                    <a:ln/>
                  </pic:spPr>
                </pic:pic>
              </a:graphicData>
            </a:graphic>
          </wp:inline>
        </w:drawing>
      </w:r>
    </w:p>
    <w:p w14:paraId="37EB7B7E" w14:textId="77777777" w:rsidR="00190774" w:rsidRDefault="00A55055">
      <w:pPr>
        <w:pBdr>
          <w:top w:val="nil"/>
          <w:left w:val="nil"/>
          <w:bottom w:val="nil"/>
          <w:right w:val="nil"/>
          <w:between w:val="nil"/>
        </w:pBdr>
        <w:tabs>
          <w:tab w:val="left" w:pos="284"/>
        </w:tabs>
        <w:ind w:firstLine="28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Figura 2: Altura do maciço de resíduos do aterro e relação com o entorno. Fonte: os autores</w:t>
      </w:r>
      <w:r>
        <w:rPr>
          <w:rFonts w:ascii="Times New Roman" w:eastAsia="Times New Roman" w:hAnsi="Times New Roman" w:cs="Times New Roman"/>
          <w:b/>
          <w:sz w:val="20"/>
          <w:szCs w:val="20"/>
        </w:rPr>
        <w:t xml:space="preserve"> (2020).</w:t>
      </w:r>
    </w:p>
    <w:p w14:paraId="5FED5BED" w14:textId="77777777" w:rsidR="00190774" w:rsidRDefault="00190774">
      <w:pPr>
        <w:ind w:firstLine="284"/>
        <w:rPr>
          <w:rFonts w:ascii="Times New Roman" w:eastAsia="Times New Roman" w:hAnsi="Times New Roman" w:cs="Times New Roman"/>
        </w:rPr>
      </w:pPr>
    </w:p>
    <w:p w14:paraId="2FEC740E"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A elaboração do PMGIRS foi responsável por definir diretrizes, programas e metas referentes ao manejo dos resíduos e traçar estratég</w:t>
      </w:r>
      <w:r>
        <w:rPr>
          <w:rFonts w:ascii="Times New Roman" w:eastAsia="Times New Roman" w:hAnsi="Times New Roman" w:cs="Times New Roman"/>
        </w:rPr>
        <w:t>ias para reduzir os impactos negativos causados à cidade e ao meio ambiente, além de propor alternativas que atendam à demanda do município quanto ao gerenciamento dos resíduos sólidos de construção e demolição. Dentre as estratégias traçadas pelo PMGIRS e</w:t>
      </w:r>
      <w:r>
        <w:rPr>
          <w:rFonts w:ascii="Times New Roman" w:eastAsia="Times New Roman" w:hAnsi="Times New Roman" w:cs="Times New Roman"/>
        </w:rPr>
        <w:t>stão medidas para solucionar os problemas do descarte irregular e clandestino dos resíduos de construção civil.</w:t>
      </w:r>
    </w:p>
    <w:p w14:paraId="1D2D1893"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 xml:space="preserve">Em estudos sobre a destinação dos resíduos classe A, tendo como referência o levantamento realizado por Oliveira </w:t>
      </w:r>
      <w:r>
        <w:rPr>
          <w:rFonts w:ascii="Times New Roman" w:eastAsia="Times New Roman" w:hAnsi="Times New Roman" w:cs="Times New Roman"/>
          <w:i/>
        </w:rPr>
        <w:t>et al.</w:t>
      </w:r>
      <w:r>
        <w:rPr>
          <w:rFonts w:ascii="Times New Roman" w:eastAsia="Times New Roman" w:hAnsi="Times New Roman" w:cs="Times New Roman"/>
        </w:rPr>
        <w:t xml:space="preserve"> (2013), em 2011 foram ma</w:t>
      </w:r>
      <w:r>
        <w:rPr>
          <w:rFonts w:ascii="Times New Roman" w:eastAsia="Times New Roman" w:hAnsi="Times New Roman" w:cs="Times New Roman"/>
        </w:rPr>
        <w:t>peados cerca de 187 pontos de descarte irregular no município e dados mostraram um aumento significativo no número de locais de disposição clandestina, indicando a continuidade e o crescimento desta prática irregular. As consequências disso são graves tant</w:t>
      </w:r>
      <w:r>
        <w:rPr>
          <w:rFonts w:ascii="Times New Roman" w:eastAsia="Times New Roman" w:hAnsi="Times New Roman" w:cs="Times New Roman"/>
        </w:rPr>
        <w:t xml:space="preserve">o para o meio ambiente quanto para a cidade, pois provocam a degradação dos solos, poluição dos cursos d’água, enchentes e a proliferação de vetores de doenças. </w:t>
      </w:r>
    </w:p>
    <w:p w14:paraId="661490EC"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Em busca de identificar a demanda pela reciclagem de RCC em Goiânia, foram analisados dados re</w:t>
      </w:r>
      <w:r>
        <w:rPr>
          <w:rFonts w:ascii="Times New Roman" w:eastAsia="Times New Roman" w:hAnsi="Times New Roman" w:cs="Times New Roman"/>
        </w:rPr>
        <w:t xml:space="preserve">ferentes à quantidade gerada pelo município ao longo dos anos. Morais (2010), aponta por meio do levantamento junto às empresas licenciadas para coleta e transporte de RCC que, no período de um ano Goiânia produziu cerca de 823.032 toneladas deste tipo de </w:t>
      </w:r>
      <w:r>
        <w:rPr>
          <w:rFonts w:ascii="Times New Roman" w:eastAsia="Times New Roman" w:hAnsi="Times New Roman" w:cs="Times New Roman"/>
        </w:rPr>
        <w:t xml:space="preserve">resíduo e que, segundo o Plano Municipal de Gestão de Resíduos Sólidos de Goiânia, 388.487 toneladas foram destinadas ao Aterro Sanitário de Goiânia em 2010. Em 2011, 408.237 toneladas e 258.200 toneladas em 2012. Já de acordo com o levantamento realizado </w:t>
      </w:r>
      <w:r>
        <w:rPr>
          <w:rFonts w:ascii="Times New Roman" w:eastAsia="Times New Roman" w:hAnsi="Times New Roman" w:cs="Times New Roman"/>
        </w:rPr>
        <w:t xml:space="preserve">para elaboração do Plano Estadual de Resíduos Sólidos de Goiás publicado em 2017, a média anual de geração de RCC para Goiânia foi da ordem de 680.000 toneladas. </w:t>
      </w:r>
    </w:p>
    <w:p w14:paraId="3E089F8D"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Ao aplicar o índice proposto por Pinto (1999), e utilizado também no plano municipal, no qual</w:t>
      </w:r>
      <w:r>
        <w:rPr>
          <w:rFonts w:ascii="Times New Roman" w:eastAsia="Times New Roman" w:hAnsi="Times New Roman" w:cs="Times New Roman"/>
        </w:rPr>
        <w:t xml:space="preserve"> estima-se geração de RCC a partir dos dados populacionais, a estimativa de geração de RCC para o ano de 2020, é de 353.302 toneladas. Observa-se uma variação nos valores encontrados. Estas variações podem estar relacionadas a fatores como a ausência de um</w:t>
      </w:r>
      <w:r>
        <w:rPr>
          <w:rFonts w:ascii="Times New Roman" w:eastAsia="Times New Roman" w:hAnsi="Times New Roman" w:cs="Times New Roman"/>
        </w:rPr>
        <w:t xml:space="preserve"> banco de dados integrado com a prefeitura e os transportadores, interrupções na pesagem e no registro da quantidade de material recebida no aterro e falta de registro da quantidade de resíduos descartados clandestinamente.</w:t>
      </w:r>
    </w:p>
    <w:p w14:paraId="6BDDBAB0"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lastRenderedPageBreak/>
        <w:t xml:space="preserve">Estudos realizados por </w:t>
      </w:r>
      <w:proofErr w:type="spellStart"/>
      <w:r>
        <w:rPr>
          <w:rFonts w:ascii="Times New Roman" w:eastAsia="Times New Roman" w:hAnsi="Times New Roman" w:cs="Times New Roman"/>
        </w:rPr>
        <w:t>Colvero</w:t>
      </w:r>
      <w:proofErr w:type="spellEnd"/>
      <w:r>
        <w:rPr>
          <w:rFonts w:ascii="Times New Roman" w:eastAsia="Times New Roman" w:hAnsi="Times New Roman" w:cs="Times New Roman"/>
        </w:rPr>
        <w:t xml:space="preserve"> </w:t>
      </w:r>
      <w:r>
        <w:rPr>
          <w:rFonts w:ascii="Times New Roman" w:eastAsia="Times New Roman" w:hAnsi="Times New Roman" w:cs="Times New Roman"/>
          <w:i/>
        </w:rPr>
        <w:t>et al</w:t>
      </w:r>
      <w:r>
        <w:rPr>
          <w:rFonts w:ascii="Times New Roman" w:eastAsia="Times New Roman" w:hAnsi="Times New Roman" w:cs="Times New Roman"/>
        </w:rPr>
        <w:t>. (2017), mostraram a vulnerabilidade e exclusão social da população residente nas proximidades do aterro. Pesquisadores ressaltam que a busca por estes territórios é o reflexo de um sistema perverso que exerce forte relação de poder sobre as áreas ce</w:t>
      </w:r>
      <w:r>
        <w:rPr>
          <w:rFonts w:ascii="Times New Roman" w:eastAsia="Times New Roman" w:hAnsi="Times New Roman" w:cs="Times New Roman"/>
        </w:rPr>
        <w:t>ntrais da cidade, forçando a população com baixo poder aquisitivo a se estabelecerem nas regiões periféricas da cidade, ainda que estas não ofereçam a infraestrutura necessária ao bem-estar de seus moradores. Nesse sentido a implantação de uma Usina de Rec</w:t>
      </w:r>
      <w:r>
        <w:rPr>
          <w:rFonts w:ascii="Times New Roman" w:eastAsia="Times New Roman" w:hAnsi="Times New Roman" w:cs="Times New Roman"/>
        </w:rPr>
        <w:t>iclagem de Resíduos Sólidos da Construção civil nas imediações do Aterro Goianiense poderá contribuir positivamente com o entorno e sua população.</w:t>
      </w:r>
    </w:p>
    <w:p w14:paraId="344FE34E"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 xml:space="preserve">Para determinar a capacidade de processamento da uma usina de reciclagem de RCC a ser implantada em Goiânia, </w:t>
      </w:r>
      <w:r>
        <w:rPr>
          <w:rFonts w:ascii="Times New Roman" w:eastAsia="Times New Roman" w:hAnsi="Times New Roman" w:cs="Times New Roman"/>
        </w:rPr>
        <w:t>foram utilizados como referência os estudos realizados na unidade de processamento de RCC em operação na cidade de Aparecida de Goiânia - GO. Observou-se que, mesmo diante das grandes quantidades produzidas no município, propor a implantação de uma usina q</w:t>
      </w:r>
      <w:r>
        <w:rPr>
          <w:rFonts w:ascii="Times New Roman" w:eastAsia="Times New Roman" w:hAnsi="Times New Roman" w:cs="Times New Roman"/>
        </w:rPr>
        <w:t xml:space="preserve">ue atenda a toda a demanda se mostrou inviável. Portanto, a quantidade de RCC processada na usina proposta representará um percentual em relação à demanda do município. </w:t>
      </w:r>
    </w:p>
    <w:p w14:paraId="77CFFA6E"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 xml:space="preserve">Tendo em vista que a viabilidade do projeto está relacionada aos custos do transporte </w:t>
      </w:r>
      <w:r>
        <w:rPr>
          <w:rFonts w:ascii="Times New Roman" w:eastAsia="Times New Roman" w:hAnsi="Times New Roman" w:cs="Times New Roman"/>
        </w:rPr>
        <w:t>dos resíduos até o local de processamento, e que estes variam de acordo com as distâncias entre o gerador e a usina, o projeto terá como área de abrangência as regiões noroeste e oeste da capital. Neste contexto, o projeto desenvolvido nesta pesquisa poder</w:t>
      </w:r>
      <w:r>
        <w:rPr>
          <w:rFonts w:ascii="Times New Roman" w:eastAsia="Times New Roman" w:hAnsi="Times New Roman" w:cs="Times New Roman"/>
        </w:rPr>
        <w:t>á funcionar como um ponto de partida a ser replicado em outras regiões do município a fim de ampliar a capacidade de reciclagem destes materiais e melhorar o gerenciamento de resíduos de construção e demolição em Goiânia e em sua Região Metropolitana.</w:t>
      </w:r>
    </w:p>
    <w:p w14:paraId="00C738AA" w14:textId="77777777" w:rsidR="00190774" w:rsidRDefault="00190774">
      <w:pPr>
        <w:ind w:firstLine="284"/>
        <w:rPr>
          <w:rFonts w:ascii="Times New Roman" w:eastAsia="Times New Roman" w:hAnsi="Times New Roman" w:cs="Times New Roman"/>
        </w:rPr>
      </w:pPr>
    </w:p>
    <w:p w14:paraId="75D5780B" w14:textId="77777777" w:rsidR="00190774" w:rsidRDefault="00A55055">
      <w:pPr>
        <w:numPr>
          <w:ilvl w:val="0"/>
          <w:numId w:val="1"/>
        </w:numPr>
        <w:pBdr>
          <w:top w:val="nil"/>
          <w:left w:val="nil"/>
          <w:bottom w:val="nil"/>
          <w:right w:val="nil"/>
          <w:between w:val="nil"/>
        </w:pBdr>
        <w:ind w:left="0" w:firstLine="284"/>
        <w:jc w:val="left"/>
        <w:rPr>
          <w:rFonts w:ascii="Times New Roman" w:eastAsia="Times New Roman" w:hAnsi="Times New Roman" w:cs="Times New Roman"/>
          <w:b/>
          <w:color w:val="000000"/>
        </w:rPr>
      </w:pPr>
      <w:r>
        <w:rPr>
          <w:rFonts w:ascii="Times New Roman" w:eastAsia="Times New Roman" w:hAnsi="Times New Roman" w:cs="Times New Roman"/>
          <w:b/>
          <w:color w:val="000000"/>
        </w:rPr>
        <w:t>Metodologia</w:t>
      </w:r>
    </w:p>
    <w:p w14:paraId="196B373C" w14:textId="77777777" w:rsidR="00190774" w:rsidRDefault="00190774">
      <w:pPr>
        <w:pBdr>
          <w:top w:val="nil"/>
          <w:left w:val="nil"/>
          <w:bottom w:val="nil"/>
          <w:right w:val="nil"/>
          <w:between w:val="nil"/>
        </w:pBdr>
        <w:ind w:firstLine="284"/>
        <w:jc w:val="left"/>
        <w:rPr>
          <w:rFonts w:ascii="Times New Roman" w:eastAsia="Times New Roman" w:hAnsi="Times New Roman" w:cs="Times New Roman"/>
          <w:b/>
          <w:color w:val="000000"/>
        </w:rPr>
      </w:pPr>
    </w:p>
    <w:p w14:paraId="4132B3C4"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A metodologia é composta por revisão bibliográfica, pesquisas de campo, estudos de casos e elaboração de desenhos técnicos. Compõem este processo, a investigação teórica contextual acerca da gestão e gerenciamento de RSCD no cenário brasileiro</w:t>
      </w:r>
      <w:r>
        <w:rPr>
          <w:rFonts w:ascii="Times New Roman" w:eastAsia="Times New Roman" w:hAnsi="Times New Roman" w:cs="Times New Roman"/>
        </w:rPr>
        <w:t xml:space="preserve"> e em Goiânia, e a proposta de um projeto de uma Usina de Reciclagem de Resíduos Sólidos de Construção Civil para a cidade.</w:t>
      </w:r>
    </w:p>
    <w:p w14:paraId="51273E2B" w14:textId="77777777" w:rsidR="00190774" w:rsidRDefault="00190774">
      <w:pPr>
        <w:ind w:firstLine="284"/>
        <w:rPr>
          <w:rFonts w:ascii="Times New Roman" w:eastAsia="Times New Roman" w:hAnsi="Times New Roman" w:cs="Times New Roman"/>
        </w:rPr>
      </w:pPr>
    </w:p>
    <w:p w14:paraId="6988DAE6" w14:textId="77777777" w:rsidR="00190774" w:rsidRDefault="00A55055">
      <w:pPr>
        <w:numPr>
          <w:ilvl w:val="0"/>
          <w:numId w:val="1"/>
        </w:numPr>
        <w:pBdr>
          <w:top w:val="nil"/>
          <w:left w:val="nil"/>
          <w:bottom w:val="nil"/>
          <w:right w:val="nil"/>
          <w:between w:val="nil"/>
        </w:pBdr>
        <w:ind w:left="0" w:firstLine="284"/>
        <w:jc w:val="left"/>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O projeto </w:t>
      </w:r>
    </w:p>
    <w:p w14:paraId="42429D3F" w14:textId="77777777" w:rsidR="00190774" w:rsidRDefault="00190774">
      <w:pPr>
        <w:pBdr>
          <w:top w:val="nil"/>
          <w:left w:val="nil"/>
          <w:bottom w:val="nil"/>
          <w:right w:val="nil"/>
          <w:between w:val="nil"/>
        </w:pBdr>
        <w:ind w:firstLine="284"/>
        <w:jc w:val="left"/>
        <w:rPr>
          <w:rFonts w:ascii="Times New Roman" w:eastAsia="Times New Roman" w:hAnsi="Times New Roman" w:cs="Times New Roman"/>
          <w:b/>
          <w:color w:val="000000"/>
        </w:rPr>
      </w:pPr>
    </w:p>
    <w:p w14:paraId="10973EC0"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O projeto da usina, formatado como um grande complexo, abrangerá recepção, transbordo, triagem e a reciclagem dos resíd</w:t>
      </w:r>
      <w:r>
        <w:rPr>
          <w:rFonts w:ascii="Times New Roman" w:eastAsia="Times New Roman" w:hAnsi="Times New Roman" w:cs="Times New Roman"/>
        </w:rPr>
        <w:t xml:space="preserve">uos sólidos de construção e demolição oriundos das obras de construção civil da capital. Foi idealizado por </w:t>
      </w:r>
      <w:proofErr w:type="spellStart"/>
      <w:r>
        <w:t>Lidia</w:t>
      </w:r>
      <w:proofErr w:type="spellEnd"/>
      <w:r>
        <w:t xml:space="preserve"> </w:t>
      </w:r>
      <w:proofErr w:type="spellStart"/>
      <w:r>
        <w:t>Licio</w:t>
      </w:r>
      <w:proofErr w:type="spellEnd"/>
      <w:r>
        <w:t xml:space="preserve"> Borges</w:t>
      </w:r>
      <w:r>
        <w:rPr>
          <w:rFonts w:ascii="Times New Roman" w:eastAsia="Times New Roman" w:hAnsi="Times New Roman" w:cs="Times New Roman"/>
        </w:rPr>
        <w:t xml:space="preserve"> em seu trabalho de conclusão de curso, sob orientação de </w:t>
      </w:r>
      <w:r>
        <w:t>Lucas Felício Costa</w:t>
      </w:r>
      <w:r>
        <w:rPr>
          <w:rFonts w:ascii="Times New Roman" w:eastAsia="Times New Roman" w:hAnsi="Times New Roman" w:cs="Times New Roman"/>
        </w:rPr>
        <w:t xml:space="preserve"> (</w:t>
      </w:r>
      <w:r>
        <w:rPr>
          <w:rFonts w:ascii="Times New Roman" w:eastAsia="Times New Roman" w:hAnsi="Times New Roman" w:cs="Times New Roman"/>
          <w:i/>
        </w:rPr>
        <w:t xml:space="preserve">in </w:t>
      </w:r>
      <w:proofErr w:type="spellStart"/>
      <w:r>
        <w:rPr>
          <w:rFonts w:ascii="Times New Roman" w:eastAsia="Times New Roman" w:hAnsi="Times New Roman" w:cs="Times New Roman"/>
          <w:i/>
        </w:rPr>
        <w:t>memorian</w:t>
      </w:r>
      <w:proofErr w:type="spellEnd"/>
      <w:r>
        <w:rPr>
          <w:rFonts w:ascii="Times New Roman" w:eastAsia="Times New Roman" w:hAnsi="Times New Roman" w:cs="Times New Roman"/>
        </w:rPr>
        <w:t>), enquanto estudante do curso de Arquit</w:t>
      </w:r>
      <w:r>
        <w:rPr>
          <w:rFonts w:ascii="Times New Roman" w:eastAsia="Times New Roman" w:hAnsi="Times New Roman" w:cs="Times New Roman"/>
        </w:rPr>
        <w:t>etura e Urbanismo na Faculdade de Artes Visuais da Universidade Federal de Goiás – FAV/UFG.</w:t>
      </w:r>
    </w:p>
    <w:p w14:paraId="154EFC75"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lastRenderedPageBreak/>
        <w:t>A Figura 3a, mostra a localização do terreno e seu entorno. A Figura 3b apresenta a delimitação das áreas de reciclagem de resíduos sólidos e de RSCD, o local de im</w:t>
      </w:r>
      <w:r>
        <w:rPr>
          <w:rFonts w:ascii="Times New Roman" w:eastAsia="Times New Roman" w:hAnsi="Times New Roman" w:cs="Times New Roman"/>
        </w:rPr>
        <w:t>plantação da usina e área do aterro.</w:t>
      </w:r>
      <w:r>
        <w:rPr>
          <w:rFonts w:ascii="Times New Roman" w:eastAsia="Times New Roman" w:hAnsi="Times New Roman" w:cs="Times New Roman"/>
          <w:color w:val="2C2E14"/>
        </w:rPr>
        <w:t xml:space="preserve"> </w:t>
      </w:r>
      <w:r>
        <w:rPr>
          <w:rFonts w:ascii="Times New Roman" w:eastAsia="Times New Roman" w:hAnsi="Times New Roman" w:cs="Times New Roman"/>
        </w:rPr>
        <w:t xml:space="preserve">Para o desenvolvimento do parcelamento urbano, foram observados critérios apresentados por </w:t>
      </w:r>
      <w:proofErr w:type="spellStart"/>
      <w:r>
        <w:rPr>
          <w:rFonts w:ascii="Times New Roman" w:eastAsia="Times New Roman" w:hAnsi="Times New Roman" w:cs="Times New Roman"/>
        </w:rPr>
        <w:t>Mascaró</w:t>
      </w:r>
      <w:proofErr w:type="spellEnd"/>
      <w:r>
        <w:rPr>
          <w:rFonts w:ascii="Times New Roman" w:eastAsia="Times New Roman" w:hAnsi="Times New Roman" w:cs="Times New Roman"/>
        </w:rPr>
        <w:t xml:space="preserve"> (2005) sobre loteamentos urbanos e demandas específicas das atividades relacionadas ao tratamento dos resíduos sólidos d</w:t>
      </w:r>
      <w:r>
        <w:rPr>
          <w:rFonts w:ascii="Times New Roman" w:eastAsia="Times New Roman" w:hAnsi="Times New Roman" w:cs="Times New Roman"/>
        </w:rPr>
        <w:t>e construção e demolição. Fatores naturais também foram considerados (Figura 3c). A Figura 3d detalha a implantação do edifício da usina.</w:t>
      </w:r>
    </w:p>
    <w:p w14:paraId="1237CA88"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A rede viária foi estruturada a partir de um anel viário que circunda toda a região parcelada e que se conecta à uma d</w:t>
      </w:r>
      <w:r>
        <w:rPr>
          <w:rFonts w:ascii="Times New Roman" w:eastAsia="Times New Roman" w:hAnsi="Times New Roman" w:cs="Times New Roman"/>
        </w:rPr>
        <w:t xml:space="preserve">as vias de circulação interna do aterro. Considerando o declive acentuado característico de fundo de vale, as vias internas ao anel foram dispostas diagonalmente às curvas de nível do terreno, suavizando a inclinação das ruas a fim de evitar a formação de </w:t>
      </w:r>
      <w:r>
        <w:rPr>
          <w:rFonts w:ascii="Times New Roman" w:eastAsia="Times New Roman" w:hAnsi="Times New Roman" w:cs="Times New Roman"/>
        </w:rPr>
        <w:t>erosões causadas pelo escoamento das águas pluviais e facilitar o tráfego de veículos pesados utilizados no transporte e manejo dos resíduos de construção.</w:t>
      </w:r>
    </w:p>
    <w:p w14:paraId="01617576"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Conforme apontado pela Lei nº 10.215 (PREFEITURA DE GOIÂNIA, 2018), serão admitidas no complexo ativ</w:t>
      </w:r>
      <w:r>
        <w:rPr>
          <w:rFonts w:ascii="Times New Roman" w:eastAsia="Times New Roman" w:hAnsi="Times New Roman" w:cs="Times New Roman"/>
        </w:rPr>
        <w:t>idades com altos graus de incomodidade, neste sentido e tendo em vista a influência dos ventos predominantes na cidade, está previsto no parcelamento a conexão do cinturão verde à APP do Ribeirão Caveiras por meio de uma barreira vegetal. Esta vegetação se</w:t>
      </w:r>
      <w:r>
        <w:rPr>
          <w:rFonts w:ascii="Times New Roman" w:eastAsia="Times New Roman" w:hAnsi="Times New Roman" w:cs="Times New Roman"/>
        </w:rPr>
        <w:t>rá responsável por diminuir a propagação de ruídos e a dispersão da poeira decorrentes das atividades exercidas no local, além de poder abrigar espelhos d´água para favorecer a umidade do ar, guiar caminhos</w:t>
      </w:r>
      <w:r>
        <w:rPr>
          <w:rFonts w:ascii="Times New Roman" w:eastAsia="Times New Roman" w:hAnsi="Times New Roman" w:cs="Times New Roman"/>
          <w:highlight w:val="white"/>
        </w:rPr>
        <w:t xml:space="preserve">, compor microclimas nas edificações, permitindo </w:t>
      </w:r>
      <w:r>
        <w:rPr>
          <w:rFonts w:ascii="Times New Roman" w:eastAsia="Times New Roman" w:hAnsi="Times New Roman" w:cs="Times New Roman"/>
        </w:rPr>
        <w:t>b</w:t>
      </w:r>
      <w:r>
        <w:rPr>
          <w:rFonts w:ascii="Times New Roman" w:eastAsia="Times New Roman" w:hAnsi="Times New Roman" w:cs="Times New Roman"/>
        </w:rPr>
        <w:t>em-estar</w:t>
      </w:r>
      <w:r>
        <w:rPr>
          <w:rFonts w:ascii="Times New Roman" w:eastAsia="Times New Roman" w:hAnsi="Times New Roman" w:cs="Times New Roman"/>
          <w:highlight w:val="white"/>
        </w:rPr>
        <w:t xml:space="preserve"> e maior conforto térmico aos usuários.</w:t>
      </w:r>
    </w:p>
    <w:p w14:paraId="12E3F03C" w14:textId="77777777" w:rsidR="00190774" w:rsidRDefault="00190774">
      <w:pPr>
        <w:ind w:firstLine="284"/>
        <w:rPr>
          <w:rFonts w:ascii="Times New Roman" w:eastAsia="Times New Roman" w:hAnsi="Times New Roman" w:cs="Times New Roman"/>
        </w:rPr>
      </w:pPr>
    </w:p>
    <w:tbl>
      <w:tblPr>
        <w:tblStyle w:val="a1"/>
        <w:tblW w:w="9061"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530"/>
        <w:gridCol w:w="4531"/>
      </w:tblGrid>
      <w:tr w:rsidR="00190774" w14:paraId="78C48B61" w14:textId="77777777">
        <w:trPr>
          <w:jc w:val="center"/>
        </w:trPr>
        <w:tc>
          <w:tcPr>
            <w:tcW w:w="4530" w:type="dxa"/>
          </w:tcPr>
          <w:p w14:paraId="4D83E266" w14:textId="77777777" w:rsidR="00190774" w:rsidRDefault="00A55055">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6A1602F" wp14:editId="37F3CE35">
                  <wp:extent cx="2622938" cy="1800000"/>
                  <wp:effectExtent l="0" t="0" r="0" b="0"/>
                  <wp:docPr id="61" name="image11.pn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1.png" descr="Diagrama&#10;&#10;Descrição gerada automaticamente"/>
                          <pic:cNvPicPr preferRelativeResize="0"/>
                        </pic:nvPicPr>
                        <pic:blipFill>
                          <a:blip r:embed="rId14"/>
                          <a:srcRect/>
                          <a:stretch>
                            <a:fillRect/>
                          </a:stretch>
                        </pic:blipFill>
                        <pic:spPr>
                          <a:xfrm>
                            <a:off x="0" y="0"/>
                            <a:ext cx="2622938" cy="1800000"/>
                          </a:xfrm>
                          <a:prstGeom prst="rect">
                            <a:avLst/>
                          </a:prstGeom>
                          <a:ln/>
                        </pic:spPr>
                      </pic:pic>
                    </a:graphicData>
                  </a:graphic>
                </wp:inline>
              </w:drawing>
            </w:r>
          </w:p>
        </w:tc>
        <w:tc>
          <w:tcPr>
            <w:tcW w:w="4531" w:type="dxa"/>
          </w:tcPr>
          <w:p w14:paraId="579135A9" w14:textId="77777777" w:rsidR="00190774" w:rsidRDefault="00A55055">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1F3A86A5" wp14:editId="234C350B">
                  <wp:extent cx="2605779" cy="1800000"/>
                  <wp:effectExtent l="0" t="0" r="0" b="0"/>
                  <wp:docPr id="64" name="image5.pn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5.png" descr="Diagrama&#10;&#10;Descrição gerada automaticamente"/>
                          <pic:cNvPicPr preferRelativeResize="0"/>
                        </pic:nvPicPr>
                        <pic:blipFill>
                          <a:blip r:embed="rId15"/>
                          <a:srcRect/>
                          <a:stretch>
                            <a:fillRect/>
                          </a:stretch>
                        </pic:blipFill>
                        <pic:spPr>
                          <a:xfrm>
                            <a:off x="0" y="0"/>
                            <a:ext cx="2605779" cy="1800000"/>
                          </a:xfrm>
                          <a:prstGeom prst="rect">
                            <a:avLst/>
                          </a:prstGeom>
                          <a:ln/>
                        </pic:spPr>
                      </pic:pic>
                    </a:graphicData>
                  </a:graphic>
                </wp:inline>
              </w:drawing>
            </w:r>
          </w:p>
        </w:tc>
      </w:tr>
      <w:tr w:rsidR="00190774" w14:paraId="473A1E1D" w14:textId="77777777">
        <w:trPr>
          <w:jc w:val="center"/>
        </w:trPr>
        <w:tc>
          <w:tcPr>
            <w:tcW w:w="4530" w:type="dxa"/>
          </w:tcPr>
          <w:p w14:paraId="2723F32A" w14:textId="77777777" w:rsidR="00190774" w:rsidRDefault="00A5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p w14:paraId="29344D87" w14:textId="77777777" w:rsidR="00190774" w:rsidRDefault="00190774">
            <w:pPr>
              <w:jc w:val="center"/>
              <w:rPr>
                <w:rFonts w:ascii="Times New Roman" w:eastAsia="Times New Roman" w:hAnsi="Times New Roman" w:cs="Times New Roman"/>
                <w:sz w:val="20"/>
                <w:szCs w:val="20"/>
              </w:rPr>
            </w:pPr>
          </w:p>
        </w:tc>
        <w:tc>
          <w:tcPr>
            <w:tcW w:w="4531" w:type="dxa"/>
          </w:tcPr>
          <w:p w14:paraId="568F0185" w14:textId="77777777" w:rsidR="00190774" w:rsidRDefault="00A5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w:t>
            </w:r>
          </w:p>
        </w:tc>
      </w:tr>
      <w:tr w:rsidR="00190774" w14:paraId="7149C252" w14:textId="77777777">
        <w:trPr>
          <w:jc w:val="center"/>
        </w:trPr>
        <w:tc>
          <w:tcPr>
            <w:tcW w:w="4530" w:type="dxa"/>
          </w:tcPr>
          <w:p w14:paraId="1BA20D5D" w14:textId="77777777" w:rsidR="00190774" w:rsidRDefault="00A55055">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14:anchorId="3D9BBD50" wp14:editId="1ABA897F">
                  <wp:extent cx="2636067" cy="1800000"/>
                  <wp:effectExtent l="0" t="0" r="0" b="0"/>
                  <wp:docPr id="63" name="image3.png" descr="Diagrama, Map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png" descr="Diagrama, Mapa&#10;&#10;Descrição gerada automaticamente"/>
                          <pic:cNvPicPr preferRelativeResize="0"/>
                        </pic:nvPicPr>
                        <pic:blipFill>
                          <a:blip r:embed="rId16"/>
                          <a:srcRect/>
                          <a:stretch>
                            <a:fillRect/>
                          </a:stretch>
                        </pic:blipFill>
                        <pic:spPr>
                          <a:xfrm>
                            <a:off x="0" y="0"/>
                            <a:ext cx="2636067" cy="1800000"/>
                          </a:xfrm>
                          <a:prstGeom prst="rect">
                            <a:avLst/>
                          </a:prstGeom>
                          <a:ln/>
                        </pic:spPr>
                      </pic:pic>
                    </a:graphicData>
                  </a:graphic>
                </wp:inline>
              </w:drawing>
            </w:r>
          </w:p>
        </w:tc>
        <w:tc>
          <w:tcPr>
            <w:tcW w:w="4531" w:type="dxa"/>
          </w:tcPr>
          <w:p w14:paraId="32E75F8F" w14:textId="77777777" w:rsidR="00190774" w:rsidRDefault="00A55055">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139820A" wp14:editId="163E7641">
                  <wp:extent cx="2559620" cy="1800000"/>
                  <wp:effectExtent l="0" t="0" r="0" b="0"/>
                  <wp:docPr id="66" name="image13.pn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3.png" descr="Diagrama&#10;&#10;Descrição gerada automaticamente"/>
                          <pic:cNvPicPr preferRelativeResize="0"/>
                        </pic:nvPicPr>
                        <pic:blipFill>
                          <a:blip r:embed="rId17"/>
                          <a:srcRect/>
                          <a:stretch>
                            <a:fillRect/>
                          </a:stretch>
                        </pic:blipFill>
                        <pic:spPr>
                          <a:xfrm>
                            <a:off x="0" y="0"/>
                            <a:ext cx="2559620" cy="1800000"/>
                          </a:xfrm>
                          <a:prstGeom prst="rect">
                            <a:avLst/>
                          </a:prstGeom>
                          <a:ln/>
                        </pic:spPr>
                      </pic:pic>
                    </a:graphicData>
                  </a:graphic>
                </wp:inline>
              </w:drawing>
            </w:r>
          </w:p>
        </w:tc>
      </w:tr>
      <w:tr w:rsidR="00190774" w14:paraId="5ADD7A81" w14:textId="77777777">
        <w:trPr>
          <w:trHeight w:val="244"/>
          <w:jc w:val="center"/>
        </w:trPr>
        <w:tc>
          <w:tcPr>
            <w:tcW w:w="4530" w:type="dxa"/>
          </w:tcPr>
          <w:p w14:paraId="35B0A7AB" w14:textId="77777777" w:rsidR="00190774" w:rsidRDefault="00A5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w:t>
            </w:r>
          </w:p>
        </w:tc>
        <w:tc>
          <w:tcPr>
            <w:tcW w:w="4531" w:type="dxa"/>
          </w:tcPr>
          <w:p w14:paraId="551D29E8" w14:textId="77777777" w:rsidR="00190774" w:rsidRDefault="00A5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w:t>
            </w:r>
          </w:p>
        </w:tc>
      </w:tr>
    </w:tbl>
    <w:p w14:paraId="7DB17CCD" w14:textId="77777777" w:rsidR="00190774" w:rsidRDefault="00A55055">
      <w:pPr>
        <w:pBdr>
          <w:top w:val="nil"/>
          <w:left w:val="nil"/>
          <w:bottom w:val="nil"/>
          <w:right w:val="nil"/>
          <w:between w:val="nil"/>
        </w:pBdr>
        <w:ind w:firstLine="28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Figura </w:t>
      </w:r>
      <w:r>
        <w:rPr>
          <w:rFonts w:ascii="Times New Roman" w:eastAsia="Times New Roman" w:hAnsi="Times New Roman" w:cs="Times New Roman"/>
          <w:b/>
          <w:sz w:val="20"/>
          <w:szCs w:val="20"/>
        </w:rPr>
        <w:t>3</w:t>
      </w:r>
      <w:r>
        <w:rPr>
          <w:rFonts w:ascii="Times New Roman" w:eastAsia="Times New Roman" w:hAnsi="Times New Roman" w:cs="Times New Roman"/>
          <w:b/>
          <w:color w:val="000000"/>
          <w:sz w:val="20"/>
          <w:szCs w:val="20"/>
        </w:rPr>
        <w:t>: (a) Localização e entorno, (b) Desenho esquemático da implantação, (c) Aspectos físicos do parcelamento: insolação e ventos dominantes, (d) Detalhamento da implantação.</w:t>
      </w:r>
      <w:r>
        <w:rPr>
          <w:rFonts w:ascii="Times New Roman" w:eastAsia="Times New Roman" w:hAnsi="Times New Roman" w:cs="Times New Roman"/>
          <w:b/>
          <w:color w:val="000000"/>
          <w:sz w:val="20"/>
          <w:szCs w:val="20"/>
        </w:rPr>
        <w:t xml:space="preserve"> Fonte: os autores.</w:t>
      </w:r>
    </w:p>
    <w:p w14:paraId="1D0DD1CA" w14:textId="77777777" w:rsidR="00190774" w:rsidRDefault="00190774">
      <w:pPr>
        <w:ind w:firstLine="284"/>
        <w:rPr>
          <w:rFonts w:ascii="Times New Roman" w:eastAsia="Times New Roman" w:hAnsi="Times New Roman" w:cs="Times New Roman"/>
        </w:rPr>
      </w:pPr>
    </w:p>
    <w:p w14:paraId="3635FC0A"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Visando a eficiência energética, serão instalados painéis fotovoltaicos direcionados para maior zona de radiação solar; telhas ecológicas para o sistema de cobertura e a calha central, assim como o telhado tipo borboleta, facilitarão a</w:t>
      </w:r>
      <w:r>
        <w:rPr>
          <w:rFonts w:ascii="Times New Roman" w:eastAsia="Times New Roman" w:hAnsi="Times New Roman" w:cs="Times New Roman"/>
        </w:rPr>
        <w:t xml:space="preserve"> captação de águas pluviais a fim de serem reutilizadas na manutenção e irrigação dos jardins e pátios (Figuras 4a, 4b, 4c e 4d).</w:t>
      </w:r>
    </w:p>
    <w:p w14:paraId="5012D450"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As esquadrias utilizadas serão do tipo cortina de vidro insulado, que promove maior conforto térmico e acústico visto que serã</w:t>
      </w:r>
      <w:r>
        <w:rPr>
          <w:rFonts w:ascii="Times New Roman" w:eastAsia="Times New Roman" w:hAnsi="Times New Roman" w:cs="Times New Roman"/>
        </w:rPr>
        <w:t>o realizadas atividades de alto grau de incomodidade. Os edifícios serão construídos com blocos de solo cimento, ou seja, blocos confeccionados a partir de material reciclado e sem queima. Os pátios serão revestidos de agregado reciclado tipo pedrisco, o q</w:t>
      </w:r>
      <w:r>
        <w:rPr>
          <w:rFonts w:ascii="Times New Roman" w:eastAsia="Times New Roman" w:hAnsi="Times New Roman" w:cs="Times New Roman"/>
        </w:rPr>
        <w:t xml:space="preserve">ue permite a drenagem do solo e as calçadas serão construídas com </w:t>
      </w:r>
      <w:proofErr w:type="spellStart"/>
      <w:r>
        <w:rPr>
          <w:rFonts w:ascii="Times New Roman" w:eastAsia="Times New Roman" w:hAnsi="Times New Roman" w:cs="Times New Roman"/>
          <w:i/>
        </w:rPr>
        <w:t>pavers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rPr>
        <w:t>intertravados</w:t>
      </w:r>
      <w:proofErr w:type="spellEnd"/>
      <w:r>
        <w:rPr>
          <w:rFonts w:ascii="Times New Roman" w:eastAsia="Times New Roman" w:hAnsi="Times New Roman" w:cs="Times New Roman"/>
        </w:rPr>
        <w:t xml:space="preserve"> também produzidos com matéria prima reciclada, dentre alternativas consideradas como tecnologia verde (Figura 5). Acredita-se que, ao utilizar estes recursos, o projeto </w:t>
      </w:r>
      <w:r>
        <w:rPr>
          <w:rFonts w:ascii="Times New Roman" w:eastAsia="Times New Roman" w:hAnsi="Times New Roman" w:cs="Times New Roman"/>
        </w:rPr>
        <w:t>traz maneiras eficientes e acessíveis de aplicar a sustentabilidade. Os elementos vazados e a cobertura dinâmica, possibilitam maior ventilação e luminosidade aos interiores, com troca e renovação constante do ar, valorizando o design dos ambientes, atribu</w:t>
      </w:r>
      <w:r>
        <w:rPr>
          <w:rFonts w:ascii="Times New Roman" w:eastAsia="Times New Roman" w:hAnsi="Times New Roman" w:cs="Times New Roman"/>
        </w:rPr>
        <w:t>indo efeitos, sensações, e mensagens sobre ecologia e otimização, como demonstra as Figura 6 e 7.</w:t>
      </w:r>
    </w:p>
    <w:p w14:paraId="7D67E23E" w14:textId="77777777" w:rsidR="00190774" w:rsidRDefault="00190774">
      <w:pPr>
        <w:ind w:firstLine="284"/>
        <w:rPr>
          <w:rFonts w:ascii="Times New Roman" w:eastAsia="Times New Roman" w:hAnsi="Times New Roman" w:cs="Times New Roman"/>
        </w:rPr>
      </w:pPr>
    </w:p>
    <w:tbl>
      <w:tblPr>
        <w:tblStyle w:val="a2"/>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0"/>
        <w:gridCol w:w="4531"/>
      </w:tblGrid>
      <w:tr w:rsidR="00190774" w14:paraId="6FD4ADFB" w14:textId="77777777">
        <w:tc>
          <w:tcPr>
            <w:tcW w:w="4530" w:type="dxa"/>
            <w:tcBorders>
              <w:top w:val="nil"/>
              <w:left w:val="nil"/>
              <w:bottom w:val="nil"/>
              <w:right w:val="nil"/>
            </w:tcBorders>
          </w:tcPr>
          <w:p w14:paraId="155F54EB" w14:textId="77777777" w:rsidR="00190774" w:rsidRDefault="00A55055">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754B4D10" wp14:editId="64D86605">
                  <wp:extent cx="2876217" cy="1620000"/>
                  <wp:effectExtent l="0" t="0" r="0" b="0"/>
                  <wp:docPr id="65" name="image16.png" descr="Caminho no meio de uma cas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6.png" descr="Caminho no meio de uma casa&#10;&#10;Descrição gerada automaticamente"/>
                          <pic:cNvPicPr preferRelativeResize="0"/>
                        </pic:nvPicPr>
                        <pic:blipFill>
                          <a:blip r:embed="rId18"/>
                          <a:srcRect/>
                          <a:stretch>
                            <a:fillRect/>
                          </a:stretch>
                        </pic:blipFill>
                        <pic:spPr>
                          <a:xfrm>
                            <a:off x="0" y="0"/>
                            <a:ext cx="2876217" cy="1620000"/>
                          </a:xfrm>
                          <a:prstGeom prst="rect">
                            <a:avLst/>
                          </a:prstGeom>
                          <a:ln/>
                        </pic:spPr>
                      </pic:pic>
                    </a:graphicData>
                  </a:graphic>
                </wp:inline>
              </w:drawing>
            </w:r>
          </w:p>
        </w:tc>
        <w:tc>
          <w:tcPr>
            <w:tcW w:w="4531" w:type="dxa"/>
            <w:tcBorders>
              <w:top w:val="nil"/>
              <w:left w:val="nil"/>
              <w:bottom w:val="nil"/>
              <w:right w:val="nil"/>
            </w:tcBorders>
          </w:tcPr>
          <w:p w14:paraId="05498089" w14:textId="77777777" w:rsidR="00190774" w:rsidRDefault="00A55055">
            <w:pPr>
              <w:jc w:val="center"/>
              <w:rPr>
                <w:rFonts w:ascii="Times New Roman" w:eastAsia="Times New Roman" w:hAnsi="Times New Roman" w:cs="Times New Roman"/>
                <w:sz w:val="20"/>
                <w:szCs w:val="20"/>
              </w:rPr>
            </w:pPr>
            <w:r>
              <w:rPr>
                <w:rFonts w:ascii="Times New Roman" w:eastAsia="Times New Roman" w:hAnsi="Times New Roman" w:cs="Times New Roman"/>
                <w:b/>
                <w:noProof/>
                <w:sz w:val="20"/>
                <w:szCs w:val="20"/>
              </w:rPr>
              <w:drawing>
                <wp:inline distT="0" distB="0" distL="0" distR="0" wp14:anchorId="5CCEB225" wp14:editId="0095179A">
                  <wp:extent cx="2876216" cy="1620000"/>
                  <wp:effectExtent l="0" t="0" r="0" b="0"/>
                  <wp:docPr id="6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2876216" cy="1620000"/>
                          </a:xfrm>
                          <a:prstGeom prst="rect">
                            <a:avLst/>
                          </a:prstGeom>
                          <a:ln/>
                        </pic:spPr>
                      </pic:pic>
                    </a:graphicData>
                  </a:graphic>
                </wp:inline>
              </w:drawing>
            </w:r>
          </w:p>
        </w:tc>
      </w:tr>
      <w:tr w:rsidR="00190774" w14:paraId="4CC907B6" w14:textId="77777777">
        <w:tc>
          <w:tcPr>
            <w:tcW w:w="4530" w:type="dxa"/>
            <w:tcBorders>
              <w:top w:val="nil"/>
              <w:left w:val="nil"/>
              <w:bottom w:val="nil"/>
              <w:right w:val="nil"/>
            </w:tcBorders>
          </w:tcPr>
          <w:p w14:paraId="4D236873" w14:textId="77777777" w:rsidR="00190774" w:rsidRDefault="00A5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w:t>
            </w:r>
          </w:p>
        </w:tc>
        <w:tc>
          <w:tcPr>
            <w:tcW w:w="4531" w:type="dxa"/>
            <w:tcBorders>
              <w:top w:val="nil"/>
              <w:left w:val="nil"/>
              <w:bottom w:val="nil"/>
              <w:right w:val="nil"/>
            </w:tcBorders>
          </w:tcPr>
          <w:p w14:paraId="626ADDC4" w14:textId="77777777" w:rsidR="00190774" w:rsidRDefault="00A5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w:t>
            </w:r>
          </w:p>
          <w:p w14:paraId="38CA87D0" w14:textId="77777777" w:rsidR="00190774" w:rsidRDefault="00190774">
            <w:pPr>
              <w:jc w:val="center"/>
              <w:rPr>
                <w:rFonts w:ascii="Times New Roman" w:eastAsia="Times New Roman" w:hAnsi="Times New Roman" w:cs="Times New Roman"/>
                <w:sz w:val="20"/>
                <w:szCs w:val="20"/>
              </w:rPr>
            </w:pPr>
          </w:p>
        </w:tc>
      </w:tr>
      <w:tr w:rsidR="00190774" w14:paraId="453BAE17" w14:textId="77777777">
        <w:tc>
          <w:tcPr>
            <w:tcW w:w="4530" w:type="dxa"/>
            <w:tcBorders>
              <w:top w:val="nil"/>
              <w:left w:val="nil"/>
              <w:bottom w:val="nil"/>
              <w:right w:val="nil"/>
            </w:tcBorders>
          </w:tcPr>
          <w:p w14:paraId="5739A017" w14:textId="77777777" w:rsidR="00190774" w:rsidRDefault="00A55055">
            <w:pPr>
              <w:jc w:val="center"/>
              <w:rPr>
                <w:rFonts w:ascii="Times New Roman" w:eastAsia="Times New Roman" w:hAnsi="Times New Roman" w:cs="Times New Roman"/>
                <w:sz w:val="20"/>
                <w:szCs w:val="20"/>
              </w:rPr>
            </w:pPr>
            <w:r>
              <w:rPr>
                <w:rFonts w:ascii="Times New Roman" w:eastAsia="Times New Roman" w:hAnsi="Times New Roman" w:cs="Times New Roman"/>
                <w:b/>
                <w:noProof/>
                <w:sz w:val="20"/>
                <w:szCs w:val="20"/>
              </w:rPr>
              <w:lastRenderedPageBreak/>
              <w:drawing>
                <wp:inline distT="0" distB="0" distL="0" distR="0" wp14:anchorId="72B72078" wp14:editId="76659E44">
                  <wp:extent cx="2876217" cy="1620000"/>
                  <wp:effectExtent l="0" t="0" r="0" b="0"/>
                  <wp:docPr id="6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2876217" cy="1620000"/>
                          </a:xfrm>
                          <a:prstGeom prst="rect">
                            <a:avLst/>
                          </a:prstGeom>
                          <a:ln/>
                        </pic:spPr>
                      </pic:pic>
                    </a:graphicData>
                  </a:graphic>
                </wp:inline>
              </w:drawing>
            </w:r>
          </w:p>
        </w:tc>
        <w:tc>
          <w:tcPr>
            <w:tcW w:w="4531" w:type="dxa"/>
            <w:tcBorders>
              <w:top w:val="nil"/>
              <w:left w:val="nil"/>
              <w:bottom w:val="nil"/>
              <w:right w:val="nil"/>
            </w:tcBorders>
          </w:tcPr>
          <w:p w14:paraId="58BF7D6D" w14:textId="77777777" w:rsidR="00190774" w:rsidRDefault="00A55055">
            <w:pPr>
              <w:jc w:val="center"/>
              <w:rPr>
                <w:rFonts w:ascii="Times New Roman" w:eastAsia="Times New Roman" w:hAnsi="Times New Roman" w:cs="Times New Roman"/>
                <w:sz w:val="20"/>
                <w:szCs w:val="20"/>
              </w:rPr>
            </w:pPr>
            <w:r>
              <w:rPr>
                <w:rFonts w:ascii="Times New Roman" w:eastAsia="Times New Roman" w:hAnsi="Times New Roman" w:cs="Times New Roman"/>
                <w:b/>
                <w:noProof/>
                <w:sz w:val="20"/>
                <w:szCs w:val="20"/>
              </w:rPr>
              <w:drawing>
                <wp:inline distT="0" distB="0" distL="0" distR="0" wp14:anchorId="33759A0E" wp14:editId="41A3CE99">
                  <wp:extent cx="2876217" cy="1620000"/>
                  <wp:effectExtent l="0" t="0" r="0" b="0"/>
                  <wp:docPr id="7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1"/>
                          <a:srcRect/>
                          <a:stretch>
                            <a:fillRect/>
                          </a:stretch>
                        </pic:blipFill>
                        <pic:spPr>
                          <a:xfrm>
                            <a:off x="0" y="0"/>
                            <a:ext cx="2876217" cy="1620000"/>
                          </a:xfrm>
                          <a:prstGeom prst="rect">
                            <a:avLst/>
                          </a:prstGeom>
                          <a:ln/>
                        </pic:spPr>
                      </pic:pic>
                    </a:graphicData>
                  </a:graphic>
                </wp:inline>
              </w:drawing>
            </w:r>
          </w:p>
        </w:tc>
      </w:tr>
      <w:tr w:rsidR="00190774" w14:paraId="5CE54063" w14:textId="77777777">
        <w:tc>
          <w:tcPr>
            <w:tcW w:w="4530" w:type="dxa"/>
            <w:tcBorders>
              <w:top w:val="nil"/>
              <w:left w:val="nil"/>
              <w:bottom w:val="nil"/>
              <w:right w:val="nil"/>
            </w:tcBorders>
          </w:tcPr>
          <w:p w14:paraId="1D928CFD" w14:textId="77777777" w:rsidR="00190774" w:rsidRDefault="00A5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w:t>
            </w:r>
          </w:p>
        </w:tc>
        <w:tc>
          <w:tcPr>
            <w:tcW w:w="4531" w:type="dxa"/>
            <w:tcBorders>
              <w:top w:val="nil"/>
              <w:left w:val="nil"/>
              <w:bottom w:val="nil"/>
              <w:right w:val="nil"/>
            </w:tcBorders>
          </w:tcPr>
          <w:p w14:paraId="1A377737" w14:textId="77777777" w:rsidR="00190774" w:rsidRDefault="00A55055">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w:t>
            </w:r>
          </w:p>
        </w:tc>
      </w:tr>
    </w:tbl>
    <w:p w14:paraId="61E3F3C6" w14:textId="77777777" w:rsidR="00190774" w:rsidRDefault="00A55055">
      <w:pPr>
        <w:pBdr>
          <w:top w:val="nil"/>
          <w:left w:val="nil"/>
          <w:bottom w:val="nil"/>
          <w:right w:val="nil"/>
          <w:between w:val="nil"/>
        </w:pBdr>
        <w:ind w:firstLine="28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Figura </w:t>
      </w:r>
      <w:r>
        <w:rPr>
          <w:rFonts w:ascii="Times New Roman" w:eastAsia="Times New Roman" w:hAnsi="Times New Roman" w:cs="Times New Roman"/>
          <w:b/>
          <w:sz w:val="20"/>
          <w:szCs w:val="20"/>
        </w:rPr>
        <w:t>4</w:t>
      </w:r>
      <w:r>
        <w:rPr>
          <w:rFonts w:ascii="Times New Roman" w:eastAsia="Times New Roman" w:hAnsi="Times New Roman" w:cs="Times New Roman"/>
          <w:b/>
          <w:color w:val="000000"/>
          <w:sz w:val="20"/>
          <w:szCs w:val="20"/>
        </w:rPr>
        <w:t xml:space="preserve">: (a) A usina, (b) Fachada Leste, (c) Área interna laboratório de artefatos, (d) Area interna laboratório de </w:t>
      </w:r>
      <w:r>
        <w:rPr>
          <w:rFonts w:ascii="Times New Roman" w:eastAsia="Times New Roman" w:hAnsi="Times New Roman" w:cs="Times New Roman"/>
          <w:b/>
          <w:color w:val="000000"/>
          <w:sz w:val="20"/>
          <w:szCs w:val="20"/>
        </w:rPr>
        <w:t>processamento. Fonte: os autores.</w:t>
      </w:r>
    </w:p>
    <w:p w14:paraId="010BDCA8" w14:textId="77777777" w:rsidR="00190774" w:rsidRDefault="00190774">
      <w:pPr>
        <w:pBdr>
          <w:top w:val="nil"/>
          <w:left w:val="nil"/>
          <w:bottom w:val="nil"/>
          <w:right w:val="nil"/>
          <w:between w:val="nil"/>
        </w:pBdr>
        <w:ind w:firstLine="284"/>
        <w:jc w:val="center"/>
        <w:rPr>
          <w:rFonts w:ascii="Times New Roman" w:eastAsia="Times New Roman" w:hAnsi="Times New Roman" w:cs="Times New Roman"/>
          <w:b/>
          <w:color w:val="000000"/>
          <w:sz w:val="20"/>
          <w:szCs w:val="20"/>
        </w:rPr>
      </w:pPr>
    </w:p>
    <w:p w14:paraId="3F1CD7D2" w14:textId="77777777" w:rsidR="00190774" w:rsidRDefault="00A55055">
      <w:pPr>
        <w:spacing w:after="0"/>
        <w:ind w:firstLine="284"/>
        <w:jc w:val="center"/>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0" distB="0" distL="0" distR="0" wp14:anchorId="4439904F" wp14:editId="6F620089">
            <wp:extent cx="3417503" cy="3103251"/>
            <wp:effectExtent l="0" t="0" r="0" b="0"/>
            <wp:docPr id="69" name="image7.png" descr="Diagrama, Desenho técni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7.png" descr="Diagrama, Desenho técnico&#10;&#10;Descrição gerada automaticamente"/>
                    <pic:cNvPicPr preferRelativeResize="0"/>
                  </pic:nvPicPr>
                  <pic:blipFill>
                    <a:blip r:embed="rId22"/>
                    <a:srcRect/>
                    <a:stretch>
                      <a:fillRect/>
                    </a:stretch>
                  </pic:blipFill>
                  <pic:spPr>
                    <a:xfrm>
                      <a:off x="0" y="0"/>
                      <a:ext cx="3417503" cy="3103251"/>
                    </a:xfrm>
                    <a:prstGeom prst="rect">
                      <a:avLst/>
                    </a:prstGeom>
                    <a:ln/>
                  </pic:spPr>
                </pic:pic>
              </a:graphicData>
            </a:graphic>
          </wp:inline>
        </w:drawing>
      </w:r>
    </w:p>
    <w:p w14:paraId="5090755F" w14:textId="77777777" w:rsidR="00190774" w:rsidRDefault="00A55055">
      <w:pPr>
        <w:pBdr>
          <w:top w:val="nil"/>
          <w:left w:val="nil"/>
          <w:bottom w:val="nil"/>
          <w:right w:val="nil"/>
          <w:between w:val="nil"/>
        </w:pBdr>
        <w:spacing w:after="0"/>
        <w:ind w:firstLine="28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Figura </w:t>
      </w:r>
      <w:r>
        <w:rPr>
          <w:rFonts w:ascii="Times New Roman" w:eastAsia="Times New Roman" w:hAnsi="Times New Roman" w:cs="Times New Roman"/>
          <w:b/>
          <w:sz w:val="20"/>
          <w:szCs w:val="20"/>
        </w:rPr>
        <w:t>5</w:t>
      </w:r>
      <w:r>
        <w:rPr>
          <w:rFonts w:ascii="Times New Roman" w:eastAsia="Times New Roman" w:hAnsi="Times New Roman" w:cs="Times New Roman"/>
          <w:b/>
          <w:color w:val="000000"/>
          <w:sz w:val="20"/>
          <w:szCs w:val="20"/>
        </w:rPr>
        <w:t>: Tecnologias verdes. Fonte: Fonte: os autores.</w:t>
      </w:r>
    </w:p>
    <w:p w14:paraId="50F399E6" w14:textId="77777777" w:rsidR="00190774" w:rsidRDefault="00190774">
      <w:pPr>
        <w:ind w:firstLine="284"/>
        <w:jc w:val="center"/>
        <w:rPr>
          <w:rFonts w:ascii="Times New Roman" w:eastAsia="Times New Roman" w:hAnsi="Times New Roman" w:cs="Times New Roman"/>
          <w:b/>
        </w:rPr>
      </w:pPr>
    </w:p>
    <w:p w14:paraId="2C63E4F9" w14:textId="77777777" w:rsidR="00190774" w:rsidRDefault="00A55055">
      <w:pPr>
        <w:spacing w:after="0"/>
        <w:ind w:firstLine="284"/>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14:anchorId="1DBB7FCF" wp14:editId="3D22DB60">
            <wp:extent cx="5039657" cy="2357496"/>
            <wp:effectExtent l="0" t="0" r="0" b="0"/>
            <wp:docPr id="70"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23"/>
                    <a:srcRect b="50407"/>
                    <a:stretch>
                      <a:fillRect/>
                    </a:stretch>
                  </pic:blipFill>
                  <pic:spPr>
                    <a:xfrm>
                      <a:off x="0" y="0"/>
                      <a:ext cx="5039657" cy="2357496"/>
                    </a:xfrm>
                    <a:prstGeom prst="rect">
                      <a:avLst/>
                    </a:prstGeom>
                    <a:ln/>
                  </pic:spPr>
                </pic:pic>
              </a:graphicData>
            </a:graphic>
          </wp:inline>
        </w:drawing>
      </w:r>
    </w:p>
    <w:p w14:paraId="0F53E4D3" w14:textId="77777777" w:rsidR="00190774" w:rsidRDefault="00A55055">
      <w:pPr>
        <w:pBdr>
          <w:top w:val="nil"/>
          <w:left w:val="nil"/>
          <w:bottom w:val="nil"/>
          <w:right w:val="nil"/>
          <w:between w:val="nil"/>
        </w:pBdr>
        <w:spacing w:after="0"/>
        <w:ind w:firstLine="28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Figura 6: D</w:t>
      </w:r>
      <w:r>
        <w:rPr>
          <w:rFonts w:ascii="Times New Roman" w:eastAsia="Times New Roman" w:hAnsi="Times New Roman" w:cs="Times New Roman"/>
          <w:b/>
          <w:color w:val="000000"/>
          <w:sz w:val="20"/>
          <w:szCs w:val="20"/>
        </w:rPr>
        <w:t>etalhes e soluções influenciam a edificação. Fonte: os autores.</w:t>
      </w:r>
    </w:p>
    <w:p w14:paraId="207E2741" w14:textId="77777777" w:rsidR="00190774" w:rsidRDefault="00190774">
      <w:pPr>
        <w:ind w:firstLine="284"/>
        <w:jc w:val="center"/>
        <w:rPr>
          <w:rFonts w:ascii="Times New Roman" w:eastAsia="Times New Roman" w:hAnsi="Times New Roman" w:cs="Times New Roman"/>
        </w:rPr>
      </w:pPr>
    </w:p>
    <w:p w14:paraId="22B4AFB9" w14:textId="77777777" w:rsidR="00190774" w:rsidRDefault="00A55055">
      <w:pPr>
        <w:spacing w:after="0"/>
        <w:ind w:firstLine="284"/>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7D46CE09" wp14:editId="205B1925">
            <wp:extent cx="5173729" cy="2325524"/>
            <wp:effectExtent l="0" t="0" r="0" b="0"/>
            <wp:docPr id="72" name="image4.jp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4.jpg" descr="Diagrama&#10;&#10;Descrição gerada automaticamente"/>
                    <pic:cNvPicPr preferRelativeResize="0"/>
                  </pic:nvPicPr>
                  <pic:blipFill>
                    <a:blip r:embed="rId24"/>
                    <a:srcRect t="56109"/>
                    <a:stretch>
                      <a:fillRect/>
                    </a:stretch>
                  </pic:blipFill>
                  <pic:spPr>
                    <a:xfrm>
                      <a:off x="0" y="0"/>
                      <a:ext cx="5173729" cy="2325524"/>
                    </a:xfrm>
                    <a:prstGeom prst="rect">
                      <a:avLst/>
                    </a:prstGeom>
                    <a:ln/>
                  </pic:spPr>
                </pic:pic>
              </a:graphicData>
            </a:graphic>
          </wp:inline>
        </w:drawing>
      </w:r>
    </w:p>
    <w:p w14:paraId="08C60E26" w14:textId="77777777" w:rsidR="00190774" w:rsidRDefault="00A55055">
      <w:pPr>
        <w:pBdr>
          <w:top w:val="nil"/>
          <w:left w:val="nil"/>
          <w:bottom w:val="nil"/>
          <w:right w:val="nil"/>
          <w:between w:val="nil"/>
        </w:pBdr>
        <w:spacing w:after="0"/>
        <w:ind w:firstLine="284"/>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sz w:val="20"/>
          <w:szCs w:val="20"/>
        </w:rPr>
        <w:t xml:space="preserve">Figura 7: </w:t>
      </w:r>
      <w:r>
        <w:rPr>
          <w:rFonts w:ascii="Times New Roman" w:eastAsia="Times New Roman" w:hAnsi="Times New Roman" w:cs="Times New Roman"/>
          <w:b/>
          <w:color w:val="000000"/>
          <w:sz w:val="20"/>
          <w:szCs w:val="20"/>
        </w:rPr>
        <w:t>Ventilação natural como estratégia bioclimática. Fonte: os autores.</w:t>
      </w:r>
    </w:p>
    <w:p w14:paraId="3119754A" w14:textId="77777777" w:rsidR="00190774" w:rsidRDefault="00190774">
      <w:pPr>
        <w:pBdr>
          <w:top w:val="nil"/>
          <w:left w:val="nil"/>
          <w:bottom w:val="nil"/>
          <w:right w:val="nil"/>
          <w:between w:val="nil"/>
        </w:pBdr>
        <w:spacing w:after="0"/>
        <w:ind w:firstLine="284"/>
        <w:jc w:val="center"/>
        <w:rPr>
          <w:rFonts w:ascii="Times New Roman" w:eastAsia="Times New Roman" w:hAnsi="Times New Roman" w:cs="Times New Roman"/>
          <w:b/>
          <w:color w:val="000000"/>
          <w:sz w:val="20"/>
          <w:szCs w:val="20"/>
        </w:rPr>
      </w:pPr>
    </w:p>
    <w:p w14:paraId="38B5552D" w14:textId="77777777" w:rsidR="00190774" w:rsidRDefault="00190774">
      <w:pPr>
        <w:pBdr>
          <w:top w:val="nil"/>
          <w:left w:val="nil"/>
          <w:bottom w:val="nil"/>
          <w:right w:val="nil"/>
          <w:between w:val="nil"/>
        </w:pBdr>
        <w:spacing w:after="0"/>
        <w:ind w:firstLine="284"/>
        <w:jc w:val="center"/>
        <w:rPr>
          <w:rFonts w:ascii="Times New Roman" w:eastAsia="Times New Roman" w:hAnsi="Times New Roman" w:cs="Times New Roman"/>
          <w:b/>
          <w:color w:val="000000"/>
          <w:sz w:val="20"/>
          <w:szCs w:val="20"/>
        </w:rPr>
      </w:pPr>
    </w:p>
    <w:p w14:paraId="1F916928" w14:textId="77777777" w:rsidR="00190774" w:rsidRDefault="00A55055">
      <w:pPr>
        <w:numPr>
          <w:ilvl w:val="0"/>
          <w:numId w:val="1"/>
        </w:numPr>
        <w:pBdr>
          <w:top w:val="nil"/>
          <w:left w:val="nil"/>
          <w:bottom w:val="nil"/>
          <w:right w:val="nil"/>
          <w:between w:val="nil"/>
        </w:pBdr>
        <w:ind w:left="0" w:firstLine="284"/>
        <w:jc w:val="left"/>
        <w:rPr>
          <w:rFonts w:ascii="Times New Roman" w:eastAsia="Times New Roman" w:hAnsi="Times New Roman" w:cs="Times New Roman"/>
          <w:b/>
          <w:color w:val="000000"/>
        </w:rPr>
      </w:pPr>
      <w:r>
        <w:rPr>
          <w:rFonts w:ascii="Times New Roman" w:eastAsia="Times New Roman" w:hAnsi="Times New Roman" w:cs="Times New Roman"/>
          <w:b/>
          <w:color w:val="000000"/>
        </w:rPr>
        <w:t>Conclusões</w:t>
      </w:r>
    </w:p>
    <w:p w14:paraId="287BD3C9" w14:textId="77777777" w:rsidR="00190774" w:rsidRDefault="00190774">
      <w:pPr>
        <w:pBdr>
          <w:top w:val="nil"/>
          <w:left w:val="nil"/>
          <w:bottom w:val="nil"/>
          <w:right w:val="nil"/>
          <w:between w:val="nil"/>
        </w:pBdr>
        <w:ind w:firstLine="284"/>
        <w:jc w:val="left"/>
        <w:rPr>
          <w:rFonts w:ascii="Times New Roman" w:eastAsia="Times New Roman" w:hAnsi="Times New Roman" w:cs="Times New Roman"/>
          <w:b/>
          <w:color w:val="000000"/>
        </w:rPr>
      </w:pPr>
    </w:p>
    <w:p w14:paraId="31789EF6"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Presente e futuro clamam por técnicas e tecnologias construtivas que sejam realizadas em prol da natureza. Obras civis, mesmo que necessárias, são responsáveis por gerar desequilíbrios ambientais devido à grande geração de resíduos, às emissões de gases de</w:t>
      </w:r>
      <w:r>
        <w:rPr>
          <w:rFonts w:ascii="Times New Roman" w:eastAsia="Times New Roman" w:hAnsi="Times New Roman" w:cs="Times New Roman"/>
        </w:rPr>
        <w:t xml:space="preserve"> efeito estufa e ao consumo de recursos naturais. </w:t>
      </w:r>
    </w:p>
    <w:p w14:paraId="7B770E24"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 xml:space="preserve">Goiânia, assim como muitas cidades brasileiras, enfrenta diversos problemas quanto ao gerenciamento de seus resíduos de construção e demolição, não possui local específico e adequado para recepção, manejo </w:t>
      </w:r>
      <w:r>
        <w:rPr>
          <w:rFonts w:ascii="Times New Roman" w:eastAsia="Times New Roman" w:hAnsi="Times New Roman" w:cs="Times New Roman"/>
        </w:rPr>
        <w:t xml:space="preserve">e destinação final dos RCD. Diante deste contexto, levando em consideração a intensa atividade do setor da construção civil na capital, desenvolver o </w:t>
      </w:r>
      <w:r>
        <w:rPr>
          <w:rFonts w:ascii="Times New Roman" w:eastAsia="Times New Roman" w:hAnsi="Times New Roman" w:cs="Times New Roman"/>
        </w:rPr>
        <w:lastRenderedPageBreak/>
        <w:t>projeto arquitetônico de uma usina de reciclagem de resíduos de construção e demolição para Goiânia se mos</w:t>
      </w:r>
      <w:r>
        <w:rPr>
          <w:rFonts w:ascii="Times New Roman" w:eastAsia="Times New Roman" w:hAnsi="Times New Roman" w:cs="Times New Roman"/>
        </w:rPr>
        <w:t>trou muito relevante. Assim, este trabalho buscou incentivar esta prática, por meio da pesquisa e do projeto proposto baseado em aspectos bioclimáticos, para estimular a utilização das estratégias favoráveis ao consumo energético eficiente e ao conforto am</w:t>
      </w:r>
      <w:r>
        <w:rPr>
          <w:rFonts w:ascii="Times New Roman" w:eastAsia="Times New Roman" w:hAnsi="Times New Roman" w:cs="Times New Roman"/>
        </w:rPr>
        <w:t xml:space="preserve">biental. </w:t>
      </w:r>
    </w:p>
    <w:p w14:paraId="216685EC"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Além disso, foram adotadas soluções projetuais vinculadas à localização e ao contexto da obra; buscou-se a otimização de recursos, a partir do uso de materiais reaproveitados, de resíduos, de materiais locais; optou-se pela captação de água da ch</w:t>
      </w:r>
      <w:r>
        <w:rPr>
          <w:rFonts w:ascii="Times New Roman" w:eastAsia="Times New Roman" w:hAnsi="Times New Roman" w:cs="Times New Roman"/>
        </w:rPr>
        <w:t>uva, para reuso em peças sanitárias e para reaproveitamento na manutenção e irrigação das áreas verdes; adotou-se condicionamento e aquecimento do ar por meio de iluminação e ventilação naturais.</w:t>
      </w:r>
    </w:p>
    <w:p w14:paraId="752C7889" w14:textId="77777777" w:rsidR="00190774" w:rsidRDefault="00A55055">
      <w:pPr>
        <w:ind w:firstLine="284"/>
        <w:rPr>
          <w:rFonts w:ascii="Times New Roman" w:eastAsia="Times New Roman" w:hAnsi="Times New Roman" w:cs="Times New Roman"/>
        </w:rPr>
      </w:pPr>
      <w:r>
        <w:rPr>
          <w:rFonts w:ascii="Times New Roman" w:eastAsia="Times New Roman" w:hAnsi="Times New Roman" w:cs="Times New Roman"/>
        </w:rPr>
        <w:t>Acredita-se que a prática arquitetônica, bem como a construç</w:t>
      </w:r>
      <w:r>
        <w:rPr>
          <w:rFonts w:ascii="Times New Roman" w:eastAsia="Times New Roman" w:hAnsi="Times New Roman" w:cs="Times New Roman"/>
        </w:rPr>
        <w:t>ão civil, deve colaborar com a manutenção do meio ambiente, oferecer soluções aos problemas ambientais por elas mesmas causados e assim, tornarem-se referência e inspiração para futuros profissionais sintonizados com a sustentabilidade e demais questões bi</w:t>
      </w:r>
      <w:r>
        <w:rPr>
          <w:rFonts w:ascii="Times New Roman" w:eastAsia="Times New Roman" w:hAnsi="Times New Roman" w:cs="Times New Roman"/>
        </w:rPr>
        <w:t>oclimáticas.</w:t>
      </w:r>
    </w:p>
    <w:p w14:paraId="46191CC0" w14:textId="77777777" w:rsidR="00190774" w:rsidRDefault="00190774">
      <w:pPr>
        <w:ind w:firstLine="284"/>
        <w:rPr>
          <w:rFonts w:ascii="Times New Roman" w:eastAsia="Times New Roman" w:hAnsi="Times New Roman" w:cs="Times New Roman"/>
        </w:rPr>
      </w:pPr>
    </w:p>
    <w:p w14:paraId="4C70CAB0" w14:textId="77777777" w:rsidR="00190774" w:rsidRDefault="00190774">
      <w:pPr>
        <w:ind w:firstLine="284"/>
        <w:rPr>
          <w:rFonts w:ascii="Times New Roman" w:eastAsia="Times New Roman" w:hAnsi="Times New Roman" w:cs="Times New Roman"/>
        </w:rPr>
      </w:pPr>
    </w:p>
    <w:p w14:paraId="1E1CB315" w14:textId="77777777" w:rsidR="00190774" w:rsidRDefault="00A55055">
      <w:pPr>
        <w:pBdr>
          <w:top w:val="nil"/>
          <w:left w:val="nil"/>
          <w:bottom w:val="nil"/>
          <w:right w:val="nil"/>
          <w:between w:val="nil"/>
        </w:pBdr>
        <w:ind w:firstLine="284"/>
        <w:jc w:val="left"/>
        <w:rPr>
          <w:rFonts w:ascii="Times New Roman" w:eastAsia="Times New Roman" w:hAnsi="Times New Roman" w:cs="Times New Roman"/>
          <w:b/>
          <w:color w:val="000000"/>
        </w:rPr>
      </w:pPr>
      <w:r>
        <w:rPr>
          <w:rFonts w:ascii="Times New Roman" w:eastAsia="Times New Roman" w:hAnsi="Times New Roman" w:cs="Times New Roman"/>
          <w:b/>
          <w:color w:val="000000"/>
        </w:rPr>
        <w:t>Referências</w:t>
      </w:r>
    </w:p>
    <w:p w14:paraId="4E0EEABE" w14:textId="77777777" w:rsidR="00190774" w:rsidRDefault="00190774">
      <w:pPr>
        <w:jc w:val="left"/>
        <w:rPr>
          <w:rFonts w:ascii="Times New Roman" w:eastAsia="Times New Roman" w:hAnsi="Times New Roman" w:cs="Times New Roman"/>
        </w:rPr>
      </w:pPr>
    </w:p>
    <w:p w14:paraId="2D506B1E" w14:textId="77777777" w:rsidR="00190774" w:rsidRDefault="00A55055">
      <w:pPr>
        <w:jc w:val="left"/>
        <w:rPr>
          <w:rFonts w:ascii="Times New Roman" w:eastAsia="Times New Roman" w:hAnsi="Times New Roman" w:cs="Times New Roman"/>
        </w:rPr>
      </w:pPr>
      <w:r>
        <w:rPr>
          <w:rFonts w:ascii="Times New Roman" w:eastAsia="Times New Roman" w:hAnsi="Times New Roman" w:cs="Times New Roman"/>
        </w:rPr>
        <w:t xml:space="preserve">ABNT. ASSOCIAÇÃO BRASILEIRA DE NORMAS TÉCNICAS. NBR 10.004: </w:t>
      </w:r>
      <w:r>
        <w:rPr>
          <w:rFonts w:ascii="Times New Roman" w:eastAsia="Times New Roman" w:hAnsi="Times New Roman" w:cs="Times New Roman"/>
          <w:b/>
        </w:rPr>
        <w:t>Resíduos sólidos classificação</w:t>
      </w:r>
      <w:r>
        <w:rPr>
          <w:rFonts w:ascii="Times New Roman" w:eastAsia="Times New Roman" w:hAnsi="Times New Roman" w:cs="Times New Roman"/>
        </w:rPr>
        <w:t xml:space="preserve">. Rio de Janeiro, 2002. </w:t>
      </w:r>
    </w:p>
    <w:p w14:paraId="012A2D8D" w14:textId="77777777" w:rsidR="00190774" w:rsidRDefault="00A55055">
      <w:pPr>
        <w:jc w:val="left"/>
        <w:rPr>
          <w:rFonts w:ascii="Times New Roman" w:eastAsia="Times New Roman" w:hAnsi="Times New Roman" w:cs="Times New Roman"/>
        </w:rPr>
      </w:pPr>
      <w:r>
        <w:rPr>
          <w:rFonts w:ascii="Times New Roman" w:eastAsia="Times New Roman" w:hAnsi="Times New Roman" w:cs="Times New Roman"/>
        </w:rPr>
        <w:t>ABRECON. ASSOCIAÇÃO BRASILEIRA PARA RECICLAGEM DE RESÍDUOS DA CONSTRUÇÃO CIVIL E DEMOLIÇÃO. Disponível em: &lt;</w:t>
      </w:r>
      <w:hyperlink r:id="rId25">
        <w:r>
          <w:rPr>
            <w:rFonts w:ascii="Times New Roman" w:eastAsia="Times New Roman" w:hAnsi="Times New Roman" w:cs="Times New Roman"/>
            <w:color w:val="0000FF"/>
            <w:u w:val="single"/>
          </w:rPr>
          <w:t>https://abrecon.org.br/</w:t>
        </w:r>
      </w:hyperlink>
      <w:r>
        <w:rPr>
          <w:rFonts w:ascii="Times New Roman" w:eastAsia="Times New Roman" w:hAnsi="Times New Roman" w:cs="Times New Roman"/>
        </w:rPr>
        <w:t xml:space="preserve">&gt;Acesso em: 23 out. 2020. </w:t>
      </w:r>
    </w:p>
    <w:p w14:paraId="4A2230EC" w14:textId="77777777" w:rsidR="00190774" w:rsidRDefault="00A55055">
      <w:pPr>
        <w:jc w:val="left"/>
        <w:rPr>
          <w:rFonts w:ascii="Times New Roman" w:eastAsia="Times New Roman" w:hAnsi="Times New Roman" w:cs="Times New Roman"/>
        </w:rPr>
      </w:pPr>
      <w:r>
        <w:rPr>
          <w:rFonts w:ascii="Times New Roman" w:eastAsia="Times New Roman" w:hAnsi="Times New Roman" w:cs="Times New Roman"/>
        </w:rPr>
        <w:t xml:space="preserve">ABRELPE. ASSOCIAÇÃO BRASILEIRA DE EMPRESAS DE LIMPEZA PÚBLICA E RESÍDUOS ESPECIAIS. </w:t>
      </w:r>
      <w:r>
        <w:rPr>
          <w:rFonts w:ascii="Times New Roman" w:eastAsia="Times New Roman" w:hAnsi="Times New Roman" w:cs="Times New Roman"/>
          <w:b/>
        </w:rPr>
        <w:t>Panorama dos resíduos sólidos no Brasil 2018/2019</w:t>
      </w:r>
      <w:r>
        <w:rPr>
          <w:rFonts w:ascii="Times New Roman" w:eastAsia="Times New Roman" w:hAnsi="Times New Roman" w:cs="Times New Roman"/>
        </w:rPr>
        <w:t>. São Paulo, 2019.</w:t>
      </w:r>
    </w:p>
    <w:p w14:paraId="1CBB9824" w14:textId="77777777" w:rsidR="00190774" w:rsidRDefault="00A55055">
      <w:pPr>
        <w:jc w:val="left"/>
        <w:rPr>
          <w:rFonts w:ascii="Times New Roman" w:eastAsia="Times New Roman" w:hAnsi="Times New Roman" w:cs="Times New Roman"/>
        </w:rPr>
      </w:pPr>
      <w:r>
        <w:rPr>
          <w:rFonts w:ascii="Times New Roman" w:eastAsia="Times New Roman" w:hAnsi="Times New Roman" w:cs="Times New Roman"/>
        </w:rPr>
        <w:t>BLUMENSCHEIN, R.</w:t>
      </w:r>
      <w:r>
        <w:rPr>
          <w:rFonts w:ascii="Times New Roman" w:eastAsia="Times New Roman" w:hAnsi="Times New Roman" w:cs="Times New Roman"/>
        </w:rPr>
        <w:t xml:space="preserve"> N. </w:t>
      </w:r>
      <w:r>
        <w:rPr>
          <w:rFonts w:ascii="Times New Roman" w:eastAsia="Times New Roman" w:hAnsi="Times New Roman" w:cs="Times New Roman"/>
          <w:b/>
        </w:rPr>
        <w:t>A Sustentabilidade na Cadeia Produtiva da Indústria da Construção</w:t>
      </w:r>
      <w:r>
        <w:rPr>
          <w:rFonts w:ascii="Times New Roman" w:eastAsia="Times New Roman" w:hAnsi="Times New Roman" w:cs="Times New Roman"/>
        </w:rPr>
        <w:t xml:space="preserve">: Universidade de Brasília, 30 jun. 2004. </w:t>
      </w:r>
    </w:p>
    <w:p w14:paraId="63C86A2D" w14:textId="77777777" w:rsidR="00190774" w:rsidRDefault="00A55055">
      <w:pPr>
        <w:jc w:val="left"/>
        <w:rPr>
          <w:rFonts w:ascii="Times New Roman" w:eastAsia="Times New Roman" w:hAnsi="Times New Roman" w:cs="Times New Roman"/>
        </w:rPr>
      </w:pPr>
      <w:r>
        <w:rPr>
          <w:rFonts w:ascii="Times New Roman" w:eastAsia="Times New Roman" w:hAnsi="Times New Roman" w:cs="Times New Roman"/>
        </w:rPr>
        <w:t xml:space="preserve">BLUMENSCHEIN, R. N. Manual Técnico: </w:t>
      </w:r>
      <w:r>
        <w:rPr>
          <w:rFonts w:ascii="Times New Roman" w:eastAsia="Times New Roman" w:hAnsi="Times New Roman" w:cs="Times New Roman"/>
          <w:b/>
        </w:rPr>
        <w:t>Gestão de Resíduos Sólidos em Canteiros de Obras</w:t>
      </w:r>
      <w:r>
        <w:rPr>
          <w:rFonts w:ascii="Times New Roman" w:eastAsia="Times New Roman" w:hAnsi="Times New Roman" w:cs="Times New Roman"/>
        </w:rPr>
        <w:t xml:space="preserve">. Brasília: SEBRAE/DF. 2007. 48 p. </w:t>
      </w:r>
    </w:p>
    <w:p w14:paraId="1A9E3D08" w14:textId="77777777" w:rsidR="00190774" w:rsidRDefault="00A55055">
      <w:pPr>
        <w:jc w:val="left"/>
        <w:rPr>
          <w:rFonts w:ascii="Times New Roman" w:eastAsia="Times New Roman" w:hAnsi="Times New Roman" w:cs="Times New Roman"/>
        </w:rPr>
      </w:pPr>
      <w:r>
        <w:rPr>
          <w:rFonts w:ascii="Times New Roman" w:eastAsia="Times New Roman" w:hAnsi="Times New Roman" w:cs="Times New Roman"/>
        </w:rPr>
        <w:t xml:space="preserve">COLVERO, A. D. </w:t>
      </w:r>
      <w:r>
        <w:rPr>
          <w:rFonts w:ascii="Times New Roman" w:eastAsia="Times New Roman" w:hAnsi="Times New Roman" w:cs="Times New Roman"/>
          <w:i/>
        </w:rPr>
        <w:t>et al</w:t>
      </w:r>
      <w:r>
        <w:rPr>
          <w:rFonts w:ascii="Times New Roman" w:eastAsia="Times New Roman" w:hAnsi="Times New Roman" w:cs="Times New Roman"/>
        </w:rPr>
        <w:t xml:space="preserve">. </w:t>
      </w:r>
      <w:r>
        <w:rPr>
          <w:rFonts w:ascii="Times New Roman" w:eastAsia="Times New Roman" w:hAnsi="Times New Roman" w:cs="Times New Roman"/>
          <w:b/>
        </w:rPr>
        <w:t>Aterro Sanitário de Goiânia: uma identidade territorial e a vulnerabilidade e exclusão social da população do seu entorno</w:t>
      </w:r>
      <w:r>
        <w:rPr>
          <w:rFonts w:ascii="Times New Roman" w:eastAsia="Times New Roman" w:hAnsi="Times New Roman" w:cs="Times New Roman"/>
        </w:rPr>
        <w:t xml:space="preserve">. Engenharia Ambiental – Espírito Santo do Pinhal, v.14, n.2, p.03-20, jul./dez. 2017. </w:t>
      </w:r>
    </w:p>
    <w:p w14:paraId="439818F9" w14:textId="77777777" w:rsidR="00190774" w:rsidRDefault="00A55055">
      <w:pPr>
        <w:jc w:val="left"/>
        <w:rPr>
          <w:rFonts w:ascii="Times New Roman" w:eastAsia="Times New Roman" w:hAnsi="Times New Roman" w:cs="Times New Roman"/>
        </w:rPr>
      </w:pPr>
      <w:r>
        <w:rPr>
          <w:rFonts w:ascii="Times New Roman" w:eastAsia="Times New Roman" w:hAnsi="Times New Roman" w:cs="Times New Roman"/>
        </w:rPr>
        <w:t>CONAMA. Resolução nº 307, de 05 de julho de 200</w:t>
      </w:r>
      <w:r>
        <w:rPr>
          <w:rFonts w:ascii="Times New Roman" w:eastAsia="Times New Roman" w:hAnsi="Times New Roman" w:cs="Times New Roman"/>
        </w:rPr>
        <w:t xml:space="preserve">2. </w:t>
      </w:r>
      <w:r>
        <w:rPr>
          <w:rFonts w:ascii="Times New Roman" w:eastAsia="Times New Roman" w:hAnsi="Times New Roman" w:cs="Times New Roman"/>
          <w:b/>
        </w:rPr>
        <w:t>Diário Oficial da União</w:t>
      </w:r>
      <w:r>
        <w:rPr>
          <w:rFonts w:ascii="Times New Roman" w:eastAsia="Times New Roman" w:hAnsi="Times New Roman" w:cs="Times New Roman"/>
        </w:rPr>
        <w:t xml:space="preserve">, Brasília - DF, 17 de julho de 2002. </w:t>
      </w:r>
    </w:p>
    <w:p w14:paraId="3D02E3B8" w14:textId="77777777" w:rsidR="00190774" w:rsidRDefault="00A55055">
      <w:pPr>
        <w:jc w:val="left"/>
        <w:rPr>
          <w:rFonts w:ascii="Times New Roman" w:eastAsia="Times New Roman" w:hAnsi="Times New Roman" w:cs="Times New Roman"/>
        </w:rPr>
      </w:pPr>
      <w:r>
        <w:rPr>
          <w:rFonts w:ascii="Times New Roman" w:eastAsia="Times New Roman" w:hAnsi="Times New Roman" w:cs="Times New Roman"/>
        </w:rPr>
        <w:t xml:space="preserve">CONAMA. Resolução nº 448, de 18 de janeiro de 2012. </w:t>
      </w:r>
      <w:r>
        <w:rPr>
          <w:rFonts w:ascii="Times New Roman" w:eastAsia="Times New Roman" w:hAnsi="Times New Roman" w:cs="Times New Roman"/>
          <w:b/>
        </w:rPr>
        <w:t>Diário Oficial da União</w:t>
      </w:r>
      <w:r>
        <w:rPr>
          <w:rFonts w:ascii="Times New Roman" w:eastAsia="Times New Roman" w:hAnsi="Times New Roman" w:cs="Times New Roman"/>
        </w:rPr>
        <w:t xml:space="preserve">, Brasília - DF, 19 de janeiro de 2012. </w:t>
      </w:r>
    </w:p>
    <w:p w14:paraId="32E6ECD3" w14:textId="77777777" w:rsidR="00190774" w:rsidRDefault="00A55055">
      <w:pPr>
        <w:jc w:val="left"/>
        <w:rPr>
          <w:rFonts w:ascii="Times New Roman" w:eastAsia="Times New Roman" w:hAnsi="Times New Roman" w:cs="Times New Roman"/>
        </w:rPr>
      </w:pPr>
      <w:r>
        <w:rPr>
          <w:rFonts w:ascii="Times New Roman" w:eastAsia="Times New Roman" w:hAnsi="Times New Roman" w:cs="Times New Roman"/>
        </w:rPr>
        <w:lastRenderedPageBreak/>
        <w:t xml:space="preserve">DE OLIVEIRA, J. C. </w:t>
      </w:r>
      <w:r>
        <w:rPr>
          <w:rFonts w:ascii="Times New Roman" w:eastAsia="Times New Roman" w:hAnsi="Times New Roman" w:cs="Times New Roman"/>
          <w:i/>
        </w:rPr>
        <w:t>et al</w:t>
      </w:r>
      <w:r>
        <w:rPr>
          <w:rFonts w:ascii="Times New Roman" w:eastAsia="Times New Roman" w:hAnsi="Times New Roman" w:cs="Times New Roman"/>
        </w:rPr>
        <w:t>. Agregados Reciclados de Resíduos Sólidos de Const</w:t>
      </w:r>
      <w:r>
        <w:rPr>
          <w:rFonts w:ascii="Times New Roman" w:eastAsia="Times New Roman" w:hAnsi="Times New Roman" w:cs="Times New Roman"/>
        </w:rPr>
        <w:t xml:space="preserve">rução e Demolição-RCD aplicados em Pavimentos Urbanos. </w:t>
      </w:r>
      <w:r>
        <w:rPr>
          <w:rFonts w:ascii="Times New Roman" w:eastAsia="Times New Roman" w:hAnsi="Times New Roman" w:cs="Times New Roman"/>
          <w:b/>
        </w:rPr>
        <w:t>Revista Foco</w:t>
      </w:r>
      <w:r>
        <w:rPr>
          <w:rFonts w:ascii="Times New Roman" w:eastAsia="Times New Roman" w:hAnsi="Times New Roman" w:cs="Times New Roman"/>
        </w:rPr>
        <w:t>, v. 16, n. 1, 2023.</w:t>
      </w:r>
    </w:p>
    <w:p w14:paraId="60183277" w14:textId="77777777" w:rsidR="00190774" w:rsidRDefault="00A55055">
      <w:pPr>
        <w:rPr>
          <w:rFonts w:ascii="Times New Roman" w:eastAsia="Times New Roman" w:hAnsi="Times New Roman" w:cs="Times New Roman"/>
        </w:rPr>
      </w:pPr>
      <w:r>
        <w:rPr>
          <w:rFonts w:ascii="Times New Roman" w:eastAsia="Times New Roman" w:hAnsi="Times New Roman" w:cs="Times New Roman"/>
        </w:rPr>
        <w:t xml:space="preserve">GOOGLE © 2022. Google Maps. </w:t>
      </w:r>
      <w:r>
        <w:rPr>
          <w:color w:val="000000"/>
        </w:rPr>
        <w:t xml:space="preserve">Dados do mapa 2023. </w:t>
      </w:r>
      <w:r>
        <w:rPr>
          <w:rFonts w:ascii="Times New Roman" w:eastAsia="Times New Roman" w:hAnsi="Times New Roman" w:cs="Times New Roman"/>
        </w:rPr>
        <w:t>Aterro Sanitário de Goiânia. Disponível em: &lt;https://www.google.com.br/maps&gt;. Acesso em: 16 dez. 2022.</w:t>
      </w:r>
    </w:p>
    <w:p w14:paraId="1B54FAF1" w14:textId="77777777" w:rsidR="00190774" w:rsidRDefault="00A55055">
      <w:pPr>
        <w:jc w:val="left"/>
        <w:rPr>
          <w:rFonts w:ascii="Times New Roman" w:eastAsia="Times New Roman" w:hAnsi="Times New Roman" w:cs="Times New Roman"/>
        </w:rPr>
      </w:pPr>
      <w:r>
        <w:rPr>
          <w:rFonts w:ascii="Times New Roman" w:eastAsia="Times New Roman" w:hAnsi="Times New Roman" w:cs="Times New Roman"/>
        </w:rPr>
        <w:t>HONIC, M., KOVACI</w:t>
      </w:r>
      <w:r>
        <w:rPr>
          <w:rFonts w:ascii="Times New Roman" w:eastAsia="Times New Roman" w:hAnsi="Times New Roman" w:cs="Times New Roman"/>
        </w:rPr>
        <w:t xml:space="preserve">C, I.; RECHBERGER, H. </w:t>
      </w:r>
      <w:proofErr w:type="spellStart"/>
      <w:r>
        <w:rPr>
          <w:rFonts w:ascii="Times New Roman" w:eastAsia="Times New Roman" w:hAnsi="Times New Roman" w:cs="Times New Roman"/>
          <w:b/>
        </w:rPr>
        <w:t>Improving</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the</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recycling</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potential</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of</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buildings</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through</w:t>
      </w:r>
      <w:proofErr w:type="spellEnd"/>
      <w:r>
        <w:rPr>
          <w:rFonts w:ascii="Times New Roman" w:eastAsia="Times New Roman" w:hAnsi="Times New Roman" w:cs="Times New Roman"/>
          <w:b/>
        </w:rPr>
        <w:t xml:space="preserve"> Material </w:t>
      </w:r>
      <w:proofErr w:type="spellStart"/>
      <w:r>
        <w:rPr>
          <w:rFonts w:ascii="Times New Roman" w:eastAsia="Times New Roman" w:hAnsi="Times New Roman" w:cs="Times New Roman"/>
          <w:b/>
        </w:rPr>
        <w:t>Passports</w:t>
      </w:r>
      <w:proofErr w:type="spellEnd"/>
      <w:r>
        <w:rPr>
          <w:rFonts w:ascii="Times New Roman" w:eastAsia="Times New Roman" w:hAnsi="Times New Roman" w:cs="Times New Roman"/>
          <w:b/>
        </w:rPr>
        <w:t xml:space="preserve"> (MP): </w:t>
      </w:r>
      <w:proofErr w:type="spellStart"/>
      <w:r>
        <w:rPr>
          <w:rFonts w:ascii="Times New Roman" w:eastAsia="Times New Roman" w:hAnsi="Times New Roman" w:cs="Times New Roman"/>
          <w:b/>
        </w:rPr>
        <w:t>An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Austrian</w:t>
      </w:r>
      <w:proofErr w:type="spellEnd"/>
      <w:r>
        <w:rPr>
          <w:rFonts w:ascii="Times New Roman" w:eastAsia="Times New Roman" w:hAnsi="Times New Roman" w:cs="Times New Roman"/>
          <w:b/>
        </w:rPr>
        <w:t xml:space="preserve"> case </w:t>
      </w:r>
      <w:proofErr w:type="spellStart"/>
      <w:r>
        <w:rPr>
          <w:rFonts w:ascii="Times New Roman" w:eastAsia="Times New Roman" w:hAnsi="Times New Roman" w:cs="Times New Roman"/>
          <w:b/>
        </w:rPr>
        <w:t>study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Journal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Cleaner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Production</w:t>
      </w:r>
      <w:proofErr w:type="spellEnd"/>
      <w:r>
        <w:rPr>
          <w:rFonts w:ascii="Times New Roman" w:eastAsia="Times New Roman" w:hAnsi="Times New Roman" w:cs="Times New Roman"/>
        </w:rPr>
        <w:t>, 2019.</w:t>
      </w:r>
    </w:p>
    <w:p w14:paraId="262B9EC2" w14:textId="77777777" w:rsidR="00190774" w:rsidRDefault="00A55055">
      <w:pPr>
        <w:jc w:val="left"/>
        <w:rPr>
          <w:rFonts w:ascii="Times New Roman" w:eastAsia="Times New Roman" w:hAnsi="Times New Roman" w:cs="Times New Roman"/>
        </w:rPr>
      </w:pPr>
      <w:r>
        <w:rPr>
          <w:rFonts w:ascii="Times New Roman" w:eastAsia="Times New Roman" w:hAnsi="Times New Roman" w:cs="Times New Roman"/>
        </w:rPr>
        <w:t xml:space="preserve">MASCARÓ, J. L. </w:t>
      </w:r>
      <w:r>
        <w:rPr>
          <w:rFonts w:ascii="Times New Roman" w:eastAsia="Times New Roman" w:hAnsi="Times New Roman" w:cs="Times New Roman"/>
          <w:b/>
        </w:rPr>
        <w:t>Loteamentos Urbanos</w:t>
      </w:r>
      <w:r>
        <w:rPr>
          <w:rFonts w:ascii="Times New Roman" w:eastAsia="Times New Roman" w:hAnsi="Times New Roman" w:cs="Times New Roman"/>
        </w:rPr>
        <w:t xml:space="preserve">. 2ª Edição. Porto Alegre: </w:t>
      </w:r>
      <w:proofErr w:type="spellStart"/>
      <w:r>
        <w:rPr>
          <w:rFonts w:ascii="Times New Roman" w:eastAsia="Times New Roman" w:hAnsi="Times New Roman" w:cs="Times New Roman"/>
        </w:rPr>
        <w:t>Masquatro</w:t>
      </w:r>
      <w:proofErr w:type="spellEnd"/>
      <w:r>
        <w:rPr>
          <w:rFonts w:ascii="Times New Roman" w:eastAsia="Times New Roman" w:hAnsi="Times New Roman" w:cs="Times New Roman"/>
        </w:rPr>
        <w:t xml:space="preserve"> Editora, 2005.</w:t>
      </w:r>
    </w:p>
    <w:p w14:paraId="72763C95" w14:textId="77777777" w:rsidR="00190774" w:rsidRDefault="00A55055">
      <w:pPr>
        <w:jc w:val="left"/>
        <w:rPr>
          <w:rFonts w:ascii="Times New Roman" w:eastAsia="Times New Roman" w:hAnsi="Times New Roman" w:cs="Times New Roman"/>
        </w:rPr>
      </w:pPr>
      <w:r>
        <w:rPr>
          <w:rFonts w:ascii="Times New Roman" w:eastAsia="Times New Roman" w:hAnsi="Times New Roman" w:cs="Times New Roman"/>
        </w:rPr>
        <w:t>MORAIS,</w:t>
      </w:r>
      <w:r>
        <w:rPr>
          <w:rFonts w:ascii="Times New Roman" w:eastAsia="Times New Roman" w:hAnsi="Times New Roman" w:cs="Times New Roman"/>
        </w:rPr>
        <w:t xml:space="preserve"> H. M. Do. C. </w:t>
      </w:r>
      <w:r>
        <w:rPr>
          <w:rFonts w:ascii="Times New Roman" w:eastAsia="Times New Roman" w:hAnsi="Times New Roman" w:cs="Times New Roman"/>
          <w:b/>
        </w:rPr>
        <w:t>Diagnóstico dos Resíduos da Construção Civil coletados por Empresas Privadas no Município de Goiânia</w:t>
      </w:r>
      <w:r>
        <w:rPr>
          <w:rFonts w:ascii="Times New Roman" w:eastAsia="Times New Roman" w:hAnsi="Times New Roman" w:cs="Times New Roman"/>
        </w:rPr>
        <w:t xml:space="preserve">. Universidade Federal de Goiás, 2010. </w:t>
      </w:r>
    </w:p>
    <w:p w14:paraId="3CFF249A" w14:textId="77777777" w:rsidR="00190774" w:rsidRDefault="00A55055">
      <w:pPr>
        <w:jc w:val="left"/>
        <w:rPr>
          <w:rFonts w:ascii="Times New Roman" w:eastAsia="Times New Roman" w:hAnsi="Times New Roman" w:cs="Times New Roman"/>
        </w:rPr>
      </w:pPr>
      <w:r>
        <w:rPr>
          <w:rFonts w:ascii="Times New Roman" w:eastAsia="Times New Roman" w:hAnsi="Times New Roman" w:cs="Times New Roman"/>
        </w:rPr>
        <w:t xml:space="preserve">OLIVEIRA, W. N. De. Mapeamento de disposição de resíduos da construção civil e demolição em Goiânia. </w:t>
      </w:r>
      <w:r>
        <w:rPr>
          <w:rFonts w:ascii="Times New Roman" w:eastAsia="Times New Roman" w:hAnsi="Times New Roman" w:cs="Times New Roman"/>
          <w:b/>
        </w:rPr>
        <w:t xml:space="preserve">Anais </w:t>
      </w:r>
      <w:r>
        <w:rPr>
          <w:rFonts w:ascii="Times New Roman" w:eastAsia="Times New Roman" w:hAnsi="Times New Roman" w:cs="Times New Roman"/>
        </w:rPr>
        <w:t xml:space="preserve">XVI Simpósio Brasileiro de Sensoriamento Remoto - SBSR, Foz do Iguaçu, PR, Brasil, 13 a 18 de abril de 2013, INPE. </w:t>
      </w:r>
    </w:p>
    <w:p w14:paraId="232C072E" w14:textId="77777777" w:rsidR="00190774" w:rsidRDefault="00A55055">
      <w:pPr>
        <w:jc w:val="left"/>
        <w:rPr>
          <w:rFonts w:ascii="Times New Roman" w:eastAsia="Times New Roman" w:hAnsi="Times New Roman" w:cs="Times New Roman"/>
        </w:rPr>
      </w:pPr>
      <w:r>
        <w:rPr>
          <w:rFonts w:ascii="Times New Roman" w:eastAsia="Times New Roman" w:hAnsi="Times New Roman" w:cs="Times New Roman"/>
        </w:rPr>
        <w:t xml:space="preserve">PINTO, T. P. </w:t>
      </w:r>
      <w:r>
        <w:rPr>
          <w:rFonts w:ascii="Times New Roman" w:eastAsia="Times New Roman" w:hAnsi="Times New Roman" w:cs="Times New Roman"/>
          <w:b/>
        </w:rPr>
        <w:t>Metodologia para a gestão diferenciada de resíduos sólidos da construção urbana</w:t>
      </w:r>
      <w:r>
        <w:rPr>
          <w:rFonts w:ascii="Times New Roman" w:eastAsia="Times New Roman" w:hAnsi="Times New Roman" w:cs="Times New Roman"/>
        </w:rPr>
        <w:t>. São Paulo. Tese (Doutorado) - Escola Pol</w:t>
      </w:r>
      <w:r>
        <w:rPr>
          <w:rFonts w:ascii="Times New Roman" w:eastAsia="Times New Roman" w:hAnsi="Times New Roman" w:cs="Times New Roman"/>
        </w:rPr>
        <w:t>itécnica, Universidade de São Paulo. 1999.</w:t>
      </w:r>
    </w:p>
    <w:p w14:paraId="6B1C4461" w14:textId="77777777" w:rsidR="00190774" w:rsidRDefault="00A55055">
      <w:pPr>
        <w:jc w:val="left"/>
        <w:rPr>
          <w:rFonts w:ascii="Times New Roman" w:eastAsia="Times New Roman" w:hAnsi="Times New Roman" w:cs="Times New Roman"/>
        </w:rPr>
      </w:pPr>
      <w:r>
        <w:rPr>
          <w:rFonts w:ascii="Times New Roman" w:eastAsia="Times New Roman" w:hAnsi="Times New Roman" w:cs="Times New Roman"/>
        </w:rPr>
        <w:t xml:space="preserve">PREFEITURA DE GOIÂNIA. </w:t>
      </w:r>
      <w:r>
        <w:rPr>
          <w:rFonts w:ascii="Times New Roman" w:eastAsia="Times New Roman" w:hAnsi="Times New Roman" w:cs="Times New Roman"/>
          <w:b/>
        </w:rPr>
        <w:t>Plano Municipal De Gestão Integrada De Resíduos Sólidos - PMGIRS</w:t>
      </w:r>
      <w:r>
        <w:rPr>
          <w:rFonts w:ascii="Times New Roman" w:eastAsia="Times New Roman" w:hAnsi="Times New Roman" w:cs="Times New Roman"/>
        </w:rPr>
        <w:t>. 2016. Disponível em: &lt;https://www10.goiania.go.gov.br/DadosINTER/SISRS/Documentos/PlanoGestaoResiduosSolidos.PDF&gt;. Acesso em</w:t>
      </w:r>
      <w:r>
        <w:rPr>
          <w:rFonts w:ascii="Times New Roman" w:eastAsia="Times New Roman" w:hAnsi="Times New Roman" w:cs="Times New Roman"/>
        </w:rPr>
        <w:t xml:space="preserve"> 07 jun. 2022.</w:t>
      </w:r>
    </w:p>
    <w:p w14:paraId="367820D2" w14:textId="77777777" w:rsidR="00190774" w:rsidRDefault="00A55055">
      <w:pPr>
        <w:jc w:val="left"/>
        <w:rPr>
          <w:rFonts w:ascii="Times New Roman" w:eastAsia="Times New Roman" w:hAnsi="Times New Roman" w:cs="Times New Roman"/>
        </w:rPr>
      </w:pPr>
      <w:r>
        <w:rPr>
          <w:rFonts w:ascii="Times New Roman" w:eastAsia="Times New Roman" w:hAnsi="Times New Roman" w:cs="Times New Roman"/>
        </w:rPr>
        <w:t xml:space="preserve">PREFEITURA DE GOIÂNIA. Superintendência da Casa Civil e Articulação Política. Lei nº 10.215, de 12 de julho de 2018. </w:t>
      </w:r>
      <w:r>
        <w:rPr>
          <w:rFonts w:ascii="Times New Roman" w:eastAsia="Times New Roman" w:hAnsi="Times New Roman" w:cs="Times New Roman"/>
          <w:b/>
        </w:rPr>
        <w:t>Diário Oficial do Município</w:t>
      </w:r>
      <w:r>
        <w:rPr>
          <w:rFonts w:ascii="Times New Roman" w:eastAsia="Times New Roman" w:hAnsi="Times New Roman" w:cs="Times New Roman"/>
        </w:rPr>
        <w:t xml:space="preserve">, Goiânia - GO, n. 6851, 12 jul. 2018. </w:t>
      </w:r>
    </w:p>
    <w:p w14:paraId="398FDB33" w14:textId="77777777" w:rsidR="00190774" w:rsidRDefault="00A5505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RIOS, F. C.; GRAU, D.; CHONG, W. K. </w:t>
      </w:r>
      <w:proofErr w:type="spellStart"/>
      <w:r>
        <w:rPr>
          <w:rFonts w:ascii="Times New Roman" w:eastAsia="Times New Roman" w:hAnsi="Times New Roman" w:cs="Times New Roman"/>
          <w:b/>
          <w:color w:val="000000"/>
        </w:rPr>
        <w:t>Reusing</w:t>
      </w:r>
      <w:proofErr w:type="spellEnd"/>
      <w:r>
        <w:rPr>
          <w:rFonts w:ascii="Times New Roman" w:eastAsia="Times New Roman" w:hAnsi="Times New Roman" w:cs="Times New Roman"/>
          <w:b/>
          <w:color w:val="000000"/>
        </w:rPr>
        <w:t xml:space="preserve"> exterior </w:t>
      </w:r>
      <w:proofErr w:type="spellStart"/>
      <w:r>
        <w:rPr>
          <w:rFonts w:ascii="Times New Roman" w:eastAsia="Times New Roman" w:hAnsi="Times New Roman" w:cs="Times New Roman"/>
          <w:b/>
          <w:color w:val="000000"/>
        </w:rPr>
        <w:t>wall</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framing</w:t>
      </w:r>
      <w:proofErr w:type="spellEnd"/>
      <w:r>
        <w:rPr>
          <w:rFonts w:ascii="Times New Roman" w:eastAsia="Times New Roman" w:hAnsi="Times New Roman" w:cs="Times New Roman"/>
          <w:b/>
          <w:color w:val="000000"/>
        </w:rPr>
        <w:t xml:space="preserve"> systems: A </w:t>
      </w:r>
      <w:proofErr w:type="spellStart"/>
      <w:r>
        <w:rPr>
          <w:rFonts w:ascii="Times New Roman" w:eastAsia="Times New Roman" w:hAnsi="Times New Roman" w:cs="Times New Roman"/>
          <w:b/>
          <w:color w:val="000000"/>
        </w:rPr>
        <w:t>cradle-to-cradle</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comparative</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life</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cycle</w:t>
      </w:r>
      <w:proofErr w:type="spellEnd"/>
      <w:r>
        <w:rPr>
          <w:rFonts w:ascii="Times New Roman" w:eastAsia="Times New Roman" w:hAnsi="Times New Roman" w:cs="Times New Roman"/>
          <w:b/>
          <w:color w:val="000000"/>
        </w:rPr>
        <w:t xml:space="preserve"> assessment</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Waste</w:t>
      </w:r>
      <w:proofErr w:type="spellEnd"/>
      <w:r>
        <w:rPr>
          <w:rFonts w:ascii="Times New Roman" w:eastAsia="Times New Roman" w:hAnsi="Times New Roman" w:cs="Times New Roman"/>
          <w:color w:val="000000"/>
        </w:rPr>
        <w:t xml:space="preserve"> Management, 2019.</w:t>
      </w:r>
    </w:p>
    <w:sectPr w:rsidR="00190774">
      <w:headerReference w:type="even" r:id="rId26"/>
      <w:headerReference w:type="default" r:id="rId27"/>
      <w:footerReference w:type="even" r:id="rId28"/>
      <w:footerReference w:type="default" r:id="rId29"/>
      <w:headerReference w:type="first" r:id="rId30"/>
      <w:footerReference w:type="first" r:id="rId31"/>
      <w:pgSz w:w="11906" w:h="16838"/>
      <w:pgMar w:top="1701" w:right="1418" w:bottom="1418"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D528CB" w14:textId="77777777" w:rsidR="00A55055" w:rsidRDefault="00A55055">
      <w:pPr>
        <w:spacing w:after="0"/>
      </w:pPr>
      <w:r>
        <w:separator/>
      </w:r>
    </w:p>
  </w:endnote>
  <w:endnote w:type="continuationSeparator" w:id="0">
    <w:p w14:paraId="37E0AF70" w14:textId="77777777" w:rsidR="00A55055" w:rsidRDefault="00A550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8C6A9" w14:textId="77777777" w:rsidR="00190774" w:rsidRDefault="00A55055">
    <w:r>
      <w:fldChar w:fldCharType="begin"/>
    </w:r>
    <w:r>
      <w:instrText>PAGE</w:instrText>
    </w:r>
    <w:r>
      <w:fldChar w:fldCharType="end"/>
    </w:r>
  </w:p>
  <w:p w14:paraId="23CA2C2B" w14:textId="77777777" w:rsidR="00190774" w:rsidRDefault="00190774"/>
  <w:p w14:paraId="1E0D4152" w14:textId="77777777" w:rsidR="00190774" w:rsidRDefault="00190774"/>
  <w:p w14:paraId="7D8F9624" w14:textId="77777777" w:rsidR="00190774" w:rsidRDefault="00190774"/>
  <w:p w14:paraId="087FDB7E" w14:textId="77777777" w:rsidR="00190774" w:rsidRDefault="0019077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A03A6" w14:textId="77777777" w:rsidR="00190774" w:rsidRDefault="00190774">
    <w:pPr>
      <w:widowControl w:val="0"/>
      <w:spacing w:after="0"/>
      <w:rPr>
        <w:rFonts w:ascii="Arial" w:eastAsia="Arial" w:hAnsi="Arial" w:cs="Arial"/>
        <w:b/>
        <w:color w:val="7F7F7F"/>
        <w:sz w:val="17"/>
        <w:szCs w:val="17"/>
      </w:rPr>
    </w:pPr>
  </w:p>
  <w:p w14:paraId="35DAC0CF" w14:textId="77777777" w:rsidR="00190774" w:rsidRDefault="00A55055">
    <w:pPr>
      <w:widowControl w:val="0"/>
      <w:spacing w:after="0"/>
      <w:rPr>
        <w:sz w:val="17"/>
        <w:szCs w:val="17"/>
      </w:rPr>
    </w:pPr>
    <w:r>
      <w:rPr>
        <w:rFonts w:ascii="Arial" w:eastAsia="Arial" w:hAnsi="Arial" w:cs="Arial"/>
        <w:b/>
        <w:color w:val="7F7F7F"/>
        <w:sz w:val="17"/>
        <w:szCs w:val="17"/>
      </w:rPr>
      <w:t xml:space="preserve">ENSUS 2023 – XI Encontro de Sustentabilidade em Projeto </w:t>
    </w:r>
    <w:r>
      <w:rPr>
        <w:rFonts w:ascii="Arial" w:eastAsia="Arial" w:hAnsi="Arial" w:cs="Arial"/>
        <w:color w:val="7F7F7F"/>
        <w:sz w:val="17"/>
        <w:szCs w:val="17"/>
      </w:rPr>
      <w:t>–</w:t>
    </w:r>
    <w:r>
      <w:rPr>
        <w:rFonts w:ascii="Arial" w:eastAsia="Arial" w:hAnsi="Arial" w:cs="Arial"/>
        <w:b/>
        <w:color w:val="7F7F7F"/>
        <w:sz w:val="17"/>
        <w:szCs w:val="17"/>
      </w:rPr>
      <w:t xml:space="preserve"> </w:t>
    </w:r>
    <w:r>
      <w:rPr>
        <w:rFonts w:ascii="Arial" w:eastAsia="Arial" w:hAnsi="Arial" w:cs="Arial"/>
        <w:color w:val="7F7F7F"/>
        <w:sz w:val="17"/>
        <w:szCs w:val="17"/>
      </w:rPr>
      <w:t>UFSC – Florianópolis – 05 a 07 de junho de 2023.</w:t>
    </w:r>
  </w:p>
  <w:p w14:paraId="2423A64F" w14:textId="77777777" w:rsidR="00190774" w:rsidRDefault="00190774">
    <w:pPr>
      <w:widowControl w:val="0"/>
      <w:spacing w:after="0"/>
    </w:pPr>
  </w:p>
  <w:p w14:paraId="06AFE7C4" w14:textId="77777777" w:rsidR="00190774" w:rsidRDefault="00190774">
    <w:pPr>
      <w:pBdr>
        <w:top w:val="nil"/>
        <w:left w:val="nil"/>
        <w:bottom w:val="nil"/>
        <w:right w:val="nil"/>
        <w:between w:val="nil"/>
      </w:pBdr>
      <w:tabs>
        <w:tab w:val="center" w:pos="4252"/>
        <w:tab w:val="right" w:pos="8504"/>
      </w:tabs>
      <w:spacing w:after="0"/>
      <w:jc w:val="center"/>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ABD9B" w14:textId="77777777" w:rsidR="00190774" w:rsidRDefault="00190774">
    <w:pPr>
      <w:widowControl w:val="0"/>
      <w:spacing w:after="0"/>
      <w:rPr>
        <w:sz w:val="22"/>
        <w:szCs w:val="22"/>
      </w:rPr>
    </w:pPr>
    <w:bookmarkStart w:id="1" w:name="_heading=h.gjdgxs" w:colFirst="0" w:colLast="0"/>
    <w:bookmarkEnd w:id="1"/>
  </w:p>
  <w:p w14:paraId="6468DD71" w14:textId="77777777" w:rsidR="00190774" w:rsidRDefault="00A55055">
    <w:pPr>
      <w:widowControl w:val="0"/>
      <w:spacing w:after="0"/>
      <w:rPr>
        <w:rFonts w:ascii="Arial" w:eastAsia="Arial" w:hAnsi="Arial" w:cs="Arial"/>
        <w:color w:val="7F7F7F"/>
        <w:sz w:val="17"/>
        <w:szCs w:val="17"/>
      </w:rPr>
    </w:pPr>
    <w:r>
      <w:rPr>
        <w:rFonts w:ascii="Arial" w:eastAsia="Arial" w:hAnsi="Arial" w:cs="Arial"/>
        <w:b/>
        <w:color w:val="7F7F7F"/>
        <w:sz w:val="17"/>
        <w:szCs w:val="17"/>
      </w:rPr>
      <w:t xml:space="preserve">ENSUS 2023 – XI Encontro de Sustentabilidade em Projeto </w:t>
    </w:r>
    <w:r>
      <w:rPr>
        <w:rFonts w:ascii="Arial" w:eastAsia="Arial" w:hAnsi="Arial" w:cs="Arial"/>
        <w:color w:val="7F7F7F"/>
        <w:sz w:val="17"/>
        <w:szCs w:val="17"/>
      </w:rPr>
      <w:t>–</w:t>
    </w:r>
    <w:r>
      <w:rPr>
        <w:rFonts w:ascii="Arial" w:eastAsia="Arial" w:hAnsi="Arial" w:cs="Arial"/>
        <w:b/>
        <w:color w:val="7F7F7F"/>
        <w:sz w:val="17"/>
        <w:szCs w:val="17"/>
      </w:rPr>
      <w:t xml:space="preserve"> </w:t>
    </w:r>
    <w:r>
      <w:rPr>
        <w:rFonts w:ascii="Arial" w:eastAsia="Arial" w:hAnsi="Arial" w:cs="Arial"/>
        <w:color w:val="7F7F7F"/>
        <w:sz w:val="17"/>
        <w:szCs w:val="17"/>
      </w:rPr>
      <w:t>UFSC – Florianópolis – 05 a 07 de junho de 2023.</w:t>
    </w:r>
  </w:p>
  <w:p w14:paraId="260414E4" w14:textId="77777777" w:rsidR="00190774" w:rsidRDefault="00190774">
    <w:pPr>
      <w:widowControl w:val="0"/>
      <w:spacing w:after="0"/>
      <w:rPr>
        <w:sz w:val="17"/>
        <w:szCs w:val="1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B40B31" w14:textId="77777777" w:rsidR="00A55055" w:rsidRDefault="00A55055">
      <w:pPr>
        <w:spacing w:after="0"/>
      </w:pPr>
      <w:r>
        <w:separator/>
      </w:r>
    </w:p>
  </w:footnote>
  <w:footnote w:type="continuationSeparator" w:id="0">
    <w:p w14:paraId="18EA7E10" w14:textId="77777777" w:rsidR="00A55055" w:rsidRDefault="00A5505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E7DCA" w14:textId="77777777" w:rsidR="00190774" w:rsidRPr="009354BD" w:rsidRDefault="00A55055">
    <w:pPr>
      <w:pBdr>
        <w:top w:val="nil"/>
        <w:left w:val="nil"/>
        <w:bottom w:val="single" w:sz="4" w:space="1" w:color="000000"/>
        <w:right w:val="nil"/>
        <w:between w:val="nil"/>
      </w:pBdr>
      <w:tabs>
        <w:tab w:val="center" w:pos="4252"/>
        <w:tab w:val="right" w:pos="8504"/>
      </w:tabs>
      <w:spacing w:after="0"/>
      <w:jc w:val="center"/>
      <w:rPr>
        <w:color w:val="000000"/>
        <w:sz w:val="22"/>
        <w:szCs w:val="22"/>
        <w:lang w:val="en-US"/>
      </w:rPr>
    </w:pPr>
    <w:r w:rsidRPr="009354BD">
      <w:rPr>
        <w:color w:val="000000"/>
        <w:sz w:val="22"/>
        <w:szCs w:val="22"/>
        <w:lang w:val="en-US"/>
      </w:rPr>
      <w:t>Surname, initials Author 1, Surname, initials Author 2 (for 1 to 2 Authors)</w:t>
    </w:r>
    <w:r w:rsidRPr="009354BD">
      <w:rPr>
        <w:color w:val="000000"/>
        <w:sz w:val="22"/>
        <w:szCs w:val="22"/>
        <w:lang w:val="en-US"/>
      </w:rPr>
      <w:tab/>
      <w:t xml:space="preserve">RBIE </w:t>
    </w:r>
    <w:proofErr w:type="spellStart"/>
    <w:r w:rsidRPr="009354BD">
      <w:rPr>
        <w:color w:val="000000"/>
        <w:sz w:val="22"/>
        <w:szCs w:val="22"/>
        <w:lang w:val="en-US"/>
      </w:rPr>
      <w:t>V.vv</w:t>
    </w:r>
    <w:proofErr w:type="spellEnd"/>
    <w:r w:rsidRPr="009354BD">
      <w:rPr>
        <w:color w:val="000000"/>
        <w:sz w:val="22"/>
        <w:szCs w:val="22"/>
        <w:lang w:val="en-US"/>
      </w:rPr>
      <w:t xml:space="preserve">, </w:t>
    </w:r>
    <w:proofErr w:type="spellStart"/>
    <w:r w:rsidRPr="009354BD">
      <w:rPr>
        <w:color w:val="000000"/>
        <w:sz w:val="22"/>
        <w:szCs w:val="22"/>
        <w:lang w:val="en-US"/>
      </w:rPr>
      <w:t>N.n</w:t>
    </w:r>
    <w:proofErr w:type="spellEnd"/>
    <w:r w:rsidRPr="009354BD">
      <w:rPr>
        <w:color w:val="000000"/>
        <w:sz w:val="22"/>
        <w:szCs w:val="22"/>
        <w:lang w:val="en-US"/>
      </w:rPr>
      <w:t xml:space="preserve"> – </w:t>
    </w:r>
    <w:proofErr w:type="spellStart"/>
    <w:r w:rsidRPr="009354BD">
      <w:rPr>
        <w:color w:val="000000"/>
        <w:sz w:val="22"/>
        <w:szCs w:val="22"/>
        <w:lang w:val="en-US"/>
      </w:rPr>
      <w:t>yyyy</w:t>
    </w:r>
    <w:proofErr w:type="spellEnd"/>
    <w:r>
      <w:rPr>
        <w:noProof/>
      </w:rPr>
      <w:drawing>
        <wp:anchor distT="0" distB="0" distL="114300" distR="114300" simplePos="0" relativeHeight="251658240" behindDoc="0" locked="0" layoutInCell="1" hidden="0" allowOverlap="1" wp14:anchorId="35143D2A" wp14:editId="647B4C99">
          <wp:simplePos x="0" y="0"/>
          <wp:positionH relativeFrom="column">
            <wp:posOffset>5926455</wp:posOffset>
          </wp:positionH>
          <wp:positionV relativeFrom="paragraph">
            <wp:posOffset>-80643</wp:posOffset>
          </wp:positionV>
          <wp:extent cx="344805" cy="344805"/>
          <wp:effectExtent l="0" t="0" r="0" b="0"/>
          <wp:wrapSquare wrapText="bothSides" distT="0" distB="0" distL="114300" distR="114300"/>
          <wp:docPr id="5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344805" cy="344805"/>
                  </a:xfrm>
                  <a:prstGeom prst="rect">
                    <a:avLst/>
                  </a:prstGeom>
                  <a:ln/>
                </pic:spPr>
              </pic:pic>
            </a:graphicData>
          </a:graphic>
        </wp:anchor>
      </w:drawing>
    </w:r>
  </w:p>
  <w:p w14:paraId="5C1C8F44" w14:textId="77777777" w:rsidR="00190774" w:rsidRDefault="00A55055">
    <w:pPr>
      <w:pBdr>
        <w:top w:val="nil"/>
        <w:left w:val="nil"/>
        <w:bottom w:val="single" w:sz="4" w:space="1" w:color="000000"/>
        <w:right w:val="nil"/>
        <w:between w:val="nil"/>
      </w:pBdr>
      <w:tabs>
        <w:tab w:val="center" w:pos="4252"/>
        <w:tab w:val="right" w:pos="8504"/>
      </w:tabs>
      <w:spacing w:after="0"/>
      <w:jc w:val="center"/>
      <w:rPr>
        <w:color w:val="000000"/>
        <w:sz w:val="22"/>
        <w:szCs w:val="22"/>
      </w:rPr>
    </w:pPr>
    <w:r>
      <w:rPr>
        <w:color w:val="000000"/>
        <w:sz w:val="22"/>
        <w:szCs w:val="22"/>
      </w:rPr>
      <w:t xml:space="preserve">Last </w:t>
    </w:r>
    <w:proofErr w:type="spellStart"/>
    <w:r>
      <w:rPr>
        <w:color w:val="000000"/>
        <w:sz w:val="22"/>
        <w:szCs w:val="22"/>
      </w:rPr>
      <w:t>author’s</w:t>
    </w:r>
    <w:proofErr w:type="spellEnd"/>
    <w:r>
      <w:rPr>
        <w:color w:val="000000"/>
        <w:sz w:val="22"/>
        <w:szCs w:val="22"/>
      </w:rPr>
      <w:t xml:space="preserve"> </w:t>
    </w:r>
    <w:proofErr w:type="spellStart"/>
    <w:r>
      <w:rPr>
        <w:color w:val="000000"/>
        <w:sz w:val="22"/>
        <w:szCs w:val="22"/>
      </w:rPr>
      <w:t>surname</w:t>
    </w:r>
    <w:proofErr w:type="spellEnd"/>
    <w:r>
      <w:rPr>
        <w:color w:val="000000"/>
        <w:sz w:val="22"/>
        <w:szCs w:val="22"/>
      </w:rPr>
      <w:t xml:space="preserve"> et al. (for more </w:t>
    </w:r>
    <w:proofErr w:type="spellStart"/>
    <w:r>
      <w:rPr>
        <w:color w:val="000000"/>
        <w:sz w:val="22"/>
        <w:szCs w:val="22"/>
      </w:rPr>
      <w:t>than</w:t>
    </w:r>
    <w:proofErr w:type="spellEnd"/>
    <w:r>
      <w:rPr>
        <w:color w:val="000000"/>
        <w:sz w:val="22"/>
        <w:szCs w:val="22"/>
      </w:rPr>
      <w:t xml:space="preserve"> 2 </w:t>
    </w:r>
    <w:proofErr w:type="spellStart"/>
    <w:r>
      <w:rPr>
        <w:color w:val="000000"/>
        <w:sz w:val="22"/>
        <w:szCs w:val="22"/>
      </w:rPr>
      <w:t>authors</w:t>
    </w:r>
    <w:proofErr w:type="spellEnd"/>
    <w:r>
      <w:rPr>
        <w:color w:val="000000"/>
        <w:sz w:val="22"/>
        <w:szCs w:val="22"/>
      </w:rPr>
      <w:t>)</w:t>
    </w:r>
  </w:p>
  <w:p w14:paraId="4EB0F839" w14:textId="77777777" w:rsidR="00190774" w:rsidRDefault="00190774">
    <w:pPr>
      <w:pBdr>
        <w:top w:val="nil"/>
        <w:left w:val="nil"/>
        <w:bottom w:val="single" w:sz="4" w:space="1" w:color="000000"/>
        <w:right w:val="nil"/>
        <w:between w:val="nil"/>
      </w:pBdr>
      <w:tabs>
        <w:tab w:val="center" w:pos="4252"/>
        <w:tab w:val="right" w:pos="8504"/>
      </w:tabs>
      <w:spacing w:after="0"/>
      <w:jc w:val="center"/>
      <w:rPr>
        <w:color w:val="000000"/>
        <w:sz w:val="22"/>
        <w:szCs w:val="22"/>
      </w:rPr>
    </w:pPr>
  </w:p>
  <w:p w14:paraId="762F7859" w14:textId="77777777" w:rsidR="00190774" w:rsidRDefault="00190774"/>
  <w:p w14:paraId="1628DFC7" w14:textId="77777777" w:rsidR="00190774" w:rsidRDefault="00190774"/>
  <w:p w14:paraId="391D8912" w14:textId="77777777" w:rsidR="00190774" w:rsidRDefault="00190774"/>
  <w:p w14:paraId="3D203EB9" w14:textId="77777777" w:rsidR="00190774" w:rsidRDefault="0019077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B1043" w14:textId="77777777" w:rsidR="00190774" w:rsidRDefault="00190774">
    <w:pPr>
      <w:widowControl w:val="0"/>
      <w:pBdr>
        <w:top w:val="nil"/>
        <w:left w:val="nil"/>
        <w:bottom w:val="nil"/>
        <w:right w:val="nil"/>
        <w:between w:val="nil"/>
      </w:pBdr>
      <w:spacing w:after="0" w:line="276" w:lineRule="auto"/>
      <w:jc w:val="left"/>
      <w:rPr>
        <w:rFonts w:ascii="Times New Roman" w:eastAsia="Times New Roman" w:hAnsi="Times New Roman" w:cs="Times New Roman"/>
        <w:color w:val="000000"/>
      </w:rPr>
    </w:pPr>
  </w:p>
  <w:tbl>
    <w:tblPr>
      <w:tblStyle w:val="a3"/>
      <w:tblW w:w="878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902"/>
      <w:gridCol w:w="2959"/>
      <w:gridCol w:w="2926"/>
    </w:tblGrid>
    <w:tr w:rsidR="00190774" w14:paraId="424FE442" w14:textId="77777777">
      <w:tc>
        <w:tcPr>
          <w:tcW w:w="2902" w:type="dxa"/>
        </w:tcPr>
        <w:p w14:paraId="311B9802" w14:textId="77777777" w:rsidR="00190774" w:rsidRDefault="00A55055">
          <w:r>
            <w:rPr>
              <w:noProof/>
            </w:rPr>
            <w:drawing>
              <wp:inline distT="0" distB="0" distL="0" distR="0" wp14:anchorId="69366957" wp14:editId="67740DB0">
                <wp:extent cx="1074420" cy="1074420"/>
                <wp:effectExtent l="0" t="0" r="0" b="0"/>
                <wp:docPr id="73" name="image17.png"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7.png" descr="Logotipo&#10;&#10;Descrição gerada automaticamente"/>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2959" w:type="dxa"/>
        </w:tcPr>
        <w:p w14:paraId="0AA34B03" w14:textId="77777777" w:rsidR="00190774" w:rsidRDefault="00A55055">
          <w:r>
            <w:rPr>
              <w:noProof/>
            </w:rPr>
            <w:drawing>
              <wp:inline distT="0" distB="0" distL="0" distR="0" wp14:anchorId="6A3E0608" wp14:editId="687A4CBA">
                <wp:extent cx="1414521" cy="859359"/>
                <wp:effectExtent l="0" t="0" r="0" b="0"/>
                <wp:docPr id="74" name="image2.jpg" descr="Logotipo, nome da empres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jpg" descr="Logotipo, nome da empresa&#10;&#10;Descrição gerada automaticamente"/>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2926" w:type="dxa"/>
        </w:tcPr>
        <w:p w14:paraId="3581741A" w14:textId="77777777" w:rsidR="00190774" w:rsidRDefault="00A55055">
          <w:pPr>
            <w:ind w:firstLine="708"/>
          </w:pPr>
          <w:r>
            <w:rPr>
              <w:noProof/>
            </w:rPr>
            <w:drawing>
              <wp:inline distT="0" distB="0" distL="0" distR="0" wp14:anchorId="36DE6405" wp14:editId="0CAFF59A">
                <wp:extent cx="772198" cy="1067330"/>
                <wp:effectExtent l="0" t="0" r="0" b="0"/>
                <wp:docPr id="75" name="image1.png"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Logotipo&#10;&#10;Descrição gerada automaticamente"/>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14:paraId="0DF49783" w14:textId="77777777" w:rsidR="00190774" w:rsidRDefault="0019077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78A77" w14:textId="77777777" w:rsidR="00190774" w:rsidRDefault="00A55055">
    <w:pPr>
      <w:tabs>
        <w:tab w:val="left" w:pos="3480"/>
      </w:tabs>
      <w:spacing w:after="0"/>
      <w:rPr>
        <w:sz w:val="14"/>
        <w:szCs w:val="14"/>
      </w:rPr>
    </w:pPr>
    <w:r>
      <w:rPr>
        <w:sz w:val="14"/>
        <w:szCs w:val="14"/>
      </w:rPr>
      <w:tab/>
    </w:r>
  </w:p>
  <w:tbl>
    <w:tblPr>
      <w:tblStyle w:val="a4"/>
      <w:tblW w:w="878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902"/>
      <w:gridCol w:w="2959"/>
      <w:gridCol w:w="2926"/>
    </w:tblGrid>
    <w:tr w:rsidR="00190774" w14:paraId="5EE0D4C4" w14:textId="77777777">
      <w:tc>
        <w:tcPr>
          <w:tcW w:w="2902" w:type="dxa"/>
        </w:tcPr>
        <w:p w14:paraId="4F97C6A7" w14:textId="77777777" w:rsidR="00190774" w:rsidRDefault="00A55055">
          <w:r>
            <w:rPr>
              <w:noProof/>
            </w:rPr>
            <w:drawing>
              <wp:inline distT="0" distB="0" distL="0" distR="0" wp14:anchorId="556DC9FE" wp14:editId="6FEB0630">
                <wp:extent cx="1074420" cy="1074420"/>
                <wp:effectExtent l="0" t="0" r="0" b="0"/>
                <wp:docPr id="7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
                        <a:srcRect/>
                        <a:stretch>
                          <a:fillRect/>
                        </a:stretch>
                      </pic:blipFill>
                      <pic:spPr>
                        <a:xfrm>
                          <a:off x="0" y="0"/>
                          <a:ext cx="1074420" cy="1074420"/>
                        </a:xfrm>
                        <a:prstGeom prst="rect">
                          <a:avLst/>
                        </a:prstGeom>
                        <a:ln/>
                      </pic:spPr>
                    </pic:pic>
                  </a:graphicData>
                </a:graphic>
              </wp:inline>
            </w:drawing>
          </w:r>
        </w:p>
      </w:tc>
      <w:tc>
        <w:tcPr>
          <w:tcW w:w="2959" w:type="dxa"/>
        </w:tcPr>
        <w:p w14:paraId="0CACE331" w14:textId="77777777" w:rsidR="00190774" w:rsidRDefault="00A55055">
          <w:r>
            <w:rPr>
              <w:noProof/>
            </w:rPr>
            <w:drawing>
              <wp:inline distT="0" distB="0" distL="0" distR="0" wp14:anchorId="26595560" wp14:editId="4C2D1A1E">
                <wp:extent cx="1414521" cy="859359"/>
                <wp:effectExtent l="0" t="0" r="0" b="0"/>
                <wp:docPr id="7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414521" cy="859359"/>
                        </a:xfrm>
                        <a:prstGeom prst="rect">
                          <a:avLst/>
                        </a:prstGeom>
                        <a:ln/>
                      </pic:spPr>
                    </pic:pic>
                  </a:graphicData>
                </a:graphic>
              </wp:inline>
            </w:drawing>
          </w:r>
        </w:p>
      </w:tc>
      <w:tc>
        <w:tcPr>
          <w:tcW w:w="2926" w:type="dxa"/>
        </w:tcPr>
        <w:p w14:paraId="5F947F34" w14:textId="77777777" w:rsidR="00190774" w:rsidRDefault="00A55055">
          <w:pPr>
            <w:ind w:firstLine="708"/>
          </w:pPr>
          <w:r>
            <w:rPr>
              <w:noProof/>
            </w:rPr>
            <w:drawing>
              <wp:inline distT="0" distB="0" distL="0" distR="0" wp14:anchorId="794FCD5B" wp14:editId="058621CF">
                <wp:extent cx="772198" cy="1067330"/>
                <wp:effectExtent l="0" t="0" r="0" b="0"/>
                <wp:docPr id="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772198" cy="1067330"/>
                        </a:xfrm>
                        <a:prstGeom prst="rect">
                          <a:avLst/>
                        </a:prstGeom>
                        <a:ln/>
                      </pic:spPr>
                    </pic:pic>
                  </a:graphicData>
                </a:graphic>
              </wp:inline>
            </w:drawing>
          </w:r>
        </w:p>
      </w:tc>
    </w:tr>
  </w:tbl>
  <w:p w14:paraId="724F4C1A" w14:textId="77777777" w:rsidR="00190774" w:rsidRDefault="00190774">
    <w:pPr>
      <w:tabs>
        <w:tab w:val="left" w:pos="3480"/>
      </w:tabs>
      <w:spacing w:after="0"/>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A3CF4"/>
    <w:multiLevelType w:val="multilevel"/>
    <w:tmpl w:val="2EEEAA76"/>
    <w:lvl w:ilvl="0">
      <w:start w:val="1"/>
      <w:numFmt w:val="decimal"/>
      <w:pStyle w:val="Ttulo1"/>
      <w:lvlText w:val="%1."/>
      <w:lvlJc w:val="left"/>
      <w:pPr>
        <w:ind w:left="380" w:hanging="360"/>
      </w:pPr>
    </w:lvl>
    <w:lvl w:ilvl="1">
      <w:start w:val="1"/>
      <w:numFmt w:val="decimal"/>
      <w:pStyle w:val="Ttulo2"/>
      <w:lvlText w:val="%1.%2."/>
      <w:lvlJc w:val="left"/>
      <w:pPr>
        <w:ind w:left="644" w:hanging="358"/>
      </w:pPr>
    </w:lvl>
    <w:lvl w:ilvl="2">
      <w:start w:val="1"/>
      <w:numFmt w:val="decimal"/>
      <w:pStyle w:val="Ttulo3"/>
      <w:lvlText w:val="%1.%2.%3."/>
      <w:lvlJc w:val="left"/>
      <w:pPr>
        <w:ind w:left="1268" w:hanging="720"/>
      </w:pPr>
    </w:lvl>
    <w:lvl w:ilvl="3">
      <w:start w:val="1"/>
      <w:numFmt w:val="decimal"/>
      <w:pStyle w:val="Ttulo4"/>
      <w:lvlText w:val="%1.%2.%3.%4."/>
      <w:lvlJc w:val="left"/>
      <w:pPr>
        <w:ind w:left="1532" w:hanging="720"/>
      </w:pPr>
    </w:lvl>
    <w:lvl w:ilvl="4">
      <w:start w:val="1"/>
      <w:numFmt w:val="decimal"/>
      <w:pStyle w:val="Ttulo5"/>
      <w:lvlText w:val="%1.%2.%3.%4.%5."/>
      <w:lvlJc w:val="left"/>
      <w:pPr>
        <w:ind w:left="2156" w:hanging="1080"/>
      </w:pPr>
    </w:lvl>
    <w:lvl w:ilvl="5">
      <w:start w:val="1"/>
      <w:numFmt w:val="decimal"/>
      <w:pStyle w:val="Ttulo6"/>
      <w:lvlText w:val="%1.%2.%3.%4.%5.%6."/>
      <w:lvlJc w:val="left"/>
      <w:pPr>
        <w:ind w:left="2420" w:hanging="1080"/>
      </w:pPr>
    </w:lvl>
    <w:lvl w:ilvl="6">
      <w:start w:val="1"/>
      <w:numFmt w:val="decimal"/>
      <w:pStyle w:val="Ttulo7"/>
      <w:lvlText w:val="%1.%2.%3.%4.%5.%6.%7."/>
      <w:lvlJc w:val="left"/>
      <w:pPr>
        <w:ind w:left="3044" w:hanging="1440"/>
      </w:pPr>
    </w:lvl>
    <w:lvl w:ilvl="7">
      <w:start w:val="1"/>
      <w:numFmt w:val="decimal"/>
      <w:pStyle w:val="Ttulo8"/>
      <w:lvlText w:val="%1.%2.%3.%4.%5.%6.%7.%8."/>
      <w:lvlJc w:val="left"/>
      <w:pPr>
        <w:ind w:left="3308" w:hanging="1440"/>
      </w:pPr>
    </w:lvl>
    <w:lvl w:ilvl="8">
      <w:start w:val="1"/>
      <w:numFmt w:val="decimal"/>
      <w:pStyle w:val="Ttulo9"/>
      <w:lvlText w:val="%1.%2.%3.%4.%5.%6.%7.%8.%9."/>
      <w:lvlJc w:val="left"/>
      <w:pPr>
        <w:ind w:left="3932"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774"/>
    <w:rsid w:val="00190774"/>
    <w:rsid w:val="0040364F"/>
    <w:rsid w:val="007B5D61"/>
    <w:rsid w:val="008F5E10"/>
    <w:rsid w:val="009354BD"/>
    <w:rsid w:val="00A37D7C"/>
    <w:rsid w:val="00A550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8B042"/>
  <w15:docId w15:val="{E0B17644-3B24-44AD-97B8-A69F076FB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w:sz w:val="24"/>
        <w:szCs w:val="24"/>
        <w:lang w:val="pt-BR" w:eastAsia="pt-BR"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paragraph" w:styleId="Ttulo1">
    <w:name w:val="heading 1"/>
    <w:next w:val="Normal"/>
    <w:link w:val="Ttulo1Char"/>
    <w:uiPriority w:val="9"/>
    <w:qFormat/>
    <w:pPr>
      <w:numPr>
        <w:numId w:val="1"/>
      </w:numPr>
      <w:spacing w:before="480" w:after="240"/>
      <w:outlineLvl w:val="0"/>
    </w:pPr>
    <w:rPr>
      <w:rFonts w:eastAsiaTheme="minorEastAsia"/>
      <w:b/>
      <w:sz w:val="28"/>
      <w:lang w:val="en-US"/>
    </w:rPr>
  </w:style>
  <w:style w:type="paragraph" w:styleId="Ttulo2">
    <w:name w:val="heading 2"/>
    <w:next w:val="Normal"/>
    <w:link w:val="Ttulo2Char"/>
    <w:uiPriority w:val="9"/>
    <w:semiHidden/>
    <w:unhideWhenUsed/>
    <w:qFormat/>
    <w:pPr>
      <w:numPr>
        <w:ilvl w:val="1"/>
        <w:numId w:val="1"/>
      </w:numPr>
      <w:spacing w:before="240"/>
      <w:outlineLvl w:val="1"/>
    </w:pPr>
    <w:rPr>
      <w:rFonts w:eastAsiaTheme="minorEastAsia"/>
      <w:b/>
      <w:lang w:val="en-US"/>
    </w:rPr>
  </w:style>
  <w:style w:type="paragraph" w:styleId="Ttulo3">
    <w:name w:val="heading 3"/>
    <w:next w:val="Normal"/>
    <w:link w:val="Ttulo3Char"/>
    <w:uiPriority w:val="9"/>
    <w:semiHidden/>
    <w:unhideWhenUsed/>
    <w:qFormat/>
    <w:pPr>
      <w:numPr>
        <w:ilvl w:val="2"/>
        <w:numId w:val="1"/>
      </w:numPr>
      <w:spacing w:before="240"/>
      <w:outlineLvl w:val="2"/>
    </w:pPr>
    <w:rPr>
      <w:rFonts w:eastAsiaTheme="minorEastAsia"/>
      <w:i/>
      <w:lang w:val="en-US"/>
    </w:rPr>
  </w:style>
  <w:style w:type="paragraph" w:styleId="Ttulo4">
    <w:name w:val="heading 4"/>
    <w:basedOn w:val="Normal"/>
    <w:next w:val="Normal"/>
    <w:link w:val="Ttulo4Char"/>
    <w:uiPriority w:val="9"/>
    <w:semiHidden/>
    <w:unhideWhenUsed/>
    <w:qFormat/>
    <w:pPr>
      <w:keepNext/>
      <w:keepLines/>
      <w:numPr>
        <w:ilvl w:val="3"/>
        <w:numId w:val="1"/>
      </w:numPr>
      <w:spacing w:before="40" w:after="0"/>
      <w:outlineLvl w:val="3"/>
    </w:pPr>
    <w:rPr>
      <w:rFonts w:asciiTheme="majorHAnsi" w:eastAsiaTheme="majorEastAsia" w:hAnsiTheme="majorHAnsi" w:cstheme="majorBidi"/>
      <w:i/>
      <w:iCs/>
      <w:color w:val="000000" w:themeColor="text1"/>
    </w:rPr>
  </w:style>
  <w:style w:type="paragraph" w:styleId="Ttulo5">
    <w:name w:val="heading 5"/>
    <w:basedOn w:val="Normal"/>
    <w:next w:val="Normal"/>
    <w:link w:val="Ttulo5Char"/>
    <w:uiPriority w:val="9"/>
    <w:semiHidden/>
    <w:unhideWhenUsed/>
    <w:qFormat/>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pPr>
      <w:keepNext/>
      <w:keepLines/>
      <w:numPr>
        <w:ilvl w:val="5"/>
        <w:numId w:val="1"/>
      </w:numPr>
      <w:spacing w:before="40" w:after="0"/>
      <w:outlineLvl w:val="5"/>
    </w:pPr>
    <w:rPr>
      <w:rFonts w:asciiTheme="majorHAnsi" w:eastAsiaTheme="majorEastAsia" w:hAnsiTheme="majorHAnsi" w:cstheme="majorBidi"/>
      <w:color w:val="244061" w:themeColor="accent1" w:themeShade="80"/>
    </w:rPr>
  </w:style>
  <w:style w:type="paragraph" w:styleId="Ttulo7">
    <w:name w:val="heading 7"/>
    <w:basedOn w:val="Normal"/>
    <w:next w:val="Normal"/>
    <w:link w:val="Ttulo7Char"/>
    <w:uiPriority w:val="9"/>
    <w:semiHidden/>
    <w:unhideWhenUsed/>
    <w:qFormat/>
    <w:pPr>
      <w:keepNext/>
      <w:keepLines/>
      <w:numPr>
        <w:ilvl w:val="6"/>
        <w:numId w:val="1"/>
      </w:numPr>
      <w:spacing w:before="40" w:after="0"/>
      <w:outlineLvl w:val="6"/>
    </w:pPr>
    <w:rPr>
      <w:rFonts w:asciiTheme="majorHAnsi" w:eastAsiaTheme="majorEastAsia" w:hAnsiTheme="majorHAnsi" w:cstheme="majorBidi"/>
      <w:i/>
      <w:iCs/>
      <w:color w:val="244061" w:themeColor="accent1" w:themeShade="80"/>
    </w:rPr>
  </w:style>
  <w:style w:type="paragraph" w:styleId="Ttulo8">
    <w:name w:val="heading 8"/>
    <w:basedOn w:val="Normal"/>
    <w:next w:val="Normal"/>
    <w:link w:val="Ttulo8Char"/>
    <w:uiPriority w:val="9"/>
    <w:semiHidden/>
    <w:unhideWhenUsed/>
    <w:qFormat/>
    <w:pPr>
      <w:keepNext/>
      <w:keepLines/>
      <w:numPr>
        <w:ilvl w:val="7"/>
        <w:numId w:val="1"/>
      </w:numPr>
      <w:spacing w:before="40" w:after="0"/>
      <w:outlineLvl w:val="7"/>
    </w:pPr>
    <w:rPr>
      <w:rFonts w:asciiTheme="majorHAnsi" w:eastAsiaTheme="majorEastAsia" w:hAnsiTheme="majorHAnsi" w:cstheme="majorBidi"/>
      <w:color w:val="262626" w:themeColor="text1" w:themeTint="D9"/>
      <w:sz w:val="21"/>
      <w:szCs w:val="21"/>
    </w:rPr>
  </w:style>
  <w:style w:type="paragraph" w:styleId="Ttulo9">
    <w:name w:val="heading 9"/>
    <w:basedOn w:val="Normal"/>
    <w:next w:val="Normal"/>
    <w:link w:val="Ttulo9Char"/>
    <w:uiPriority w:val="9"/>
    <w:semiHidden/>
    <w:unhideWhenUsed/>
    <w:qFormat/>
    <w:pPr>
      <w:keepNext/>
      <w:keepLines/>
      <w:numPr>
        <w:ilvl w:val="8"/>
        <w:numId w:val="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next w:val="Normal"/>
    <w:link w:val="TtuloChar"/>
    <w:uiPriority w:val="10"/>
    <w:qFormat/>
    <w:pPr>
      <w:spacing w:before="480" w:after="240"/>
    </w:pPr>
    <w:rPr>
      <w:rFonts w:eastAsiaTheme="minorEastAsia"/>
      <w:b/>
      <w:sz w:val="28"/>
      <w:lang w:val="en-US"/>
    </w:rPr>
  </w:style>
  <w:style w:type="table" w:customStyle="1" w:styleId="TableNormal0">
    <w:name w:val="Table Normal"/>
    <w:tblPr>
      <w:tblCellMar>
        <w:top w:w="0" w:type="dxa"/>
        <w:left w:w="0" w:type="dxa"/>
        <w:bottom w:w="0" w:type="dxa"/>
        <w:right w:w="0" w:type="dxa"/>
      </w:tblCellMar>
    </w:tblPr>
  </w:style>
  <w:style w:type="paragraph" w:styleId="Textodecomentrio">
    <w:name w:val="annotation text"/>
    <w:basedOn w:val="Normal"/>
    <w:link w:val="TextodecomentrioChar"/>
    <w:uiPriority w:val="99"/>
    <w:unhideWhenUsed/>
    <w:qFormat/>
    <w:rPr>
      <w:sz w:val="20"/>
      <w:szCs w:val="20"/>
    </w:rPr>
  </w:style>
  <w:style w:type="paragraph" w:styleId="Cabealho">
    <w:name w:val="header"/>
    <w:basedOn w:val="Normal"/>
    <w:link w:val="CabealhoChar"/>
    <w:unhideWhenUsed/>
    <w:qFormat/>
    <w:pPr>
      <w:pBdr>
        <w:bottom w:val="single" w:sz="4" w:space="1" w:color="auto"/>
      </w:pBdr>
      <w:tabs>
        <w:tab w:val="center" w:pos="4252"/>
        <w:tab w:val="right" w:pos="8504"/>
      </w:tabs>
      <w:spacing w:after="0"/>
      <w:jc w:val="center"/>
    </w:pPr>
    <w:rPr>
      <w:sz w:val="22"/>
    </w:rPr>
  </w:style>
  <w:style w:type="paragraph" w:styleId="Assuntodocomentrio">
    <w:name w:val="annotation subject"/>
    <w:basedOn w:val="Textodecomentrio"/>
    <w:next w:val="Textodecomentrio"/>
    <w:link w:val="AssuntodocomentrioChar"/>
    <w:uiPriority w:val="99"/>
    <w:semiHidden/>
    <w:unhideWhenUsed/>
    <w:qFormat/>
    <w:rPr>
      <w:b/>
      <w:bCs/>
    </w:rPr>
  </w:style>
  <w:style w:type="paragraph" w:styleId="Rodap">
    <w:name w:val="footer"/>
    <w:basedOn w:val="Normal"/>
    <w:link w:val="RodapChar"/>
    <w:uiPriority w:val="99"/>
    <w:unhideWhenUsed/>
    <w:qFormat/>
    <w:pPr>
      <w:tabs>
        <w:tab w:val="center" w:pos="4252"/>
        <w:tab w:val="right" w:pos="8504"/>
      </w:tabs>
      <w:spacing w:after="0"/>
    </w:pPr>
  </w:style>
  <w:style w:type="paragraph" w:styleId="Legenda">
    <w:name w:val="caption"/>
    <w:next w:val="Normal"/>
    <w:uiPriority w:val="35"/>
    <w:unhideWhenUsed/>
    <w:qFormat/>
    <w:pPr>
      <w:spacing w:before="240"/>
      <w:jc w:val="center"/>
    </w:pPr>
    <w:rPr>
      <w:rFonts w:eastAsiaTheme="minorEastAsia"/>
      <w:sz w:val="18"/>
      <w:szCs w:val="22"/>
      <w:lang w:val="en-US"/>
    </w:rPr>
  </w:style>
  <w:style w:type="paragraph" w:styleId="Textodebalo">
    <w:name w:val="Balloon Text"/>
    <w:basedOn w:val="Normal"/>
    <w:link w:val="TextodebaloChar"/>
    <w:uiPriority w:val="99"/>
    <w:semiHidden/>
    <w:unhideWhenUsed/>
    <w:qFormat/>
    <w:pPr>
      <w:spacing w:after="0"/>
    </w:pPr>
    <w:rPr>
      <w:rFonts w:ascii="Tahoma" w:hAnsi="Tahoma" w:cs="Tahoma"/>
      <w:sz w:val="16"/>
      <w:szCs w:val="16"/>
    </w:rPr>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qFormat/>
    <w:rPr>
      <w:sz w:val="16"/>
      <w:szCs w:val="16"/>
    </w:rPr>
  </w:style>
  <w:style w:type="character" w:styleId="Hyperlink">
    <w:name w:val="Hyperlink"/>
    <w:basedOn w:val="Fontepargpadro"/>
    <w:uiPriority w:val="99"/>
    <w:unhideWhenUsed/>
    <w:qFormat/>
    <w:rPr>
      <w:color w:val="0000FF" w:themeColor="hyperlink"/>
      <w:u w:val="single"/>
    </w:rPr>
  </w:style>
  <w:style w:type="table" w:styleId="Tabelacomgrade">
    <w:name w:val="Table Grid"/>
    <w:basedOn w:val="Tabelanormal"/>
    <w:uiPriority w:val="59"/>
    <w:qFormat/>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abealhoChar">
    <w:name w:val="Cabeçalho Char"/>
    <w:basedOn w:val="Fontepargpadro"/>
    <w:link w:val="Cabealho"/>
    <w:qFormat/>
    <w:rPr>
      <w:rFonts w:ascii="Times" w:hAnsi="Times" w:cs="Times"/>
      <w:szCs w:val="24"/>
      <w:lang w:val="en-US"/>
    </w:rPr>
  </w:style>
  <w:style w:type="character" w:customStyle="1" w:styleId="Ttulo1Char">
    <w:name w:val="Título 1 Char"/>
    <w:basedOn w:val="Fontepargpadro"/>
    <w:link w:val="Ttulo1"/>
    <w:uiPriority w:val="9"/>
    <w:qFormat/>
    <w:rPr>
      <w:rFonts w:ascii="Times" w:hAnsi="Times" w:cs="Times"/>
      <w:b/>
      <w:sz w:val="28"/>
      <w:szCs w:val="24"/>
      <w:lang w:val="en-US"/>
    </w:rPr>
  </w:style>
  <w:style w:type="character" w:customStyle="1" w:styleId="TextodecomentrioChar">
    <w:name w:val="Texto de comentário Char"/>
    <w:basedOn w:val="Fontepargpadro"/>
    <w:link w:val="Textodecomentrio"/>
    <w:uiPriority w:val="99"/>
    <w:qFormat/>
    <w:rPr>
      <w:sz w:val="20"/>
      <w:szCs w:val="20"/>
    </w:rPr>
  </w:style>
  <w:style w:type="character" w:customStyle="1" w:styleId="AssuntodocomentrioChar">
    <w:name w:val="Assunto do comentário Char"/>
    <w:basedOn w:val="TextodecomentrioChar"/>
    <w:link w:val="Assuntodocomentrio"/>
    <w:uiPriority w:val="99"/>
    <w:semiHidden/>
    <w:qFormat/>
    <w:rPr>
      <w:b/>
      <w:bCs/>
      <w:sz w:val="20"/>
      <w:szCs w:val="20"/>
    </w:rPr>
  </w:style>
  <w:style w:type="character" w:customStyle="1" w:styleId="TextodebaloChar">
    <w:name w:val="Texto de balão Char"/>
    <w:basedOn w:val="Fontepargpadro"/>
    <w:link w:val="Textodebalo"/>
    <w:uiPriority w:val="99"/>
    <w:semiHidden/>
    <w:qFormat/>
    <w:rPr>
      <w:rFonts w:ascii="Tahoma" w:hAnsi="Tahoma" w:cs="Tahoma"/>
      <w:sz w:val="16"/>
      <w:szCs w:val="16"/>
    </w:rPr>
  </w:style>
  <w:style w:type="paragraph" w:customStyle="1" w:styleId="RBIETtulodoartigo">
    <w:name w:val="RBIE Título do artigo"/>
    <w:next w:val="Cabealho"/>
    <w:qFormat/>
    <w:pPr>
      <w:contextualSpacing/>
      <w:jc w:val="center"/>
    </w:pPr>
    <w:rPr>
      <w:rFonts w:eastAsiaTheme="minorEastAsia" w:cstheme="minorBidi"/>
      <w:b/>
      <w:sz w:val="34"/>
      <w:szCs w:val="34"/>
      <w:lang w:val="en-US"/>
    </w:rPr>
  </w:style>
  <w:style w:type="paragraph" w:customStyle="1" w:styleId="RBIETtuloemingls">
    <w:name w:val="RBIE Título em inglês"/>
    <w:next w:val="Cabealho"/>
    <w:qFormat/>
    <w:pPr>
      <w:spacing w:after="480"/>
      <w:jc w:val="center"/>
    </w:pPr>
    <w:rPr>
      <w:rFonts w:eastAsiaTheme="minorEastAsia" w:cstheme="minorBidi"/>
      <w:b/>
      <w:i/>
      <w:lang w:val="en-US"/>
    </w:rPr>
  </w:style>
  <w:style w:type="paragraph" w:customStyle="1" w:styleId="RBIEAutor">
    <w:name w:val="RBIE Autor"/>
    <w:next w:val="Normal"/>
    <w:qFormat/>
    <w:pPr>
      <w:spacing w:after="0"/>
    </w:pPr>
    <w:rPr>
      <w:rFonts w:eastAsiaTheme="minorEastAsia"/>
      <w:i/>
      <w:lang w:val="en-US"/>
    </w:rPr>
  </w:style>
  <w:style w:type="paragraph" w:customStyle="1" w:styleId="RBIEResumo">
    <w:name w:val="RBIE Resumo"/>
    <w:qFormat/>
    <w:pPr>
      <w:spacing w:after="0"/>
    </w:pPr>
    <w:rPr>
      <w:rFonts w:eastAsiaTheme="minorEastAsia"/>
      <w:i/>
      <w:lang w:val="en-US"/>
    </w:rPr>
  </w:style>
  <w:style w:type="paragraph" w:customStyle="1" w:styleId="RBIEResumoTtulo">
    <w:name w:val="RBIE Resumo Título"/>
    <w:qFormat/>
    <w:pPr>
      <w:spacing w:after="0"/>
    </w:pPr>
    <w:rPr>
      <w:rFonts w:eastAsiaTheme="minorEastAsia"/>
      <w:b/>
      <w:lang w:val="en-US"/>
    </w:rPr>
  </w:style>
  <w:style w:type="paragraph" w:customStyle="1" w:styleId="RBIERodap">
    <w:name w:val="RBIE Rodapé"/>
    <w:qFormat/>
    <w:pPr>
      <w:spacing w:after="0"/>
      <w:ind w:left="680" w:hanging="680"/>
      <w:contextualSpacing/>
    </w:pPr>
    <w:rPr>
      <w:rFonts w:eastAsiaTheme="minorEastAsia"/>
      <w:i/>
      <w:szCs w:val="22"/>
      <w:lang w:val="en-US"/>
    </w:rPr>
  </w:style>
  <w:style w:type="paragraph" w:customStyle="1" w:styleId="RBIEReferncias">
    <w:name w:val="RBIE Referências"/>
    <w:qFormat/>
    <w:pPr>
      <w:ind w:left="426" w:hanging="426"/>
    </w:pPr>
    <w:rPr>
      <w:rFonts w:eastAsiaTheme="minorEastAsia"/>
      <w:lang w:val="en-US"/>
    </w:rPr>
  </w:style>
  <w:style w:type="character" w:customStyle="1" w:styleId="Ttulo2Char">
    <w:name w:val="Título 2 Char"/>
    <w:basedOn w:val="Fontepargpadro"/>
    <w:link w:val="Ttulo2"/>
    <w:uiPriority w:val="9"/>
    <w:qFormat/>
    <w:rPr>
      <w:rFonts w:ascii="Times" w:hAnsi="Times" w:cs="Times"/>
      <w:b/>
      <w:sz w:val="24"/>
      <w:szCs w:val="24"/>
      <w:lang w:val="en-US"/>
    </w:rPr>
  </w:style>
  <w:style w:type="character" w:customStyle="1" w:styleId="Ttulo3Char">
    <w:name w:val="Título 3 Char"/>
    <w:basedOn w:val="Fontepargpadro"/>
    <w:link w:val="Ttulo3"/>
    <w:uiPriority w:val="9"/>
    <w:qFormat/>
    <w:rPr>
      <w:rFonts w:ascii="Times" w:hAnsi="Times" w:cs="Times"/>
      <w:i/>
      <w:sz w:val="24"/>
      <w:szCs w:val="24"/>
      <w:lang w:val="en-US"/>
    </w:rPr>
  </w:style>
  <w:style w:type="character" w:customStyle="1" w:styleId="Ttulo4Char">
    <w:name w:val="Título 4 Char"/>
    <w:basedOn w:val="Fontepargpadro"/>
    <w:link w:val="Ttulo4"/>
    <w:uiPriority w:val="9"/>
    <w:semiHidden/>
    <w:qFormat/>
    <w:rPr>
      <w:rFonts w:asciiTheme="majorHAnsi" w:eastAsiaTheme="majorEastAsia" w:hAnsiTheme="majorHAnsi" w:cstheme="majorBidi"/>
      <w:i/>
      <w:iCs/>
      <w:color w:val="000000" w:themeColor="text1"/>
    </w:rPr>
  </w:style>
  <w:style w:type="character" w:customStyle="1" w:styleId="Ttulo5Char">
    <w:name w:val="Título 5 Char"/>
    <w:basedOn w:val="Fontepargpadro"/>
    <w:link w:val="Ttulo5"/>
    <w:uiPriority w:val="9"/>
    <w:semiHidden/>
    <w:qFormat/>
    <w:rPr>
      <w:rFonts w:asciiTheme="majorHAnsi" w:eastAsiaTheme="majorEastAsia" w:hAnsiTheme="majorHAnsi" w:cstheme="majorBidi"/>
      <w:color w:val="365F91" w:themeColor="accent1" w:themeShade="BF"/>
    </w:rPr>
  </w:style>
  <w:style w:type="character" w:customStyle="1" w:styleId="Ttulo6Char">
    <w:name w:val="Título 6 Char"/>
    <w:basedOn w:val="Fontepargpadro"/>
    <w:link w:val="Ttulo6"/>
    <w:uiPriority w:val="9"/>
    <w:semiHidden/>
    <w:qFormat/>
    <w:rPr>
      <w:rFonts w:asciiTheme="majorHAnsi" w:eastAsiaTheme="majorEastAsia" w:hAnsiTheme="majorHAnsi" w:cstheme="majorBidi"/>
      <w:color w:val="244061" w:themeColor="accent1" w:themeShade="80"/>
    </w:rPr>
  </w:style>
  <w:style w:type="character" w:customStyle="1" w:styleId="Ttulo7Char">
    <w:name w:val="Título 7 Char"/>
    <w:basedOn w:val="Fontepargpadro"/>
    <w:link w:val="Ttulo7"/>
    <w:uiPriority w:val="9"/>
    <w:semiHidden/>
    <w:qFormat/>
    <w:rPr>
      <w:rFonts w:asciiTheme="majorHAnsi" w:eastAsiaTheme="majorEastAsia" w:hAnsiTheme="majorHAnsi" w:cstheme="majorBidi"/>
      <w:i/>
      <w:iCs/>
      <w:color w:val="244061" w:themeColor="accent1" w:themeShade="80"/>
    </w:rPr>
  </w:style>
  <w:style w:type="character" w:customStyle="1" w:styleId="Ttulo8Char">
    <w:name w:val="Título 8 Char"/>
    <w:basedOn w:val="Fontepargpadro"/>
    <w:link w:val="Ttulo8"/>
    <w:uiPriority w:val="9"/>
    <w:semiHidden/>
    <w:qFormat/>
    <w:rPr>
      <w:rFonts w:asciiTheme="majorHAnsi" w:eastAsiaTheme="majorEastAsia" w:hAnsiTheme="majorHAnsi" w:cstheme="majorBidi"/>
      <w:color w:val="262626" w:themeColor="text1" w:themeTint="D9"/>
      <w:sz w:val="21"/>
      <w:szCs w:val="21"/>
    </w:rPr>
  </w:style>
  <w:style w:type="character" w:customStyle="1" w:styleId="Ttulo9Char">
    <w:name w:val="Título 9 Char"/>
    <w:basedOn w:val="Fontepargpadro"/>
    <w:link w:val="Ttulo9"/>
    <w:uiPriority w:val="9"/>
    <w:semiHidden/>
    <w:qFormat/>
    <w:rPr>
      <w:rFonts w:asciiTheme="majorHAnsi" w:eastAsiaTheme="majorEastAsia" w:hAnsiTheme="majorHAnsi" w:cstheme="majorBidi"/>
      <w:i/>
      <w:iCs/>
      <w:color w:val="262626" w:themeColor="text1" w:themeTint="D9"/>
      <w:sz w:val="21"/>
      <w:szCs w:val="21"/>
    </w:rPr>
  </w:style>
  <w:style w:type="character" w:customStyle="1" w:styleId="TtuloChar">
    <w:name w:val="Título Char"/>
    <w:basedOn w:val="Fontepargpadro"/>
    <w:link w:val="Ttulo"/>
    <w:uiPriority w:val="10"/>
    <w:qFormat/>
    <w:rPr>
      <w:rFonts w:ascii="Times" w:hAnsi="Times" w:cs="Times"/>
      <w:b/>
      <w:sz w:val="28"/>
      <w:szCs w:val="24"/>
      <w:lang w:val="en-US"/>
    </w:rPr>
  </w:style>
  <w:style w:type="paragraph" w:customStyle="1" w:styleId="RBIETextodetabela">
    <w:name w:val="RBIE Texto de tabela"/>
    <w:qFormat/>
    <w:pPr>
      <w:spacing w:after="0"/>
      <w:jc w:val="center"/>
    </w:pPr>
    <w:rPr>
      <w:rFonts w:eastAsiaTheme="minorEastAsia"/>
      <w:szCs w:val="22"/>
      <w:lang w:val="en-US"/>
    </w:rPr>
  </w:style>
  <w:style w:type="paragraph" w:customStyle="1" w:styleId="RBIECdigo">
    <w:name w:val="RBIE Código"/>
    <w:basedOn w:val="Normal"/>
    <w:qFormat/>
    <w:pPr>
      <w:pBdr>
        <w:top w:val="single" w:sz="4" w:space="1" w:color="auto"/>
        <w:left w:val="single" w:sz="4" w:space="4" w:color="auto"/>
        <w:bottom w:val="single" w:sz="4" w:space="1" w:color="auto"/>
        <w:right w:val="single" w:sz="4" w:space="4" w:color="auto"/>
      </w:pBdr>
      <w:spacing w:after="0"/>
    </w:pPr>
    <w:rPr>
      <w:rFonts w:ascii="Courier New" w:hAnsi="Courier New" w:cs="Courier New"/>
      <w:sz w:val="18"/>
      <w:szCs w:val="18"/>
    </w:rPr>
  </w:style>
  <w:style w:type="paragraph" w:customStyle="1" w:styleId="RBIEFigura">
    <w:name w:val="RBIE Figura"/>
    <w:qFormat/>
    <w:pPr>
      <w:spacing w:before="120"/>
      <w:ind w:firstLine="709"/>
      <w:jc w:val="center"/>
    </w:pPr>
    <w:rPr>
      <w:rFonts w:eastAsiaTheme="minorEastAsia"/>
      <w:lang w:val="en-US"/>
    </w:rPr>
  </w:style>
  <w:style w:type="paragraph" w:customStyle="1" w:styleId="RBIEEquao">
    <w:name w:val="RBIE Equação"/>
    <w:qFormat/>
    <w:rPr>
      <w:rFonts w:eastAsiaTheme="minorEastAsia"/>
      <w:lang w:val="en-US"/>
    </w:rPr>
  </w:style>
  <w:style w:type="paragraph" w:customStyle="1" w:styleId="RBIERodapnmerodepgina">
    <w:name w:val="RBIE Rodapé número de página"/>
    <w:basedOn w:val="Normal"/>
    <w:qFormat/>
    <w:pPr>
      <w:jc w:val="center"/>
    </w:pPr>
  </w:style>
  <w:style w:type="paragraph" w:customStyle="1" w:styleId="RBIECabealhoautores">
    <w:name w:val="RBIE Cabeçalho autores"/>
    <w:qFormat/>
    <w:pPr>
      <w:pBdr>
        <w:bottom w:val="single" w:sz="4" w:space="1" w:color="auto"/>
      </w:pBdr>
      <w:spacing w:after="240"/>
      <w:contextualSpacing/>
    </w:pPr>
    <w:rPr>
      <w:rFonts w:eastAsiaTheme="minorEastAsia" w:cstheme="minorBidi"/>
      <w:szCs w:val="22"/>
    </w:rPr>
  </w:style>
  <w:style w:type="paragraph" w:styleId="PargrafodaLista">
    <w:name w:val="List Paragraph"/>
    <w:basedOn w:val="Normal"/>
    <w:uiPriority w:val="34"/>
    <w:qFormat/>
    <w:pPr>
      <w:ind w:left="720"/>
      <w:contextualSpacing/>
    </w:pPr>
  </w:style>
  <w:style w:type="character" w:customStyle="1" w:styleId="RodapChar">
    <w:name w:val="Rodapé Char"/>
    <w:basedOn w:val="Fontepargpadro"/>
    <w:link w:val="Rodap"/>
    <w:uiPriority w:val="99"/>
    <w:rPr>
      <w:rFonts w:ascii="Times" w:hAnsi="Times" w:cs="Times"/>
      <w:sz w:val="24"/>
      <w:szCs w:val="24"/>
      <w:lang w:val="en-US"/>
    </w:rPr>
  </w:style>
  <w:style w:type="character" w:styleId="Refdenotaderodap">
    <w:name w:val="footnote reference"/>
    <w:basedOn w:val="Fontepargpadro"/>
    <w:uiPriority w:val="99"/>
    <w:semiHidden/>
    <w:unhideWhenUsed/>
    <w:rsid w:val="006229C8"/>
    <w:rPr>
      <w:vertAlign w:val="superscript"/>
    </w:rPr>
  </w:style>
  <w:style w:type="character" w:customStyle="1" w:styleId="UnresolvedMention">
    <w:name w:val="Unresolved Mention"/>
    <w:basedOn w:val="Fontepargpadro"/>
    <w:uiPriority w:val="99"/>
    <w:semiHidden/>
    <w:unhideWhenUsed/>
    <w:rsid w:val="00AF567F"/>
    <w:rPr>
      <w:color w:val="605E5C"/>
      <w:shd w:val="clear" w:color="auto" w:fill="E1DFDD"/>
    </w:rPr>
  </w:style>
  <w:style w:type="paragraph" w:customStyle="1" w:styleId="paragraph">
    <w:name w:val="paragraph"/>
    <w:basedOn w:val="Normal"/>
    <w:rsid w:val="006877E3"/>
    <w:pPr>
      <w:spacing w:before="100" w:beforeAutospacing="1" w:after="100" w:afterAutospacing="1"/>
      <w:ind w:firstLine="567"/>
      <w:jc w:val="left"/>
    </w:pPr>
    <w:rPr>
      <w:rFonts w:ascii="Times New Roman" w:eastAsia="Times New Roman" w:hAnsi="Times New Roman" w:cs="Times New Roman"/>
    </w:rPr>
  </w:style>
  <w:style w:type="paragraph" w:customStyle="1" w:styleId="Standard">
    <w:name w:val="Standard"/>
    <w:rsid w:val="00E033F7"/>
    <w:pPr>
      <w:suppressAutoHyphens/>
      <w:autoSpaceDN w:val="0"/>
      <w:spacing w:after="0"/>
      <w:textAlignment w:val="baseline"/>
    </w:pPr>
    <w:rPr>
      <w:rFonts w:eastAsia="Times New Roman"/>
      <w:kern w:val="3"/>
      <w:lang w:eastAsia="zh-CN"/>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pPr>
    <w:tblPr>
      <w:tblStyleRowBandSize w:val="1"/>
      <w:tblStyleColBandSize w:val="1"/>
      <w:tblCellMar>
        <w:top w:w="0" w:type="dxa"/>
        <w:left w:w="108" w:type="dxa"/>
        <w:bottom w:w="0" w:type="dxa"/>
        <w:right w:w="108" w:type="dxa"/>
      </w:tblCellMar>
    </w:tblPr>
  </w:style>
  <w:style w:type="table" w:customStyle="1" w:styleId="a0">
    <w:basedOn w:val="TableNormal0"/>
    <w:pPr>
      <w:spacing w:after="0"/>
    </w:pPr>
    <w:tblPr>
      <w:tblStyleRowBandSize w:val="1"/>
      <w:tblStyleColBandSize w:val="1"/>
      <w:tblCellMar>
        <w:top w:w="0" w:type="dxa"/>
        <w:left w:w="108" w:type="dxa"/>
        <w:bottom w:w="0" w:type="dxa"/>
        <w:right w:w="108" w:type="dxa"/>
      </w:tblCellMar>
    </w:tblPr>
  </w:style>
  <w:style w:type="table" w:customStyle="1" w:styleId="a1">
    <w:basedOn w:val="TableNormal0"/>
    <w:pPr>
      <w:spacing w:after="0"/>
    </w:pPr>
    <w:tblPr>
      <w:tblStyleRowBandSize w:val="1"/>
      <w:tblStyleColBandSize w:val="1"/>
      <w:tblCellMar>
        <w:top w:w="0" w:type="dxa"/>
        <w:left w:w="108" w:type="dxa"/>
        <w:bottom w:w="0" w:type="dxa"/>
        <w:right w:w="108" w:type="dxa"/>
      </w:tblCellMar>
    </w:tblPr>
  </w:style>
  <w:style w:type="table" w:customStyle="1" w:styleId="a2">
    <w:basedOn w:val="TableNormal0"/>
    <w:pPr>
      <w:spacing w:after="0"/>
    </w:pPr>
    <w:tblPr>
      <w:tblStyleRowBandSize w:val="1"/>
      <w:tblStyleColBandSize w:val="1"/>
      <w:tblCellMar>
        <w:top w:w="0" w:type="dxa"/>
        <w:left w:w="108" w:type="dxa"/>
        <w:bottom w:w="0" w:type="dxa"/>
        <w:right w:w="108" w:type="dxa"/>
      </w:tblCellMar>
    </w:tblPr>
  </w:style>
  <w:style w:type="table" w:customStyle="1" w:styleId="a3">
    <w:basedOn w:val="TableNormal0"/>
    <w:pPr>
      <w:spacing w:after="0"/>
    </w:pPr>
    <w:tblPr>
      <w:tblStyleRowBandSize w:val="1"/>
      <w:tblStyleColBandSize w:val="1"/>
      <w:tblCellMar>
        <w:top w:w="0" w:type="dxa"/>
        <w:left w:w="108" w:type="dxa"/>
        <w:bottom w:w="0" w:type="dxa"/>
        <w:right w:w="108" w:type="dxa"/>
      </w:tblCellMar>
    </w:tblPr>
  </w:style>
  <w:style w:type="table" w:customStyle="1" w:styleId="a4">
    <w:basedOn w:val="TableNormal0"/>
    <w:pPr>
      <w:spacing w:after="0"/>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abrecon.org.b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biolla_lima@ufg.br" TargetMode="External"/><Relationship Id="rId24" Type="http://schemas.openxmlformats.org/officeDocument/2006/relationships/image" Target="media/image13.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jpg"/><Relationship Id="rId28" Type="http://schemas.openxmlformats.org/officeDocument/2006/relationships/footer" Target="footer1.xml"/><Relationship Id="rId10" Type="http://schemas.openxmlformats.org/officeDocument/2006/relationships/hyperlink" Target="mailto:janescleiton@ufg.br" TargetMode="External"/><Relationship Id="rId19" Type="http://schemas.openxmlformats.org/officeDocument/2006/relationships/image" Target="media/image8.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patriciaarqurb1380@gmail.com"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mailto:lidialborges@discente.uf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3" Type="http://schemas.openxmlformats.org/officeDocument/2006/relationships/image" Target="media/image17.png"/><Relationship Id="rId2" Type="http://schemas.openxmlformats.org/officeDocument/2006/relationships/image" Target="media/image16.jpg"/><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3" Type="http://schemas.openxmlformats.org/officeDocument/2006/relationships/image" Target="media/image17.png"/><Relationship Id="rId2" Type="http://schemas.openxmlformats.org/officeDocument/2006/relationships/image" Target="media/image16.jpg"/><Relationship Id="rId1" Type="http://schemas.openxmlformats.org/officeDocument/2006/relationships/image" Target="media/image1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m4eTxp24SCVBRFw5b9YbKPta3Q==">AMUW2mWA4pjsZN8vJIkvOLDEVo22sV8YFwkVxgFVlzqJx2lPPhxktuuX16tQlUsZIvdtI+gjg3FPcfOFVNmcl/w/vg+JouaGxRM4VtyV7DGYixSjp9jx8020vKnXC5xUxjjotgDV6vKF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4562</Words>
  <Characters>24640</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Paulo Ferroli</cp:lastModifiedBy>
  <cp:revision>2</cp:revision>
  <cp:lastPrinted>2023-04-12T11:55:00Z</cp:lastPrinted>
  <dcterms:created xsi:type="dcterms:W3CDTF">2023-04-12T12:00:00Z</dcterms:created>
  <dcterms:modified xsi:type="dcterms:W3CDTF">2023-04-12T12:00:00Z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1046-11.2.0.9144</vt:lpwstr>
  </property>
</Properties>
</file>