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2D3F9B" w14:textId="00246803" w:rsidR="00827839" w:rsidRPr="0049479C" w:rsidRDefault="00AC463D" w:rsidP="009A3F66">
      <w:pPr>
        <w:spacing w:after="120"/>
        <w:jc w:val="center"/>
        <w:rPr>
          <w:color w:val="A6A6A6"/>
          <w:sz w:val="28"/>
          <w:szCs w:val="28"/>
          <w:lang w:val="pt-BR"/>
        </w:rPr>
      </w:pPr>
      <w:bookmarkStart w:id="1" w:name="_Hlk131776285"/>
      <w:bookmarkEnd w:id="1"/>
      <w:r w:rsidRPr="003024EB">
        <w:rPr>
          <w:b/>
          <w:sz w:val="28"/>
          <w:szCs w:val="28"/>
          <w:lang w:val="pt-BR"/>
        </w:rPr>
        <w:t xml:space="preserve">Descontinuidade no design de joias: ações sustentáveis no </w:t>
      </w:r>
      <w:r>
        <w:rPr>
          <w:b/>
          <w:sz w:val="28"/>
          <w:szCs w:val="28"/>
          <w:lang w:val="pt-BR"/>
        </w:rPr>
        <w:t>B</w:t>
      </w:r>
      <w:r w:rsidRPr="003024EB">
        <w:rPr>
          <w:b/>
          <w:sz w:val="28"/>
          <w:szCs w:val="28"/>
          <w:lang w:val="pt-BR"/>
        </w:rPr>
        <w:t>rasil contemporâneo</w:t>
      </w:r>
    </w:p>
    <w:p w14:paraId="0338B5E5" w14:textId="7588A110" w:rsidR="00233ED1" w:rsidRDefault="00233ED1" w:rsidP="00AC463D">
      <w:pPr>
        <w:spacing w:after="120"/>
        <w:rPr>
          <w:b/>
          <w:sz w:val="16"/>
          <w:szCs w:val="16"/>
          <w:lang w:val="pt-BR"/>
        </w:rPr>
      </w:pPr>
    </w:p>
    <w:p w14:paraId="1597DA53" w14:textId="77777777" w:rsidR="00A46361" w:rsidRPr="00A46361" w:rsidRDefault="00A46361" w:rsidP="00AC463D">
      <w:pPr>
        <w:spacing w:after="120"/>
        <w:rPr>
          <w:b/>
          <w:sz w:val="16"/>
          <w:szCs w:val="16"/>
          <w:lang w:val="pt-BR"/>
        </w:rPr>
      </w:pPr>
    </w:p>
    <w:p w14:paraId="40B79C2A" w14:textId="5FB0E16C" w:rsidR="00B745D0" w:rsidRPr="003024EB" w:rsidRDefault="00AC463D" w:rsidP="003024EB">
      <w:pPr>
        <w:spacing w:after="120"/>
        <w:jc w:val="center"/>
        <w:rPr>
          <w:b/>
          <w:sz w:val="28"/>
          <w:szCs w:val="28"/>
        </w:rPr>
      </w:pPr>
      <w:r w:rsidRPr="003024EB">
        <w:rPr>
          <w:b/>
          <w:i/>
          <w:sz w:val="28"/>
          <w:szCs w:val="28"/>
        </w:rPr>
        <w:t xml:space="preserve">Discontinuity in jewelry design: sustainable actions in contemporaneous </w:t>
      </w:r>
      <w:r>
        <w:rPr>
          <w:b/>
          <w:i/>
          <w:sz w:val="28"/>
          <w:szCs w:val="28"/>
        </w:rPr>
        <w:t>B</w:t>
      </w:r>
      <w:r w:rsidRPr="003024EB">
        <w:rPr>
          <w:b/>
          <w:i/>
          <w:sz w:val="28"/>
          <w:szCs w:val="28"/>
        </w:rPr>
        <w:t>razil</w:t>
      </w:r>
    </w:p>
    <w:p w14:paraId="5DC8168B" w14:textId="7D9F7133" w:rsidR="00AC463D" w:rsidRDefault="00AC463D" w:rsidP="00E97ED4">
      <w:pPr>
        <w:spacing w:after="120"/>
        <w:rPr>
          <w:color w:val="A6A6A6"/>
          <w:sz w:val="16"/>
          <w:szCs w:val="16"/>
        </w:rPr>
      </w:pPr>
    </w:p>
    <w:p w14:paraId="68C6A391" w14:textId="77777777" w:rsidR="00A46361" w:rsidRPr="00A46361" w:rsidRDefault="00A46361" w:rsidP="00E97ED4">
      <w:pPr>
        <w:spacing w:after="120"/>
        <w:rPr>
          <w:color w:val="A6A6A6"/>
          <w:sz w:val="16"/>
          <w:szCs w:val="16"/>
        </w:rPr>
      </w:pPr>
    </w:p>
    <w:p w14:paraId="0B541832" w14:textId="7C770C75" w:rsidR="00EE28A9" w:rsidRPr="0049479C" w:rsidRDefault="003024EB" w:rsidP="00E97ED4">
      <w:pPr>
        <w:spacing w:after="120"/>
        <w:jc w:val="left"/>
        <w:rPr>
          <w:szCs w:val="24"/>
          <w:lang w:val="pt-BR"/>
        </w:rPr>
      </w:pPr>
      <w:r w:rsidRPr="00AC463D">
        <w:rPr>
          <w:b/>
          <w:szCs w:val="24"/>
          <w:lang w:val="pt-BR"/>
        </w:rPr>
        <w:t>Aryuska A</w:t>
      </w:r>
      <w:r w:rsidR="00A46361">
        <w:rPr>
          <w:b/>
          <w:szCs w:val="24"/>
          <w:lang w:val="pt-BR"/>
        </w:rPr>
        <w:t>.</w:t>
      </w:r>
      <w:r w:rsidRPr="00AC463D">
        <w:rPr>
          <w:b/>
          <w:szCs w:val="24"/>
          <w:lang w:val="pt-BR"/>
        </w:rPr>
        <w:t xml:space="preserve"> Santos S</w:t>
      </w:r>
      <w:r w:rsidR="00A46361">
        <w:rPr>
          <w:b/>
          <w:szCs w:val="24"/>
          <w:lang w:val="pt-BR"/>
        </w:rPr>
        <w:t>.</w:t>
      </w:r>
      <w:r w:rsidRPr="00AC463D">
        <w:rPr>
          <w:b/>
          <w:szCs w:val="24"/>
          <w:lang w:val="pt-BR"/>
        </w:rPr>
        <w:t xml:space="preserve"> da Silva, mestranda, </w:t>
      </w:r>
      <w:r w:rsidR="00233ED1">
        <w:rPr>
          <w:b/>
          <w:szCs w:val="24"/>
          <w:lang w:val="pt-BR"/>
        </w:rPr>
        <w:t>Universidade Federal de Campina Grande</w:t>
      </w:r>
    </w:p>
    <w:p w14:paraId="3430F7CD" w14:textId="098B10AD" w:rsidR="00827839" w:rsidRPr="0049479C" w:rsidRDefault="003024EB" w:rsidP="00E97ED4">
      <w:pPr>
        <w:spacing w:after="120"/>
        <w:jc w:val="left"/>
        <w:rPr>
          <w:sz w:val="20"/>
          <w:lang w:val="pt-BR"/>
        </w:rPr>
      </w:pPr>
      <w:r>
        <w:rPr>
          <w:szCs w:val="24"/>
          <w:lang w:val="pt-BR"/>
        </w:rPr>
        <w:t>aryuska.aryelle@gmail.com</w:t>
      </w:r>
    </w:p>
    <w:p w14:paraId="56BD3D26" w14:textId="77777777" w:rsidR="003024EB" w:rsidRPr="0049479C" w:rsidRDefault="003024EB" w:rsidP="003024EB">
      <w:pPr>
        <w:spacing w:after="120"/>
        <w:jc w:val="left"/>
        <w:rPr>
          <w:szCs w:val="24"/>
          <w:lang w:val="pt-BR"/>
        </w:rPr>
      </w:pPr>
      <w:r w:rsidRPr="00AC463D">
        <w:rPr>
          <w:b/>
          <w:szCs w:val="24"/>
          <w:lang w:val="pt-BR"/>
        </w:rPr>
        <w:t>Thamyres Oliveira Clementino, doutora, Universidade Federal de Campina Grande</w:t>
      </w:r>
    </w:p>
    <w:p w14:paraId="5C123FF9" w14:textId="53765172" w:rsidR="00A77D24" w:rsidRPr="0049479C" w:rsidRDefault="00233ED1" w:rsidP="00E97ED4">
      <w:pPr>
        <w:spacing w:after="120"/>
        <w:jc w:val="left"/>
        <w:rPr>
          <w:szCs w:val="24"/>
          <w:lang w:val="pt-BR"/>
        </w:rPr>
      </w:pPr>
      <w:r>
        <w:rPr>
          <w:szCs w:val="24"/>
          <w:lang w:val="pt-BR"/>
        </w:rPr>
        <w:t>t</w:t>
      </w:r>
      <w:r w:rsidR="003024EB">
        <w:rPr>
          <w:szCs w:val="24"/>
          <w:lang w:val="pt-BR"/>
        </w:rPr>
        <w:t>hamyres.oliveira.clementino@gmail.com</w:t>
      </w:r>
    </w:p>
    <w:p w14:paraId="7F301726" w14:textId="77777777" w:rsidR="00A77D24" w:rsidRPr="00A46361" w:rsidRDefault="00A77D24" w:rsidP="00E97ED4">
      <w:pPr>
        <w:spacing w:after="120"/>
        <w:jc w:val="left"/>
        <w:rPr>
          <w:sz w:val="16"/>
          <w:szCs w:val="16"/>
          <w:lang w:val="pt-BR"/>
        </w:rPr>
      </w:pPr>
    </w:p>
    <w:p w14:paraId="7F61E562" w14:textId="570E0AEB" w:rsidR="001A619C" w:rsidRDefault="001A619C" w:rsidP="001A619C">
      <w:pPr>
        <w:spacing w:after="120"/>
        <w:rPr>
          <w:color w:val="A6A6A6"/>
          <w:szCs w:val="24"/>
          <w:lang w:val="pt-BR"/>
        </w:rPr>
      </w:pPr>
      <w:r>
        <w:rPr>
          <w:color w:val="A6A6A6"/>
          <w:szCs w:val="24"/>
          <w:lang w:val="pt-BR"/>
        </w:rPr>
        <w:t>Número da sessão temática da submissão – [</w:t>
      </w:r>
      <w:r w:rsidR="001F714F">
        <w:rPr>
          <w:color w:val="A6A6A6"/>
          <w:szCs w:val="24"/>
          <w:lang w:val="pt-BR"/>
        </w:rPr>
        <w:t>6</w:t>
      </w:r>
      <w:r>
        <w:rPr>
          <w:color w:val="A6A6A6"/>
          <w:szCs w:val="24"/>
          <w:lang w:val="pt-BR"/>
        </w:rPr>
        <w:t>]</w:t>
      </w:r>
    </w:p>
    <w:p w14:paraId="4213997B" w14:textId="77777777" w:rsidR="001A619C" w:rsidRPr="00A46361" w:rsidRDefault="001A619C" w:rsidP="001A619C">
      <w:pPr>
        <w:spacing w:after="120"/>
        <w:rPr>
          <w:b/>
          <w:sz w:val="16"/>
          <w:szCs w:val="16"/>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188F7C2C" w14:textId="39CDE3A3" w:rsidR="00DC3C3C" w:rsidRPr="0049479C" w:rsidRDefault="006837D0" w:rsidP="00E97ED4">
      <w:pPr>
        <w:spacing w:after="120"/>
        <w:rPr>
          <w:sz w:val="22"/>
          <w:szCs w:val="22"/>
          <w:lang w:val="pt-BR"/>
        </w:rPr>
      </w:pPr>
      <w:r w:rsidRPr="006837D0">
        <w:rPr>
          <w:sz w:val="22"/>
          <w:szCs w:val="22"/>
          <w:lang w:val="pt-BR"/>
        </w:rPr>
        <w:t>Este artigo consiste em um levantamento de formas de descontinuidade no design de joias, a partir de conceitos do ecodesign e do design para a sustentabilidade, tendo por objetivo contribuir com a busca pela diminuição dos impactos ambientais gerados por esta cadeia, além de difundir o que vem sendo realizado em diferentes contextos do país. Para isso, foi realizada uma revisão bibliográfica e um levantamento sistêmico em publicações de uma revista e anais de um encontro em sustentabilidade dos anos de 2018 a 2022 além dos anais do último Simpósio Internacional de Ourivesaria, Joalheria e Design (II SIDGEM) visando buscar relatos e pesquisas acerca de descontinuidades no design de joias, através das palavras-chave: design de joias, joalheria, sustentabilidade, joia e gemas. A partir do levantamento, foram selecionados catorze artigos que serviram de base para a seleção de casos relevantes para este e a construção do quad</w:t>
      </w:r>
      <w:r>
        <w:rPr>
          <w:sz w:val="22"/>
          <w:szCs w:val="22"/>
          <w:lang w:val="pt-BR"/>
        </w:rPr>
        <w:t>ro síntese apresentado ao final</w:t>
      </w:r>
      <w:r w:rsidR="00A01B71" w:rsidRPr="0049479C">
        <w:rPr>
          <w:sz w:val="22"/>
          <w:szCs w:val="22"/>
          <w:lang w:val="pt-BR"/>
        </w:rPr>
        <w:t>.</w:t>
      </w:r>
    </w:p>
    <w:p w14:paraId="0BE6C668" w14:textId="77777777" w:rsidR="00A46361" w:rsidRPr="00A46361" w:rsidRDefault="00A46361" w:rsidP="00A46361">
      <w:pPr>
        <w:jc w:val="left"/>
        <w:rPr>
          <w:b/>
          <w:sz w:val="16"/>
          <w:szCs w:val="16"/>
          <w:lang w:val="pt-BR"/>
        </w:rPr>
      </w:pPr>
    </w:p>
    <w:p w14:paraId="0DA18B90" w14:textId="7E25D199" w:rsidR="00827839" w:rsidRPr="00AC463D" w:rsidRDefault="00827839" w:rsidP="009A3F66">
      <w:pPr>
        <w:spacing w:after="120"/>
        <w:jc w:val="left"/>
        <w:rPr>
          <w:sz w:val="22"/>
          <w:szCs w:val="22"/>
          <w:lang w:val="pt-BR"/>
        </w:rPr>
      </w:pPr>
      <w:r w:rsidRPr="00233ED1">
        <w:rPr>
          <w:b/>
          <w:szCs w:val="24"/>
          <w:lang w:val="pt-BR"/>
        </w:rPr>
        <w:t>Palavras-chave:</w:t>
      </w:r>
      <w:r w:rsidR="00321E9E" w:rsidRPr="00AC463D">
        <w:rPr>
          <w:b/>
          <w:sz w:val="22"/>
          <w:szCs w:val="22"/>
          <w:lang w:val="pt-BR"/>
        </w:rPr>
        <w:t xml:space="preserve"> </w:t>
      </w:r>
      <w:r w:rsidR="006837D0" w:rsidRPr="00AC463D">
        <w:rPr>
          <w:sz w:val="22"/>
          <w:szCs w:val="22"/>
          <w:lang w:val="pt-BR"/>
        </w:rPr>
        <w:t>Design de joias</w:t>
      </w:r>
      <w:r w:rsidR="00A77D24" w:rsidRPr="00AC463D">
        <w:rPr>
          <w:sz w:val="22"/>
          <w:szCs w:val="22"/>
          <w:lang w:val="pt-BR"/>
        </w:rPr>
        <w:t>;</w:t>
      </w:r>
      <w:r w:rsidR="00321E9E" w:rsidRPr="00AC463D">
        <w:rPr>
          <w:sz w:val="22"/>
          <w:szCs w:val="22"/>
          <w:lang w:val="pt-BR"/>
        </w:rPr>
        <w:t xml:space="preserve"> </w:t>
      </w:r>
      <w:r w:rsidR="006837D0" w:rsidRPr="00AC463D">
        <w:rPr>
          <w:sz w:val="22"/>
          <w:szCs w:val="22"/>
          <w:lang w:val="pt-BR"/>
        </w:rPr>
        <w:t>sustentabilidade</w:t>
      </w:r>
      <w:r w:rsidR="00A77D24" w:rsidRPr="00AC463D">
        <w:rPr>
          <w:sz w:val="22"/>
          <w:szCs w:val="22"/>
          <w:lang w:val="pt-BR"/>
        </w:rPr>
        <w:t>;</w:t>
      </w:r>
      <w:r w:rsidR="00321E9E" w:rsidRPr="00AC463D">
        <w:rPr>
          <w:sz w:val="22"/>
          <w:szCs w:val="22"/>
          <w:lang w:val="pt-BR"/>
        </w:rPr>
        <w:t xml:space="preserve"> </w:t>
      </w:r>
      <w:r w:rsidR="006837D0" w:rsidRPr="00AC463D">
        <w:rPr>
          <w:sz w:val="22"/>
          <w:szCs w:val="22"/>
          <w:lang w:val="pt-BR"/>
        </w:rPr>
        <w:t>descontinuidade; ecodesign.</w:t>
      </w:r>
    </w:p>
    <w:p w14:paraId="0973CBF6" w14:textId="04F3D296" w:rsidR="007C087F" w:rsidRPr="00A46361" w:rsidRDefault="007C087F" w:rsidP="00A46361">
      <w:pPr>
        <w:rPr>
          <w:color w:val="A6A6A6"/>
          <w:sz w:val="16"/>
          <w:szCs w:val="16"/>
          <w:lang w:val="pt-BR"/>
        </w:rPr>
      </w:pPr>
    </w:p>
    <w:p w14:paraId="3A645C22" w14:textId="77777777" w:rsidR="00827839" w:rsidRPr="0049479C" w:rsidRDefault="00827839" w:rsidP="00E97ED4">
      <w:pPr>
        <w:spacing w:after="120"/>
        <w:rPr>
          <w:b/>
          <w:i/>
          <w:color w:val="A6A6A6"/>
          <w:sz w:val="22"/>
          <w:szCs w:val="22"/>
          <w:lang w:val="pt-BR"/>
        </w:rPr>
      </w:pPr>
      <w:r w:rsidRPr="0049479C">
        <w:rPr>
          <w:b/>
          <w:i/>
          <w:szCs w:val="24"/>
          <w:lang w:val="pt-BR"/>
        </w:rPr>
        <w:t>Abstrac</w:t>
      </w:r>
      <w:r w:rsidRPr="0049479C">
        <w:rPr>
          <w:b/>
          <w:i/>
          <w:sz w:val="22"/>
          <w:szCs w:val="22"/>
          <w:lang w:val="pt-BR"/>
        </w:rPr>
        <w:t>t</w:t>
      </w:r>
    </w:p>
    <w:p w14:paraId="372F4DEF" w14:textId="13542EA2" w:rsidR="00170328" w:rsidRPr="006837D0" w:rsidRDefault="006837D0" w:rsidP="00E97ED4">
      <w:pPr>
        <w:widowControl w:val="0"/>
        <w:autoSpaceDE w:val="0"/>
        <w:autoSpaceDN w:val="0"/>
        <w:adjustRightInd w:val="0"/>
        <w:spacing w:after="120"/>
        <w:rPr>
          <w:i/>
          <w:sz w:val="22"/>
          <w:szCs w:val="22"/>
        </w:rPr>
      </w:pPr>
      <w:r w:rsidRPr="006837D0">
        <w:rPr>
          <w:i/>
          <w:sz w:val="22"/>
          <w:szCs w:val="22"/>
        </w:rPr>
        <w:t>This article consists of a survey of forms of discontinuity in jewelry design, from ecodesign and design for sustainability concepts, with the objective of contributing to the search for the reduction of the environmental impacts generated by this chain, in addition to disseminating what been carried out in different contexts of the country. For this, a bibliographic review and a systemic survey were carried out in publications of a magazine and annals of a meeting on sustainability from 2018 to 2022, in addition to the annals of the last International Symposium on Goldsmithing, Jewelry and Design (II SIDGEM) in order to seek reports and research on discontinuities in jewelry design, through the keywords: jewelry design, jewelry, sustainability, jewelry and gems. From the survey, fourteen articles were selected that served as a basis for the selection of relevant cases for this article and the construction of the summary table presented at the end</w:t>
      </w:r>
      <w:r w:rsidR="00170328" w:rsidRPr="006837D0">
        <w:rPr>
          <w:i/>
          <w:sz w:val="22"/>
          <w:szCs w:val="22"/>
        </w:rPr>
        <w:t>.</w:t>
      </w:r>
      <w:r w:rsidR="004B7146" w:rsidRPr="006837D0">
        <w:rPr>
          <w:i/>
          <w:sz w:val="22"/>
          <w:szCs w:val="22"/>
        </w:rPr>
        <w:t xml:space="preserve"> </w:t>
      </w:r>
    </w:p>
    <w:p w14:paraId="01830517" w14:textId="77777777" w:rsidR="00A46361" w:rsidRPr="00A46361" w:rsidRDefault="00A46361" w:rsidP="00A46361">
      <w:pPr>
        <w:jc w:val="left"/>
        <w:rPr>
          <w:b/>
          <w:i/>
          <w:sz w:val="16"/>
          <w:szCs w:val="16"/>
        </w:rPr>
      </w:pPr>
    </w:p>
    <w:p w14:paraId="2E90505F" w14:textId="1F2C4C97" w:rsidR="00A46361" w:rsidRDefault="00141364" w:rsidP="00E65D3B">
      <w:pPr>
        <w:spacing w:after="120"/>
        <w:jc w:val="left"/>
        <w:rPr>
          <w:i/>
          <w:sz w:val="22"/>
          <w:szCs w:val="22"/>
        </w:rPr>
      </w:pPr>
      <w:r w:rsidRPr="00233ED1">
        <w:rPr>
          <w:b/>
          <w:i/>
          <w:szCs w:val="24"/>
        </w:rPr>
        <w:t>K</w:t>
      </w:r>
      <w:r w:rsidR="000F5978" w:rsidRPr="00233ED1">
        <w:rPr>
          <w:b/>
          <w:i/>
          <w:szCs w:val="24"/>
        </w:rPr>
        <w:t>ey</w:t>
      </w:r>
      <w:r w:rsidR="00827839" w:rsidRPr="00233ED1">
        <w:rPr>
          <w:b/>
          <w:i/>
          <w:szCs w:val="24"/>
        </w:rPr>
        <w:t>words</w:t>
      </w:r>
      <w:r w:rsidR="00827839" w:rsidRPr="00AC463D">
        <w:rPr>
          <w:b/>
          <w:i/>
          <w:sz w:val="22"/>
          <w:szCs w:val="22"/>
        </w:rPr>
        <w:t>:</w:t>
      </w:r>
      <w:r w:rsidR="00BF0F76" w:rsidRPr="00AC463D">
        <w:rPr>
          <w:b/>
          <w:i/>
          <w:sz w:val="22"/>
          <w:szCs w:val="22"/>
        </w:rPr>
        <w:t xml:space="preserve"> </w:t>
      </w:r>
      <w:r w:rsidR="006837D0" w:rsidRPr="00AC463D">
        <w:rPr>
          <w:i/>
          <w:sz w:val="22"/>
          <w:szCs w:val="22"/>
        </w:rPr>
        <w:t>Jewelry design; sustainability; discontinuity; ecodesign.</w:t>
      </w: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lastRenderedPageBreak/>
        <w:t>Introdução</w:t>
      </w:r>
    </w:p>
    <w:p w14:paraId="55016DAB" w14:textId="77777777" w:rsidR="004E7D4E" w:rsidRPr="0049479C" w:rsidRDefault="004E7D4E" w:rsidP="00E97ED4">
      <w:pPr>
        <w:spacing w:after="120"/>
        <w:rPr>
          <w:color w:val="A6A6A6"/>
          <w:szCs w:val="24"/>
        </w:rPr>
      </w:pPr>
    </w:p>
    <w:p w14:paraId="4DA7537A" w14:textId="1FFC1481" w:rsidR="006837D0" w:rsidRPr="006837D0" w:rsidRDefault="006837D0" w:rsidP="006837D0">
      <w:pPr>
        <w:spacing w:after="120"/>
        <w:ind w:firstLine="284"/>
        <w:rPr>
          <w:szCs w:val="24"/>
          <w:lang w:val="pt-BR"/>
        </w:rPr>
      </w:pPr>
      <w:r w:rsidRPr="006837D0">
        <w:rPr>
          <w:szCs w:val="24"/>
          <w:lang w:val="pt-BR"/>
        </w:rPr>
        <w:t>A joalheria, como prática milenar anterior ao design, sempre esteve ligada às organizações sociais, seja como forma de adorno, status ou poder. Com peças inicialmente feitas com materiais encontrados na natureza, a partir do domínio dos metais pelo homem, aquilo que passamos a conhecer atualmente por joias passou cada vez mais a ter estes materiais tidos como nobres, juntamente com as gemas, ganhando destaque na sua composição. Para S</w:t>
      </w:r>
      <w:r w:rsidR="000E66C1">
        <w:rPr>
          <w:szCs w:val="24"/>
          <w:lang w:val="pt-BR"/>
        </w:rPr>
        <w:t>antos</w:t>
      </w:r>
      <w:r w:rsidRPr="006837D0">
        <w:rPr>
          <w:szCs w:val="24"/>
          <w:lang w:val="pt-BR"/>
        </w:rPr>
        <w:t xml:space="preserve"> (2017</w:t>
      </w:r>
      <w:r w:rsidR="000A5CA8">
        <w:rPr>
          <w:szCs w:val="24"/>
          <w:lang w:val="pt-BR"/>
        </w:rPr>
        <w:t>, p. 10</w:t>
      </w:r>
      <w:r w:rsidRPr="006837D0">
        <w:rPr>
          <w:szCs w:val="24"/>
          <w:lang w:val="pt-BR"/>
        </w:rPr>
        <w:t>)</w:t>
      </w:r>
      <w:r w:rsidR="000A5CA8">
        <w:rPr>
          <w:szCs w:val="24"/>
          <w:lang w:val="pt-BR"/>
        </w:rPr>
        <w:t>,</w:t>
      </w:r>
      <w:r w:rsidRPr="006837D0">
        <w:rPr>
          <w:szCs w:val="24"/>
          <w:lang w:val="pt-BR"/>
        </w:rPr>
        <w:t xml:space="preserve"> “apesar de ter como principal função adornar, a joia traz outros valores. Ela conta </w:t>
      </w:r>
      <w:r>
        <w:rPr>
          <w:szCs w:val="24"/>
          <w:lang w:val="pt-BR"/>
        </w:rPr>
        <w:t>uma história, marca um momento</w:t>
      </w:r>
      <w:r w:rsidRPr="006837D0">
        <w:rPr>
          <w:szCs w:val="24"/>
          <w:lang w:val="pt-BR"/>
        </w:rPr>
        <w:t>”</w:t>
      </w:r>
      <w:r>
        <w:rPr>
          <w:szCs w:val="24"/>
          <w:lang w:val="pt-BR"/>
        </w:rPr>
        <w:t>.</w:t>
      </w:r>
    </w:p>
    <w:p w14:paraId="273A3EF9" w14:textId="133A102A" w:rsidR="006837D0" w:rsidRPr="006837D0" w:rsidRDefault="006837D0" w:rsidP="006837D0">
      <w:pPr>
        <w:spacing w:after="120"/>
        <w:ind w:firstLine="284"/>
        <w:rPr>
          <w:szCs w:val="24"/>
          <w:lang w:val="pt-BR"/>
        </w:rPr>
      </w:pPr>
      <w:r w:rsidRPr="006837D0">
        <w:rPr>
          <w:szCs w:val="24"/>
          <w:lang w:val="pt-BR"/>
        </w:rPr>
        <w:t xml:space="preserve">Partindo da colocação de </w:t>
      </w:r>
      <w:r w:rsidR="00712A75">
        <w:rPr>
          <w:szCs w:val="24"/>
          <w:lang w:val="pt-BR"/>
        </w:rPr>
        <w:t>Santos</w:t>
      </w:r>
      <w:r w:rsidRPr="006837D0">
        <w:rPr>
          <w:szCs w:val="24"/>
          <w:lang w:val="pt-BR"/>
        </w:rPr>
        <w:t xml:space="preserve"> (2017) da joia como artefato com capacidade de refletir o momento histórico em que está inserido, é fácil entender por que diante da conjuntura atual é tão importante trazer a questão da sustentabilidade também para o campo do design de joias. A mineração, além de ser o segundo maior vetor de desflorestamento no Brasil, é o único dentre os citados por </w:t>
      </w:r>
      <w:r w:rsidR="00712A75">
        <w:rPr>
          <w:szCs w:val="24"/>
          <w:lang w:val="pt-BR"/>
        </w:rPr>
        <w:t>Sampaio</w:t>
      </w:r>
      <w:r w:rsidRPr="006837D0">
        <w:rPr>
          <w:szCs w:val="24"/>
          <w:lang w:val="pt-BR"/>
        </w:rPr>
        <w:t xml:space="preserve"> </w:t>
      </w:r>
      <w:r>
        <w:rPr>
          <w:szCs w:val="24"/>
          <w:lang w:val="pt-BR"/>
        </w:rPr>
        <w:t>et</w:t>
      </w:r>
      <w:r w:rsidRPr="006837D0">
        <w:rPr>
          <w:szCs w:val="24"/>
          <w:lang w:val="pt-BR"/>
        </w:rPr>
        <w:t xml:space="preserve"> al</w:t>
      </w:r>
      <w:r>
        <w:rPr>
          <w:szCs w:val="24"/>
          <w:lang w:val="pt-BR"/>
        </w:rPr>
        <w:t>.</w:t>
      </w:r>
      <w:r w:rsidRPr="006837D0">
        <w:rPr>
          <w:szCs w:val="24"/>
          <w:lang w:val="pt-BR"/>
        </w:rPr>
        <w:t xml:space="preserve"> (2018) que está ligado tanto à destruição do habitat natural (apropriação do espaço), quanto à exploração dos recursos (matéria prima). Ao se estudar a cadeia produtiva de gemas e joias, é impossível ignorar os impactos da mineração, que atingem população e ecossistemas onde estiverem inseridos, gerando sozinha 38% dos resíduos, e consumindo 7% da energia produzida mundialmente. </w:t>
      </w:r>
    </w:p>
    <w:p w14:paraId="008E8D29" w14:textId="77777777" w:rsidR="006837D0" w:rsidRPr="006837D0" w:rsidRDefault="006837D0" w:rsidP="006837D0">
      <w:pPr>
        <w:spacing w:after="120"/>
        <w:ind w:firstLine="284"/>
        <w:rPr>
          <w:szCs w:val="24"/>
          <w:lang w:val="pt-BR"/>
        </w:rPr>
      </w:pPr>
      <w:r w:rsidRPr="006837D0">
        <w:rPr>
          <w:szCs w:val="24"/>
          <w:lang w:val="pt-BR"/>
        </w:rPr>
        <w:t>Este artigo tem por objetivo apresentar formas de descontinuidade no design de joias, visando contribuir com a busca pela diminuição dos impactos ambientais gerados por esta cadeia, além de difundir o que vem sendo realizado em diferentes contextos do país. Pensar formas de descontinuidade dentro da joalheria passa por pensar novas formas de reaproveitar os recursos já retirados do meio ambiente, bem como novas alternativas em materiais a serem utilizados, sem ignorar a questão do que realmente caracteriza a jóia nos dias de hoje, que por meio do design consegue superar os limites do material utilizado através dos valores estéticos e simbólicos empregados nas peças. Cintra e Cidade (2020) reforçam o exposto ao dizer que:</w:t>
      </w:r>
    </w:p>
    <w:p w14:paraId="49ADAE70" w14:textId="25CBAE37" w:rsidR="00805184" w:rsidRPr="009C7EC2" w:rsidRDefault="006837D0" w:rsidP="009C7EC2">
      <w:pPr>
        <w:spacing w:after="120"/>
        <w:ind w:left="2268" w:firstLine="284"/>
        <w:rPr>
          <w:noProof/>
          <w:sz w:val="20"/>
          <w:lang w:val="pt-BR" w:eastAsia="en-US"/>
        </w:rPr>
      </w:pPr>
      <w:r w:rsidRPr="009C7EC2">
        <w:rPr>
          <w:sz w:val="20"/>
          <w:lang w:val="pt-BR"/>
        </w:rPr>
        <w:t xml:space="preserve">Buscando o novo e a diferenciação, a joalheria contemporânea alia técnicas convencionais com novos processos, muitas vezes não só exclusivos a joalheria. Produz peças que conversam e representam novas tendências da atual sociedade, servindo como </w:t>
      </w:r>
      <w:r w:rsidR="00712A75">
        <w:rPr>
          <w:sz w:val="20"/>
          <w:lang w:val="pt-BR"/>
        </w:rPr>
        <w:t>b</w:t>
      </w:r>
      <w:r w:rsidRPr="009C7EC2">
        <w:rPr>
          <w:sz w:val="20"/>
          <w:lang w:val="pt-BR"/>
        </w:rPr>
        <w:t>ase para novas discussões e reflexões diante dos novos e múltiplos padrões do mundo contemporâneo. (CINTRA; CIDADE, 2020)</w:t>
      </w:r>
      <w:r w:rsidR="00805184" w:rsidRPr="009C7EC2">
        <w:rPr>
          <w:noProof/>
          <w:sz w:val="20"/>
          <w:lang w:val="pt-BR" w:eastAsia="en-US"/>
        </w:rPr>
        <w:t>.</w:t>
      </w:r>
    </w:p>
    <w:p w14:paraId="2709DB60" w14:textId="77777777" w:rsidR="00805184" w:rsidRPr="0049479C" w:rsidRDefault="00805184" w:rsidP="00805184">
      <w:pPr>
        <w:spacing w:after="120"/>
        <w:rPr>
          <w:color w:val="A6A6A6"/>
          <w:szCs w:val="24"/>
          <w:lang w:val="pt-BR"/>
        </w:rPr>
      </w:pPr>
    </w:p>
    <w:p w14:paraId="4031BFCD" w14:textId="50F574D2" w:rsidR="00805184" w:rsidRPr="0049479C" w:rsidRDefault="009C7EC2" w:rsidP="009C7EC2">
      <w:pPr>
        <w:pStyle w:val="PargrafodaLista"/>
        <w:numPr>
          <w:ilvl w:val="0"/>
          <w:numId w:val="5"/>
        </w:numPr>
        <w:spacing w:after="120"/>
        <w:rPr>
          <w:b/>
          <w:szCs w:val="24"/>
          <w:lang w:val="pt-BR"/>
        </w:rPr>
      </w:pPr>
      <w:r>
        <w:rPr>
          <w:b/>
          <w:szCs w:val="24"/>
          <w:lang w:val="pt-BR"/>
        </w:rPr>
        <w:t>Design e Sustentabilidade</w:t>
      </w:r>
    </w:p>
    <w:p w14:paraId="4F97F1B7" w14:textId="77777777" w:rsidR="00805184" w:rsidRPr="0049479C" w:rsidRDefault="00805184" w:rsidP="00805184">
      <w:pPr>
        <w:spacing w:after="120"/>
        <w:rPr>
          <w:color w:val="A6A6A6"/>
          <w:szCs w:val="24"/>
          <w:lang w:val="pt-BR"/>
        </w:rPr>
      </w:pPr>
    </w:p>
    <w:p w14:paraId="422A2E42" w14:textId="6D2313B3" w:rsidR="009C7EC2" w:rsidRPr="009C7EC2" w:rsidRDefault="009C7EC2" w:rsidP="009C7EC2">
      <w:pPr>
        <w:spacing w:after="120"/>
        <w:ind w:firstLine="284"/>
        <w:rPr>
          <w:szCs w:val="24"/>
          <w:lang w:val="pt-BR"/>
        </w:rPr>
      </w:pPr>
      <w:r w:rsidRPr="009C7EC2">
        <w:rPr>
          <w:szCs w:val="24"/>
          <w:lang w:val="pt-BR"/>
        </w:rPr>
        <w:t>Para falar dos termos design e sustentabilidade se faz necessário entender alguns conceitos preliminares essenciais à esta prática de forma conjunta, com o objetivo de que se reforce o proposto por Thackara (2008</w:t>
      </w:r>
      <w:r w:rsidR="00A607C1">
        <w:rPr>
          <w:szCs w:val="24"/>
          <w:lang w:val="pt-BR"/>
        </w:rPr>
        <w:t>, p. 26</w:t>
      </w:r>
      <w:r w:rsidRPr="009C7EC2">
        <w:rPr>
          <w:szCs w:val="24"/>
          <w:lang w:val="pt-BR"/>
        </w:rPr>
        <w:t xml:space="preserve">) aos designers: </w:t>
      </w:r>
      <w:r>
        <w:rPr>
          <w:szCs w:val="24"/>
          <w:lang w:val="pt-BR"/>
        </w:rPr>
        <w:t>“</w:t>
      </w:r>
      <w:r w:rsidRPr="009C7EC2">
        <w:rPr>
          <w:szCs w:val="24"/>
          <w:lang w:val="pt-BR"/>
        </w:rPr>
        <w:t>profissionais do design devem evoluir de criadores de objetos, ou construções, para agentes capacitadores da mudança envol</w:t>
      </w:r>
      <w:r>
        <w:rPr>
          <w:szCs w:val="24"/>
          <w:lang w:val="pt-BR"/>
        </w:rPr>
        <w:t>vendo grandes grupos de pessoas”.</w:t>
      </w:r>
    </w:p>
    <w:p w14:paraId="673D7D1B" w14:textId="77777777" w:rsidR="009C7EC2" w:rsidRPr="009C7EC2" w:rsidRDefault="009C7EC2" w:rsidP="009C7EC2">
      <w:pPr>
        <w:spacing w:after="120"/>
        <w:ind w:firstLine="284"/>
        <w:rPr>
          <w:szCs w:val="24"/>
          <w:lang w:val="pt-BR"/>
        </w:rPr>
      </w:pPr>
      <w:r w:rsidRPr="009C7EC2">
        <w:rPr>
          <w:szCs w:val="24"/>
          <w:lang w:val="pt-BR"/>
        </w:rPr>
        <w:t xml:space="preserve">Pensar a prática do design para a sustentabilidade perpassa a compreensão do design enquanto sistema, complexo e multifacetado e a consciência da importância igualitária das três dimensões da sustentabilidade: ambiental, social e econômica. </w:t>
      </w:r>
    </w:p>
    <w:p w14:paraId="3CF55A90" w14:textId="77777777" w:rsidR="009C7EC2" w:rsidRPr="009C7EC2" w:rsidRDefault="009C7EC2" w:rsidP="009C7EC2">
      <w:pPr>
        <w:spacing w:after="120"/>
        <w:ind w:firstLine="284"/>
        <w:rPr>
          <w:b/>
          <w:szCs w:val="24"/>
          <w:lang w:val="pt-BR"/>
        </w:rPr>
      </w:pPr>
      <w:r w:rsidRPr="009C7EC2">
        <w:rPr>
          <w:b/>
          <w:szCs w:val="24"/>
          <w:lang w:val="pt-BR"/>
        </w:rPr>
        <w:lastRenderedPageBreak/>
        <w:t>2.1</w:t>
      </w:r>
      <w:r w:rsidRPr="009C7EC2">
        <w:rPr>
          <w:b/>
          <w:szCs w:val="24"/>
          <w:lang w:val="pt-BR"/>
        </w:rPr>
        <w:tab/>
        <w:t>Descontinuidade Sistêmica</w:t>
      </w:r>
    </w:p>
    <w:p w14:paraId="2BA0136A" w14:textId="77777777" w:rsidR="009C7EC2" w:rsidRPr="009C7EC2" w:rsidRDefault="009C7EC2" w:rsidP="009C7EC2">
      <w:pPr>
        <w:spacing w:after="120"/>
        <w:ind w:firstLine="284"/>
        <w:rPr>
          <w:szCs w:val="24"/>
          <w:lang w:val="pt-BR"/>
        </w:rPr>
      </w:pPr>
      <w:r w:rsidRPr="009C7EC2">
        <w:rPr>
          <w:szCs w:val="24"/>
          <w:lang w:val="pt-BR"/>
        </w:rPr>
        <w:t xml:space="preserve">Para Manzini (2008), o processo de transição que leva à sustentabilidade pressupõe uma descontinuidade nos níveis de produção e consumo material que leve a sociedade à redução desses níveis e promoção do desenvolvimento de uma qualidade do ambiente global. Para tal, a sociedade deve passar por um processo de aprendizagem gradual, individual e coletivo. Este processo demanda tempo, energia e disposição. </w:t>
      </w:r>
    </w:p>
    <w:p w14:paraId="37159FD3" w14:textId="1CA4CB9A" w:rsidR="009C7EC2" w:rsidRPr="009C7EC2" w:rsidRDefault="009C7EC2" w:rsidP="009C7EC2">
      <w:pPr>
        <w:spacing w:after="120"/>
        <w:ind w:firstLine="284"/>
        <w:rPr>
          <w:szCs w:val="24"/>
          <w:lang w:val="pt-BR"/>
        </w:rPr>
      </w:pPr>
      <w:r>
        <w:rPr>
          <w:szCs w:val="24"/>
          <w:lang w:val="pt-BR"/>
        </w:rPr>
        <w:t>“</w:t>
      </w:r>
      <w:r w:rsidRPr="009C7EC2">
        <w:rPr>
          <w:szCs w:val="24"/>
          <w:lang w:val="pt-BR"/>
        </w:rPr>
        <w:t>Uma solução sustentável é o processo por meio do qual produtos, serviços e conhecimento são articulados em um sistema que objetiva facilitar ao usuário a obtenção de um resultado coerente com os critérios da sustentabilidade</w:t>
      </w:r>
      <w:r>
        <w:rPr>
          <w:szCs w:val="24"/>
          <w:lang w:val="pt-BR"/>
        </w:rPr>
        <w:t>”</w:t>
      </w:r>
      <w:r w:rsidRPr="009C7EC2">
        <w:rPr>
          <w:szCs w:val="24"/>
          <w:lang w:val="pt-BR"/>
        </w:rPr>
        <w:t xml:space="preserve"> (MANZINI, 2008</w:t>
      </w:r>
      <w:r w:rsidR="00A607C1">
        <w:rPr>
          <w:szCs w:val="24"/>
          <w:lang w:val="pt-BR"/>
        </w:rPr>
        <w:t>, p.30</w:t>
      </w:r>
      <w:r w:rsidRPr="009C7EC2">
        <w:rPr>
          <w:szCs w:val="24"/>
          <w:lang w:val="pt-BR"/>
        </w:rPr>
        <w:t>)</w:t>
      </w:r>
      <w:r>
        <w:rPr>
          <w:szCs w:val="24"/>
          <w:lang w:val="pt-BR"/>
        </w:rPr>
        <w:t>.</w:t>
      </w:r>
    </w:p>
    <w:p w14:paraId="53A14515" w14:textId="77777777" w:rsidR="009C7EC2" w:rsidRPr="009C7EC2" w:rsidRDefault="009C7EC2" w:rsidP="009C7EC2">
      <w:pPr>
        <w:spacing w:after="120"/>
        <w:ind w:firstLine="284"/>
        <w:rPr>
          <w:szCs w:val="24"/>
          <w:lang w:val="pt-BR"/>
        </w:rPr>
      </w:pPr>
      <w:r w:rsidRPr="009C7EC2">
        <w:rPr>
          <w:szCs w:val="24"/>
          <w:lang w:val="pt-BR"/>
        </w:rPr>
        <w:t>Reunir soluções com abordagens estratégicas através do design para sustentabilidade constitui a base desta pesquisa. Tendo em vista o contexto da cadeia produtiva de gemas e joias, é urgente a inserção de soluções mais sustentáveis em várias etapas do processo produtivo, desde soluções no âmbito natural/extração, passando pelo contexto social e o melhor fortalecimento e integração entre os atores que fazem parte da cadeia, fomentando redes e organizações mais descentralizadas, incrementando participação mais ativa da sociedade diretamente atingida pelos processos de extração, reduzindo os impactos ambientais, repensando e reduzindo a produção dos resíduos gerados e ainda repensando e introduzindo a utilização de outros materiais de menor impacto. É importante dar visibilidade a soluções promissoras, diante do contexto local, visando transformações inovadoras adequadas a seus respectivos contextos sociais e territoriais.</w:t>
      </w:r>
    </w:p>
    <w:p w14:paraId="048F3AD0" w14:textId="45AE9A76" w:rsidR="009C7EC2" w:rsidRPr="009C7EC2" w:rsidRDefault="009C7EC2" w:rsidP="009C7EC2">
      <w:pPr>
        <w:spacing w:after="120"/>
        <w:ind w:firstLine="284"/>
        <w:rPr>
          <w:szCs w:val="24"/>
          <w:lang w:val="pt-BR"/>
        </w:rPr>
      </w:pPr>
      <w:r w:rsidRPr="009C7EC2">
        <w:rPr>
          <w:szCs w:val="24"/>
          <w:lang w:val="pt-BR"/>
        </w:rPr>
        <w:t xml:space="preserve">Para Thackara (2008) desenvolver mecanismos capacitadores, simultaneamente funcionais e adequados às situações específicas é o desafio do designer. Para tal, devem ser considerados três princípios: comprometimento criativo das pessoas envolvidas; possibilidade de comparação entre o antigo e o novo; ajuda aos indivíduos locais no controle de seus próprios recursos. </w:t>
      </w:r>
      <w:r>
        <w:rPr>
          <w:szCs w:val="24"/>
          <w:lang w:val="pt-BR"/>
        </w:rPr>
        <w:t>“</w:t>
      </w:r>
      <w:r w:rsidRPr="009C7EC2">
        <w:rPr>
          <w:szCs w:val="24"/>
          <w:lang w:val="pt-BR"/>
        </w:rPr>
        <w:t>A nossa tarefa como designers é substituir recursos físicos pela informação. Informar-se é saber onde um recurso que você precisa utilizar pode ser encontrado. Se você puder localizar um objeto e acessá-l</w:t>
      </w:r>
      <w:r>
        <w:rPr>
          <w:szCs w:val="24"/>
          <w:lang w:val="pt-BR"/>
        </w:rPr>
        <w:t>o facilmente, não precisa tê-lo”</w:t>
      </w:r>
      <w:r w:rsidRPr="009C7EC2">
        <w:rPr>
          <w:szCs w:val="24"/>
          <w:lang w:val="pt-BR"/>
        </w:rPr>
        <w:t xml:space="preserve"> (THACKARA, 2008)</w:t>
      </w:r>
      <w:r>
        <w:rPr>
          <w:szCs w:val="24"/>
          <w:lang w:val="pt-BR"/>
        </w:rPr>
        <w:t>.</w:t>
      </w:r>
    </w:p>
    <w:p w14:paraId="05CFEF18" w14:textId="77777777" w:rsidR="009C7EC2" w:rsidRPr="009C7EC2" w:rsidRDefault="009C7EC2" w:rsidP="009C7EC2">
      <w:pPr>
        <w:spacing w:after="120"/>
        <w:ind w:firstLine="284"/>
        <w:rPr>
          <w:b/>
          <w:szCs w:val="24"/>
          <w:lang w:val="pt-BR"/>
        </w:rPr>
      </w:pPr>
      <w:r w:rsidRPr="009C7EC2">
        <w:rPr>
          <w:b/>
          <w:szCs w:val="24"/>
          <w:lang w:val="pt-BR"/>
        </w:rPr>
        <w:t>2.2</w:t>
      </w:r>
      <w:r w:rsidRPr="009C7EC2">
        <w:rPr>
          <w:b/>
          <w:szCs w:val="24"/>
          <w:lang w:val="pt-BR"/>
        </w:rPr>
        <w:tab/>
        <w:t xml:space="preserve"> Estratégias de Ecodesign</w:t>
      </w:r>
    </w:p>
    <w:p w14:paraId="151421AC" w14:textId="77777777" w:rsidR="009C7EC2" w:rsidRPr="009C7EC2" w:rsidRDefault="009C7EC2" w:rsidP="009C7EC2">
      <w:pPr>
        <w:spacing w:after="120"/>
        <w:ind w:firstLine="284"/>
        <w:rPr>
          <w:szCs w:val="24"/>
          <w:lang w:val="pt-BR"/>
        </w:rPr>
      </w:pPr>
      <w:r w:rsidRPr="009C7EC2">
        <w:rPr>
          <w:szCs w:val="24"/>
          <w:lang w:val="pt-BR"/>
        </w:rPr>
        <w:t xml:space="preserve">Platchek (2012) resume que o ecodesign consiste na consideração de todo o ciclo de vida, com seus respectivos impactos (energéticos, materiais e espaciais), ao desenvolver um determinado produto, sistema, infraestrutura ou serviço. </w:t>
      </w:r>
    </w:p>
    <w:p w14:paraId="405C6E92" w14:textId="77777777" w:rsidR="009C7EC2" w:rsidRPr="009C7EC2" w:rsidRDefault="009C7EC2" w:rsidP="009C7EC2">
      <w:pPr>
        <w:spacing w:after="120"/>
        <w:ind w:firstLine="284"/>
        <w:rPr>
          <w:szCs w:val="24"/>
          <w:lang w:val="pt-BR"/>
        </w:rPr>
      </w:pPr>
      <w:r w:rsidRPr="009C7EC2">
        <w:rPr>
          <w:szCs w:val="24"/>
          <w:lang w:val="pt-BR"/>
        </w:rPr>
        <w:t>Para nortear projetos voltados a ecoeficiência, Manzini e Vezzoli (2016) sugerem algumas linhas-guia para integração dos requisitos ambientais: minimização de recursos; adoção de recursos e processos de baixo impacto ambiental; otimização da vida dos produtos; extensão da vida dos materiais; facilidade de desmontagem.</w:t>
      </w:r>
    </w:p>
    <w:p w14:paraId="1504C531" w14:textId="30496C9F" w:rsidR="009B2EF9" w:rsidRDefault="009C7EC2" w:rsidP="009C7EC2">
      <w:pPr>
        <w:spacing w:after="120"/>
        <w:ind w:firstLine="284"/>
        <w:rPr>
          <w:szCs w:val="24"/>
          <w:lang w:val="pt-BR"/>
        </w:rPr>
      </w:pPr>
      <w:r w:rsidRPr="009C7EC2">
        <w:rPr>
          <w:szCs w:val="24"/>
          <w:lang w:val="pt-BR"/>
        </w:rPr>
        <w:t>Tanto a definição do ecodesign quanto a delimitação das linhas-guia que o orientam são de fundamental importância na compreensão da metodologia, bem como dos resultados que compõem este artigo</w:t>
      </w:r>
      <w:r>
        <w:rPr>
          <w:szCs w:val="24"/>
          <w:lang w:val="pt-BR"/>
        </w:rPr>
        <w:t>.</w:t>
      </w:r>
    </w:p>
    <w:p w14:paraId="041EF3AD" w14:textId="77777777" w:rsidR="00255DD8" w:rsidRPr="0049479C" w:rsidRDefault="00255DD8" w:rsidP="009C7EC2">
      <w:pPr>
        <w:spacing w:after="120"/>
        <w:ind w:firstLine="284"/>
        <w:rPr>
          <w:szCs w:val="24"/>
          <w:lang w:val="pt-BR"/>
        </w:rPr>
      </w:pPr>
    </w:p>
    <w:p w14:paraId="730D92D5" w14:textId="77777777" w:rsidR="00B63A35" w:rsidRPr="0049479C" w:rsidRDefault="00B63A35" w:rsidP="009C7EC2">
      <w:pPr>
        <w:pStyle w:val="PargrafodaLista"/>
        <w:numPr>
          <w:ilvl w:val="0"/>
          <w:numId w:val="5"/>
        </w:numPr>
        <w:spacing w:after="120"/>
        <w:rPr>
          <w:b/>
          <w:szCs w:val="24"/>
          <w:lang w:val="pt-BR"/>
        </w:rPr>
      </w:pPr>
      <w:r w:rsidRPr="0049479C">
        <w:rPr>
          <w:b/>
          <w:szCs w:val="24"/>
          <w:lang w:val="pt-BR"/>
        </w:rPr>
        <w:t>Procedimentos Metodológicos</w:t>
      </w:r>
    </w:p>
    <w:p w14:paraId="6AC6F1C2" w14:textId="77777777" w:rsidR="00B63A35" w:rsidRPr="0049479C" w:rsidRDefault="00B63A35" w:rsidP="00B63A35">
      <w:pPr>
        <w:spacing w:after="120"/>
        <w:rPr>
          <w:color w:val="A6A6A6"/>
          <w:szCs w:val="24"/>
          <w:lang w:val="pt-BR"/>
        </w:rPr>
      </w:pPr>
    </w:p>
    <w:p w14:paraId="401B91A0" w14:textId="77777777" w:rsidR="00255DD8" w:rsidRPr="00255DD8" w:rsidRDefault="00255DD8" w:rsidP="00255DD8">
      <w:pPr>
        <w:spacing w:after="120"/>
        <w:ind w:firstLine="284"/>
        <w:rPr>
          <w:szCs w:val="24"/>
          <w:lang w:val="pt-BR"/>
        </w:rPr>
      </w:pPr>
      <w:r w:rsidRPr="00255DD8">
        <w:rPr>
          <w:szCs w:val="24"/>
          <w:lang w:val="pt-BR"/>
        </w:rPr>
        <w:lastRenderedPageBreak/>
        <w:t>Para o desenvolvimento deste artigo foi realizada uma revisão bibliográfica e um levantamento sistêmico nas publicações da revista MIX SUSTENTÁVEL, bem como dos anais do Encontro em Sustentabilidade em Projetos (ENSUS) dos anos de 2018 a 2022 além dos anais do último Simpósio Internacional de Ourivesaria, Joalheria e Design (II SIDGEM) visando buscar relatos e pesquisas acerca de descontinuidades no design de joias, através das palavras-chave: design de joias, joalheria, sustentabilidade, joia e gemas.</w:t>
      </w:r>
    </w:p>
    <w:p w14:paraId="7CAE7CC4" w14:textId="45700E0C" w:rsidR="00255DD8" w:rsidRDefault="00255DD8" w:rsidP="00255DD8">
      <w:pPr>
        <w:spacing w:after="120"/>
        <w:ind w:firstLine="284"/>
        <w:rPr>
          <w:szCs w:val="24"/>
          <w:lang w:val="pt-BR"/>
        </w:rPr>
      </w:pPr>
      <w:r w:rsidRPr="00255DD8">
        <w:rPr>
          <w:szCs w:val="24"/>
          <w:lang w:val="pt-BR"/>
        </w:rPr>
        <w:t>No primeiro momento, foram encontrados oito artigos na revista, dezoito artigos nos anais do ENSUS e oito artigos nos anais do II SIDGEM de interesse relevante a partir das palavras chaves supracitadas. A partir da busca inicial, foi realizada a leitura dos respectivos resumos para uma nova seleção daqueles que poderiam contribuir com esta pesquisa. Após essa nova triagem, foram selecionados três artigos da revista MIX SUSTENTÁVEL, seis artigos do ENSUS e cinco artigos do II SIDGEM</w:t>
      </w:r>
      <w:r w:rsidR="00A46361">
        <w:rPr>
          <w:szCs w:val="24"/>
          <w:lang w:val="pt-BR"/>
        </w:rPr>
        <w:t>, conforme sintetizado pela tabela 1, a seguir</w:t>
      </w:r>
      <w:r w:rsidRPr="00255DD8">
        <w:rPr>
          <w:szCs w:val="24"/>
          <w:lang w:val="pt-BR"/>
        </w:rPr>
        <w:t>. Estes catorze artigos foram lidos por completo e através deles pôde-se encontrar outras novas referências.</w:t>
      </w:r>
    </w:p>
    <w:p w14:paraId="21609911" w14:textId="56579586" w:rsidR="006E0B05" w:rsidRPr="006E0B05" w:rsidRDefault="006E0B05" w:rsidP="006E0B05">
      <w:pPr>
        <w:pStyle w:val="Legenda"/>
        <w:keepNext/>
        <w:jc w:val="center"/>
        <w:rPr>
          <w:b w:val="0"/>
          <w:bCs w:val="0"/>
          <w:color w:val="auto"/>
          <w:sz w:val="20"/>
          <w:szCs w:val="20"/>
        </w:rPr>
      </w:pPr>
      <w:r w:rsidRPr="006E0B05">
        <w:rPr>
          <w:b w:val="0"/>
          <w:bCs w:val="0"/>
          <w:color w:val="auto"/>
          <w:sz w:val="20"/>
          <w:szCs w:val="20"/>
        </w:rPr>
        <w:t xml:space="preserve">Tabela </w:t>
      </w:r>
      <w:r w:rsidRPr="006E0B05">
        <w:rPr>
          <w:b w:val="0"/>
          <w:bCs w:val="0"/>
          <w:color w:val="auto"/>
          <w:sz w:val="20"/>
          <w:szCs w:val="20"/>
        </w:rPr>
        <w:fldChar w:fldCharType="begin"/>
      </w:r>
      <w:r w:rsidRPr="006E0B05">
        <w:rPr>
          <w:b w:val="0"/>
          <w:bCs w:val="0"/>
          <w:color w:val="auto"/>
          <w:sz w:val="20"/>
          <w:szCs w:val="20"/>
        </w:rPr>
        <w:instrText xml:space="preserve"> SEQ Tabela \* ARABIC </w:instrText>
      </w:r>
      <w:r w:rsidRPr="006E0B05">
        <w:rPr>
          <w:b w:val="0"/>
          <w:bCs w:val="0"/>
          <w:color w:val="auto"/>
          <w:sz w:val="20"/>
          <w:szCs w:val="20"/>
        </w:rPr>
        <w:fldChar w:fldCharType="separate"/>
      </w:r>
      <w:r w:rsidR="00573D30">
        <w:rPr>
          <w:b w:val="0"/>
          <w:bCs w:val="0"/>
          <w:noProof/>
          <w:color w:val="auto"/>
          <w:sz w:val="20"/>
          <w:szCs w:val="20"/>
        </w:rPr>
        <w:t>1</w:t>
      </w:r>
      <w:r w:rsidRPr="006E0B05">
        <w:rPr>
          <w:b w:val="0"/>
          <w:bCs w:val="0"/>
          <w:color w:val="auto"/>
          <w:sz w:val="20"/>
          <w:szCs w:val="20"/>
        </w:rPr>
        <w:fldChar w:fldCharType="end"/>
      </w:r>
      <w:r w:rsidRPr="006E0B05">
        <w:rPr>
          <w:b w:val="0"/>
          <w:bCs w:val="0"/>
          <w:color w:val="auto"/>
          <w:sz w:val="20"/>
          <w:szCs w:val="20"/>
        </w:rPr>
        <w:t>: Levantamento Sistêmico</w:t>
      </w:r>
    </w:p>
    <w:tbl>
      <w:tblPr>
        <w:tblStyle w:val="Tabelacomgrade"/>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3208"/>
        <w:gridCol w:w="2770"/>
        <w:gridCol w:w="2986"/>
      </w:tblGrid>
      <w:tr w:rsidR="00AB209C" w:rsidRPr="00AB209C" w14:paraId="542EE1C3" w14:textId="77777777" w:rsidTr="006E0B05">
        <w:tc>
          <w:tcPr>
            <w:tcW w:w="3261" w:type="dxa"/>
            <w:tcBorders>
              <w:top w:val="single" w:sz="18" w:space="0" w:color="auto"/>
              <w:bottom w:val="single" w:sz="18" w:space="0" w:color="auto"/>
            </w:tcBorders>
            <w:vAlign w:val="center"/>
          </w:tcPr>
          <w:p w14:paraId="79D3B203" w14:textId="37CCFE8D" w:rsidR="00AB209C" w:rsidRPr="006E0B05" w:rsidRDefault="00AB209C" w:rsidP="00AB209C">
            <w:pPr>
              <w:spacing w:after="120"/>
              <w:jc w:val="center"/>
              <w:rPr>
                <w:rFonts w:ascii="Arial" w:hAnsi="Arial" w:cs="Arial"/>
                <w:b/>
                <w:bCs/>
                <w:sz w:val="20"/>
                <w:lang w:val="pt-BR"/>
              </w:rPr>
            </w:pPr>
            <w:r w:rsidRPr="006E0B05">
              <w:rPr>
                <w:rFonts w:ascii="Arial" w:hAnsi="Arial" w:cs="Arial"/>
                <w:b/>
                <w:bCs/>
                <w:sz w:val="20"/>
                <w:lang w:val="pt-BR"/>
              </w:rPr>
              <w:t>Fase de busca: palavras-chave</w:t>
            </w:r>
          </w:p>
        </w:tc>
        <w:tc>
          <w:tcPr>
            <w:tcW w:w="2808" w:type="dxa"/>
            <w:tcBorders>
              <w:top w:val="single" w:sz="18" w:space="0" w:color="auto"/>
              <w:bottom w:val="single" w:sz="18" w:space="0" w:color="auto"/>
            </w:tcBorders>
            <w:vAlign w:val="center"/>
          </w:tcPr>
          <w:p w14:paraId="2CE4610C" w14:textId="55F9DD02" w:rsidR="00AB209C" w:rsidRPr="006E0B05" w:rsidRDefault="00AB209C" w:rsidP="00AB209C">
            <w:pPr>
              <w:spacing w:after="120"/>
              <w:jc w:val="center"/>
              <w:rPr>
                <w:rFonts w:ascii="Arial" w:hAnsi="Arial" w:cs="Arial"/>
                <w:b/>
                <w:bCs/>
                <w:sz w:val="20"/>
                <w:lang w:val="pt-BR"/>
              </w:rPr>
            </w:pPr>
            <w:r w:rsidRPr="006E0B05">
              <w:rPr>
                <w:rFonts w:ascii="Arial" w:hAnsi="Arial" w:cs="Arial"/>
                <w:b/>
                <w:bCs/>
                <w:sz w:val="20"/>
                <w:lang w:val="pt-BR"/>
              </w:rPr>
              <w:t>Fonte</w:t>
            </w:r>
          </w:p>
        </w:tc>
        <w:tc>
          <w:tcPr>
            <w:tcW w:w="3035" w:type="dxa"/>
            <w:tcBorders>
              <w:top w:val="single" w:sz="18" w:space="0" w:color="auto"/>
              <w:bottom w:val="single" w:sz="18" w:space="0" w:color="auto"/>
            </w:tcBorders>
            <w:vAlign w:val="center"/>
          </w:tcPr>
          <w:p w14:paraId="506BD749" w14:textId="58F0851E" w:rsidR="00AB209C" w:rsidRPr="006E0B05" w:rsidRDefault="00AB209C" w:rsidP="00AB209C">
            <w:pPr>
              <w:spacing w:after="120"/>
              <w:jc w:val="center"/>
              <w:rPr>
                <w:rFonts w:ascii="Arial" w:hAnsi="Arial" w:cs="Arial"/>
                <w:b/>
                <w:bCs/>
                <w:sz w:val="20"/>
                <w:lang w:val="pt-BR"/>
              </w:rPr>
            </w:pPr>
            <w:r w:rsidRPr="006E0B05">
              <w:rPr>
                <w:rFonts w:ascii="Arial" w:hAnsi="Arial" w:cs="Arial"/>
                <w:b/>
                <w:bCs/>
                <w:sz w:val="20"/>
                <w:lang w:val="pt-BR"/>
              </w:rPr>
              <w:t>Triagem: resumos</w:t>
            </w:r>
          </w:p>
        </w:tc>
      </w:tr>
      <w:tr w:rsidR="00AB209C" w:rsidRPr="00AB209C" w14:paraId="6A914FAA" w14:textId="77777777" w:rsidTr="006E0B05">
        <w:tc>
          <w:tcPr>
            <w:tcW w:w="3261" w:type="dxa"/>
            <w:tcBorders>
              <w:top w:val="single" w:sz="18" w:space="0" w:color="auto"/>
            </w:tcBorders>
          </w:tcPr>
          <w:p w14:paraId="2597D24E" w14:textId="65F794C4" w:rsidR="00AB209C" w:rsidRPr="00AB209C" w:rsidRDefault="006E0B05" w:rsidP="00AB209C">
            <w:pPr>
              <w:spacing w:after="120"/>
              <w:jc w:val="center"/>
              <w:rPr>
                <w:rFonts w:ascii="Arial" w:hAnsi="Arial" w:cs="Arial"/>
                <w:sz w:val="20"/>
                <w:lang w:val="pt-BR"/>
              </w:rPr>
            </w:pPr>
            <w:r>
              <w:rPr>
                <w:rFonts w:ascii="Arial" w:hAnsi="Arial" w:cs="Arial"/>
                <w:sz w:val="20"/>
                <w:lang w:val="pt-BR"/>
              </w:rPr>
              <w:t>8</w:t>
            </w:r>
          </w:p>
        </w:tc>
        <w:tc>
          <w:tcPr>
            <w:tcW w:w="2808" w:type="dxa"/>
            <w:tcBorders>
              <w:top w:val="single" w:sz="18" w:space="0" w:color="auto"/>
            </w:tcBorders>
          </w:tcPr>
          <w:p w14:paraId="5ACC8CAA" w14:textId="6E8BC9B1" w:rsidR="00AB209C" w:rsidRPr="00AB209C" w:rsidRDefault="00AB209C" w:rsidP="00AB209C">
            <w:pPr>
              <w:spacing w:after="120"/>
              <w:jc w:val="center"/>
              <w:rPr>
                <w:rFonts w:ascii="Arial" w:hAnsi="Arial" w:cs="Arial"/>
                <w:sz w:val="20"/>
                <w:lang w:val="pt-BR"/>
              </w:rPr>
            </w:pPr>
            <w:r w:rsidRPr="00AB209C">
              <w:rPr>
                <w:rFonts w:ascii="Arial" w:hAnsi="Arial" w:cs="Arial"/>
                <w:sz w:val="20"/>
                <w:lang w:val="pt-BR"/>
              </w:rPr>
              <w:t>MIX Sustentável</w:t>
            </w:r>
          </w:p>
        </w:tc>
        <w:tc>
          <w:tcPr>
            <w:tcW w:w="3035" w:type="dxa"/>
            <w:tcBorders>
              <w:top w:val="single" w:sz="18" w:space="0" w:color="auto"/>
            </w:tcBorders>
          </w:tcPr>
          <w:p w14:paraId="743D3118" w14:textId="6612FF53" w:rsidR="00AB209C" w:rsidRPr="00AB209C" w:rsidRDefault="006E0B05" w:rsidP="00AB209C">
            <w:pPr>
              <w:spacing w:after="120"/>
              <w:jc w:val="center"/>
              <w:rPr>
                <w:rFonts w:ascii="Arial" w:hAnsi="Arial" w:cs="Arial"/>
                <w:sz w:val="20"/>
                <w:lang w:val="pt-BR"/>
              </w:rPr>
            </w:pPr>
            <w:r>
              <w:rPr>
                <w:rFonts w:ascii="Arial" w:hAnsi="Arial" w:cs="Arial"/>
                <w:sz w:val="20"/>
                <w:lang w:val="pt-BR"/>
              </w:rPr>
              <w:t>3</w:t>
            </w:r>
          </w:p>
        </w:tc>
      </w:tr>
      <w:tr w:rsidR="00AB209C" w:rsidRPr="00AB209C" w14:paraId="0DD6B004" w14:textId="77777777" w:rsidTr="006E0B05">
        <w:tc>
          <w:tcPr>
            <w:tcW w:w="3261" w:type="dxa"/>
          </w:tcPr>
          <w:p w14:paraId="63AA26F7" w14:textId="2525873E" w:rsidR="00AB209C" w:rsidRPr="00AB209C" w:rsidRDefault="006E0B05" w:rsidP="00AB209C">
            <w:pPr>
              <w:spacing w:after="120"/>
              <w:jc w:val="center"/>
              <w:rPr>
                <w:rFonts w:ascii="Arial" w:hAnsi="Arial" w:cs="Arial"/>
                <w:sz w:val="20"/>
                <w:lang w:val="pt-BR"/>
              </w:rPr>
            </w:pPr>
            <w:r>
              <w:rPr>
                <w:rFonts w:ascii="Arial" w:hAnsi="Arial" w:cs="Arial"/>
                <w:sz w:val="20"/>
                <w:lang w:val="pt-BR"/>
              </w:rPr>
              <w:t>18</w:t>
            </w:r>
          </w:p>
        </w:tc>
        <w:tc>
          <w:tcPr>
            <w:tcW w:w="2808" w:type="dxa"/>
          </w:tcPr>
          <w:p w14:paraId="1D2C60C6" w14:textId="236D766F" w:rsidR="00AB209C" w:rsidRPr="00AB209C" w:rsidRDefault="00AB209C" w:rsidP="00AB209C">
            <w:pPr>
              <w:spacing w:after="120"/>
              <w:jc w:val="center"/>
              <w:rPr>
                <w:rFonts w:ascii="Arial" w:hAnsi="Arial" w:cs="Arial"/>
                <w:sz w:val="20"/>
                <w:lang w:val="pt-BR"/>
              </w:rPr>
            </w:pPr>
            <w:r w:rsidRPr="00AB209C">
              <w:rPr>
                <w:rFonts w:ascii="Arial" w:hAnsi="Arial" w:cs="Arial"/>
                <w:sz w:val="20"/>
                <w:lang w:val="pt-BR"/>
              </w:rPr>
              <w:t>ENSUS</w:t>
            </w:r>
          </w:p>
        </w:tc>
        <w:tc>
          <w:tcPr>
            <w:tcW w:w="3035" w:type="dxa"/>
          </w:tcPr>
          <w:p w14:paraId="4A893C2F" w14:textId="2BC21E0F" w:rsidR="00AB209C" w:rsidRPr="00AB209C" w:rsidRDefault="006E0B05" w:rsidP="00AB209C">
            <w:pPr>
              <w:spacing w:after="120"/>
              <w:jc w:val="center"/>
              <w:rPr>
                <w:rFonts w:ascii="Arial" w:hAnsi="Arial" w:cs="Arial"/>
                <w:sz w:val="20"/>
                <w:lang w:val="pt-BR"/>
              </w:rPr>
            </w:pPr>
            <w:r>
              <w:rPr>
                <w:rFonts w:ascii="Arial" w:hAnsi="Arial" w:cs="Arial"/>
                <w:sz w:val="20"/>
                <w:lang w:val="pt-BR"/>
              </w:rPr>
              <w:t>6</w:t>
            </w:r>
          </w:p>
        </w:tc>
      </w:tr>
      <w:tr w:rsidR="00AB209C" w:rsidRPr="00AB209C" w14:paraId="1D71A1FC" w14:textId="77777777" w:rsidTr="006E0B05">
        <w:tc>
          <w:tcPr>
            <w:tcW w:w="3261" w:type="dxa"/>
          </w:tcPr>
          <w:p w14:paraId="002B543C" w14:textId="5107E955" w:rsidR="00AB209C" w:rsidRPr="00AB209C" w:rsidRDefault="006E0B05" w:rsidP="00AB209C">
            <w:pPr>
              <w:spacing w:after="120"/>
              <w:jc w:val="center"/>
              <w:rPr>
                <w:rFonts w:ascii="Arial" w:hAnsi="Arial" w:cs="Arial"/>
                <w:sz w:val="20"/>
                <w:lang w:val="pt-BR"/>
              </w:rPr>
            </w:pPr>
            <w:r>
              <w:rPr>
                <w:rFonts w:ascii="Arial" w:hAnsi="Arial" w:cs="Arial"/>
                <w:sz w:val="20"/>
                <w:lang w:val="pt-BR"/>
              </w:rPr>
              <w:t>8</w:t>
            </w:r>
          </w:p>
        </w:tc>
        <w:tc>
          <w:tcPr>
            <w:tcW w:w="2808" w:type="dxa"/>
          </w:tcPr>
          <w:p w14:paraId="76DFBDBC" w14:textId="3BC6DCA7" w:rsidR="00AB209C" w:rsidRPr="00AB209C" w:rsidRDefault="00AB209C" w:rsidP="00AB209C">
            <w:pPr>
              <w:spacing w:after="120"/>
              <w:jc w:val="center"/>
              <w:rPr>
                <w:rFonts w:ascii="Arial" w:hAnsi="Arial" w:cs="Arial"/>
                <w:sz w:val="20"/>
                <w:lang w:val="pt-BR"/>
              </w:rPr>
            </w:pPr>
            <w:r w:rsidRPr="00AB209C">
              <w:rPr>
                <w:rFonts w:ascii="Arial" w:hAnsi="Arial" w:cs="Arial"/>
                <w:sz w:val="20"/>
                <w:lang w:val="pt-BR"/>
              </w:rPr>
              <w:t>II SIDGEM</w:t>
            </w:r>
          </w:p>
        </w:tc>
        <w:tc>
          <w:tcPr>
            <w:tcW w:w="3035" w:type="dxa"/>
          </w:tcPr>
          <w:p w14:paraId="007ED9AE" w14:textId="378F5173" w:rsidR="00AB209C" w:rsidRPr="00AB209C" w:rsidRDefault="006E0B05" w:rsidP="00AB209C">
            <w:pPr>
              <w:spacing w:after="120"/>
              <w:jc w:val="center"/>
              <w:rPr>
                <w:rFonts w:ascii="Arial" w:hAnsi="Arial" w:cs="Arial"/>
                <w:sz w:val="20"/>
                <w:lang w:val="pt-BR"/>
              </w:rPr>
            </w:pPr>
            <w:r>
              <w:rPr>
                <w:rFonts w:ascii="Arial" w:hAnsi="Arial" w:cs="Arial"/>
                <w:sz w:val="20"/>
                <w:lang w:val="pt-BR"/>
              </w:rPr>
              <w:t>5</w:t>
            </w:r>
          </w:p>
        </w:tc>
      </w:tr>
      <w:tr w:rsidR="00AB209C" w:rsidRPr="00AB209C" w14:paraId="0B4E6240" w14:textId="77777777" w:rsidTr="006E0B05">
        <w:tc>
          <w:tcPr>
            <w:tcW w:w="3261" w:type="dxa"/>
            <w:tcBorders>
              <w:bottom w:val="single" w:sz="18" w:space="0" w:color="auto"/>
            </w:tcBorders>
          </w:tcPr>
          <w:p w14:paraId="2B5FF5C0" w14:textId="466D3CA3" w:rsidR="00AB209C" w:rsidRPr="006E0B05" w:rsidRDefault="006E0B05" w:rsidP="00AB209C">
            <w:pPr>
              <w:spacing w:after="120"/>
              <w:jc w:val="center"/>
              <w:rPr>
                <w:rFonts w:ascii="Arial" w:hAnsi="Arial" w:cs="Arial"/>
                <w:b/>
                <w:bCs/>
                <w:sz w:val="20"/>
                <w:lang w:val="pt-BR"/>
              </w:rPr>
            </w:pPr>
            <w:r w:rsidRPr="006E0B05">
              <w:rPr>
                <w:rFonts w:ascii="Arial" w:hAnsi="Arial" w:cs="Arial"/>
                <w:b/>
                <w:bCs/>
                <w:sz w:val="20"/>
                <w:lang w:val="pt-BR"/>
              </w:rPr>
              <w:t>34</w:t>
            </w:r>
          </w:p>
        </w:tc>
        <w:tc>
          <w:tcPr>
            <w:tcW w:w="2808" w:type="dxa"/>
            <w:tcBorders>
              <w:bottom w:val="single" w:sz="18" w:space="0" w:color="auto"/>
            </w:tcBorders>
          </w:tcPr>
          <w:p w14:paraId="53DA5338" w14:textId="3C8E3337" w:rsidR="00AB209C" w:rsidRPr="00AB209C" w:rsidRDefault="00AB209C" w:rsidP="00AB209C">
            <w:pPr>
              <w:spacing w:after="120"/>
              <w:jc w:val="center"/>
              <w:rPr>
                <w:rFonts w:ascii="Arial" w:hAnsi="Arial" w:cs="Arial"/>
                <w:b/>
                <w:bCs/>
                <w:sz w:val="20"/>
                <w:lang w:val="pt-BR"/>
              </w:rPr>
            </w:pPr>
            <w:r w:rsidRPr="00AB209C">
              <w:rPr>
                <w:rFonts w:ascii="Arial" w:hAnsi="Arial" w:cs="Arial"/>
                <w:b/>
                <w:bCs/>
                <w:sz w:val="20"/>
                <w:lang w:val="pt-BR"/>
              </w:rPr>
              <w:t>TOTAL</w:t>
            </w:r>
          </w:p>
        </w:tc>
        <w:tc>
          <w:tcPr>
            <w:tcW w:w="3035" w:type="dxa"/>
            <w:tcBorders>
              <w:bottom w:val="single" w:sz="18" w:space="0" w:color="auto"/>
            </w:tcBorders>
          </w:tcPr>
          <w:p w14:paraId="79B76298" w14:textId="327F10ED" w:rsidR="00AB209C" w:rsidRPr="006E0B05" w:rsidRDefault="006E0B05" w:rsidP="006E0B05">
            <w:pPr>
              <w:keepNext/>
              <w:spacing w:after="120"/>
              <w:jc w:val="center"/>
              <w:rPr>
                <w:rFonts w:ascii="Arial" w:hAnsi="Arial" w:cs="Arial"/>
                <w:b/>
                <w:bCs/>
                <w:sz w:val="20"/>
                <w:lang w:val="pt-BR"/>
              </w:rPr>
            </w:pPr>
            <w:r w:rsidRPr="006E0B05">
              <w:rPr>
                <w:rFonts w:ascii="Arial" w:hAnsi="Arial" w:cs="Arial"/>
                <w:b/>
                <w:bCs/>
                <w:sz w:val="20"/>
                <w:lang w:val="pt-BR"/>
              </w:rPr>
              <w:t>14</w:t>
            </w:r>
          </w:p>
        </w:tc>
      </w:tr>
    </w:tbl>
    <w:p w14:paraId="45D1950D" w14:textId="320B7FBB" w:rsidR="006E0B05" w:rsidRPr="006E0B05" w:rsidRDefault="006E0B05">
      <w:pPr>
        <w:pStyle w:val="Legenda"/>
        <w:rPr>
          <w:rFonts w:ascii="Arial" w:hAnsi="Arial" w:cs="Arial"/>
          <w:b w:val="0"/>
          <w:bCs w:val="0"/>
          <w:color w:val="auto"/>
          <w:sz w:val="20"/>
          <w:szCs w:val="20"/>
        </w:rPr>
      </w:pPr>
      <w:r w:rsidRPr="006E0B05">
        <w:rPr>
          <w:rFonts w:ascii="Arial" w:hAnsi="Arial" w:cs="Arial"/>
          <w:b w:val="0"/>
          <w:bCs w:val="0"/>
          <w:color w:val="auto"/>
          <w:sz w:val="20"/>
          <w:szCs w:val="20"/>
        </w:rPr>
        <w:t>Fonte:  Autoras</w:t>
      </w:r>
    </w:p>
    <w:p w14:paraId="4CF55CA5" w14:textId="6E6FA97F" w:rsidR="00255DD8" w:rsidRPr="00255DD8" w:rsidRDefault="00255DD8" w:rsidP="00255DD8">
      <w:pPr>
        <w:spacing w:after="120"/>
        <w:ind w:firstLine="284"/>
        <w:rPr>
          <w:szCs w:val="24"/>
          <w:lang w:val="pt-BR"/>
        </w:rPr>
      </w:pPr>
      <w:r w:rsidRPr="00255DD8">
        <w:rPr>
          <w:szCs w:val="24"/>
          <w:lang w:val="pt-BR"/>
        </w:rPr>
        <w:t>Em paralelo a revisão bibliográfica, a autora revisitou arquivos pessoais utilizados como referência para a montagem da oficina de Joalheria Artesanal ministrada pela mesma no âmbito do Projeto Mulheres Hipercriativas (Brasília, 2021), oriundo de parceria entre a Secretaria da mulher do Distrito Federal e a Organização dos Estados Ibero-Americanos (OEI) e voltada a mulheres em situação de vulnerabilidade no Distrito Federal. Estes arquivos, levaram a alguns casos de descontinuidade observados através de sites oficiais de marcas tidas como sustentáveis e seus respectivos perfis em rede socia</w:t>
      </w:r>
      <w:r w:rsidR="00192AF3">
        <w:rPr>
          <w:szCs w:val="24"/>
          <w:lang w:val="pt-BR"/>
        </w:rPr>
        <w:t>l</w:t>
      </w:r>
      <w:r w:rsidRPr="00255DD8">
        <w:rPr>
          <w:szCs w:val="24"/>
          <w:lang w:val="pt-BR"/>
        </w:rPr>
        <w:t xml:space="preserve"> (Instagram).</w:t>
      </w:r>
    </w:p>
    <w:p w14:paraId="6D358D65" w14:textId="4C6CB09E" w:rsidR="00B63A35" w:rsidRPr="0049479C" w:rsidRDefault="00255DD8" w:rsidP="00255DD8">
      <w:pPr>
        <w:spacing w:after="120"/>
        <w:ind w:firstLine="284"/>
        <w:rPr>
          <w:szCs w:val="24"/>
          <w:lang w:val="pt-BR"/>
        </w:rPr>
      </w:pPr>
      <w:r w:rsidRPr="00255DD8">
        <w:rPr>
          <w:szCs w:val="24"/>
          <w:lang w:val="pt-BR"/>
        </w:rPr>
        <w:t>Partindo do exposto, foram selecionados os relatos de iniciativas de descontinuidade no design de joias que seguem, bem como as premissas já apresentadas anteriormente, compondo o des</w:t>
      </w:r>
      <w:r>
        <w:rPr>
          <w:szCs w:val="24"/>
          <w:lang w:val="pt-BR"/>
        </w:rPr>
        <w:t>envolvimento do presente artigo</w:t>
      </w:r>
      <w:r w:rsidR="00B63A35" w:rsidRPr="0049479C">
        <w:rPr>
          <w:szCs w:val="24"/>
          <w:lang w:val="pt-BR"/>
        </w:rPr>
        <w:t>.</w:t>
      </w:r>
    </w:p>
    <w:p w14:paraId="3A7E4784" w14:textId="77777777" w:rsidR="00B63A35" w:rsidRPr="0049479C" w:rsidRDefault="00B63A35" w:rsidP="00B63A35">
      <w:pPr>
        <w:spacing w:after="120"/>
        <w:ind w:firstLine="284"/>
        <w:rPr>
          <w:szCs w:val="24"/>
          <w:lang w:val="pt-BR"/>
        </w:rPr>
      </w:pPr>
    </w:p>
    <w:p w14:paraId="6AF02248" w14:textId="02923DAD" w:rsidR="00B63A35" w:rsidRPr="0049479C" w:rsidRDefault="00575335" w:rsidP="009C7EC2">
      <w:pPr>
        <w:pStyle w:val="PargrafodaLista"/>
        <w:numPr>
          <w:ilvl w:val="0"/>
          <w:numId w:val="5"/>
        </w:numPr>
        <w:spacing w:after="120"/>
        <w:rPr>
          <w:b/>
          <w:szCs w:val="24"/>
          <w:lang w:val="pt-BR"/>
        </w:rPr>
      </w:pPr>
      <w:r w:rsidRPr="0049479C">
        <w:rPr>
          <w:b/>
          <w:szCs w:val="24"/>
          <w:lang w:val="pt-BR"/>
        </w:rPr>
        <w:t>Resultados</w:t>
      </w:r>
      <w:r w:rsidR="00255DD8">
        <w:rPr>
          <w:b/>
          <w:szCs w:val="24"/>
          <w:lang w:val="pt-BR"/>
        </w:rPr>
        <w:t xml:space="preserve"> e discussões</w:t>
      </w:r>
    </w:p>
    <w:p w14:paraId="196021D0" w14:textId="77777777" w:rsidR="00B63A35" w:rsidRPr="0049479C" w:rsidRDefault="00B63A35" w:rsidP="00B63A35">
      <w:pPr>
        <w:spacing w:after="120"/>
        <w:rPr>
          <w:color w:val="A6A6A6"/>
          <w:szCs w:val="24"/>
          <w:lang w:val="pt-BR"/>
        </w:rPr>
      </w:pPr>
    </w:p>
    <w:p w14:paraId="096D870D" w14:textId="77777777" w:rsidR="00255DD8" w:rsidRPr="00255DD8" w:rsidRDefault="00255DD8" w:rsidP="00255DD8">
      <w:pPr>
        <w:rPr>
          <w:lang w:val="pt-BR"/>
        </w:rPr>
      </w:pPr>
      <w:r w:rsidRPr="00255DD8">
        <w:rPr>
          <w:lang w:val="pt-BR"/>
        </w:rPr>
        <w:t>Tomando por base a metodologia apresentada, os exemplos de descontinuidade no design de joias foram divididos nos três subtópicos que se seguem, a partir da origem de seus materiais:</w:t>
      </w:r>
    </w:p>
    <w:p w14:paraId="0475D4B3" w14:textId="17A3100F" w:rsidR="00575335" w:rsidRPr="0049479C" w:rsidRDefault="00255DD8" w:rsidP="00575335">
      <w:pPr>
        <w:pStyle w:val="Subttulo"/>
        <w:rPr>
          <w:rFonts w:ascii="Times New Roman" w:hAnsi="Times New Roman"/>
          <w:b w:val="0"/>
        </w:rPr>
      </w:pPr>
      <w:r>
        <w:rPr>
          <w:rFonts w:ascii="Times New Roman" w:hAnsi="Times New Roman"/>
        </w:rPr>
        <w:t>Gemas e Materiais Orgânicos</w:t>
      </w:r>
    </w:p>
    <w:p w14:paraId="376D9465" w14:textId="626363A8" w:rsidR="00575335" w:rsidRDefault="00364E12" w:rsidP="009B2EF9">
      <w:pPr>
        <w:spacing w:after="120"/>
        <w:ind w:firstLine="284"/>
        <w:rPr>
          <w:szCs w:val="24"/>
          <w:lang w:val="pt-BR"/>
        </w:rPr>
      </w:pPr>
      <w:r w:rsidRPr="00364E12">
        <w:rPr>
          <w:szCs w:val="24"/>
          <w:lang w:val="pt-BR"/>
        </w:rPr>
        <w:t xml:space="preserve">A utilização de materiais de origem orgânica na joalheria por si só não apresenta uma novidade, muito menos passa a ser sinônimo de sustentabilidade. Gemas orgânicas como as </w:t>
      </w:r>
      <w:r w:rsidRPr="00364E12">
        <w:rPr>
          <w:szCs w:val="24"/>
          <w:lang w:val="pt-BR"/>
        </w:rPr>
        <w:lastRenderedPageBreak/>
        <w:t>pérolas, os corais e o marfim são exemplos de matérias orgânicas utilizadas na joalheria e que contribuíram para o desequilíbrio ambiental dos organismos que os originam</w:t>
      </w:r>
      <w:r w:rsidR="00575335" w:rsidRPr="000F5CC4">
        <w:rPr>
          <w:szCs w:val="24"/>
          <w:lang w:val="pt-BR"/>
        </w:rPr>
        <w:t>.</w:t>
      </w:r>
    </w:p>
    <w:p w14:paraId="19F31EB1" w14:textId="1D77D48F" w:rsidR="00364E12" w:rsidRDefault="00364E12" w:rsidP="009B2EF9">
      <w:pPr>
        <w:spacing w:after="120"/>
        <w:ind w:firstLine="284"/>
        <w:rPr>
          <w:szCs w:val="24"/>
          <w:lang w:val="pt-BR"/>
        </w:rPr>
      </w:pPr>
      <w:r w:rsidRPr="00364E12">
        <w:rPr>
          <w:szCs w:val="24"/>
          <w:lang w:val="pt-BR"/>
        </w:rPr>
        <w:t>Na joalheria contemporânea, a partir de um novo olhar sobre a necessidade de minimizar impactos ambientais, novas técnicas aplicadas em materiais já conhecidos (oriundas do artesanato, por exemplo) passaram a permear maior valorização e possibilidades de utilização dentro da joalheria. Em paralelo, também podem ser observados o desenvolvimento de novos materiais visando soluções mais sustentáveis e com menores impactos ambientais.</w:t>
      </w:r>
    </w:p>
    <w:p w14:paraId="1922462C" w14:textId="4637536C" w:rsidR="00364E12" w:rsidRDefault="00364E12" w:rsidP="009B2EF9">
      <w:pPr>
        <w:spacing w:after="120"/>
        <w:ind w:firstLine="284"/>
        <w:rPr>
          <w:szCs w:val="24"/>
          <w:lang w:val="pt-BR"/>
        </w:rPr>
      </w:pPr>
      <w:r w:rsidRPr="00364E12">
        <w:rPr>
          <w:szCs w:val="24"/>
          <w:lang w:val="pt-BR"/>
        </w:rPr>
        <w:t>Uma das possibilidades de incorporação de materiais orgânicos na joalheria é a utilização de resinas (a mais comum é a epoxi) para encapsular/encrustar matérias que vão desde flores, a sementes, madeiras esculpidas, leite materno (Figura 1 – J; L), fios de cabelo (Figura 1 – I), partes de cordão umbilical (Figura 1 – M) ou até mesmo placenta (Figura 1 – N) e embriões (Figura 1 – H). Apesar de esta técnica apresentar a utilização de um polímero de baixo poder de reciclabilidade, a sua utilização configura uma descontinuidade a partir dos princípios do ecodesign por otimizar a vida do material,  bem como pela sua capacidade de substituir um recurso material primário (as gemas) por um material secundário de valor simbólico elevado (o material encapsulado pela resina), empregando-lhe alta durabilidade.</w:t>
      </w:r>
    </w:p>
    <w:p w14:paraId="6D73B6BE" w14:textId="7D958FFC" w:rsidR="006410CF" w:rsidRDefault="0007494A" w:rsidP="009B2EF9">
      <w:pPr>
        <w:spacing w:after="120"/>
        <w:ind w:firstLine="284"/>
        <w:rPr>
          <w:szCs w:val="24"/>
          <w:lang w:val="pt-BR"/>
        </w:rPr>
      </w:pPr>
      <w:r>
        <w:rPr>
          <w:noProof/>
        </w:rPr>
        <mc:AlternateContent>
          <mc:Choice Requires="wps">
            <w:drawing>
              <wp:anchor distT="0" distB="0" distL="114300" distR="114300" simplePos="0" relativeHeight="251639296" behindDoc="0" locked="0" layoutInCell="1" allowOverlap="1" wp14:anchorId="23BFD664" wp14:editId="61D50813">
                <wp:simplePos x="0" y="0"/>
                <wp:positionH relativeFrom="column">
                  <wp:posOffset>-3810</wp:posOffset>
                </wp:positionH>
                <wp:positionV relativeFrom="paragraph">
                  <wp:posOffset>2235200</wp:posOffset>
                </wp:positionV>
                <wp:extent cx="5762625" cy="171450"/>
                <wp:effectExtent l="0" t="0" r="9525" b="0"/>
                <wp:wrapSquare wrapText="bothSides"/>
                <wp:docPr id="7" name="Caixa de Texto 7"/>
                <wp:cNvGraphicFramePr/>
                <a:graphic xmlns:a="http://schemas.openxmlformats.org/drawingml/2006/main">
                  <a:graphicData uri="http://schemas.microsoft.com/office/word/2010/wordprocessingShape">
                    <wps:wsp>
                      <wps:cNvSpPr txBox="1"/>
                      <wps:spPr>
                        <a:xfrm>
                          <a:off x="0" y="0"/>
                          <a:ext cx="5762625" cy="171450"/>
                        </a:xfrm>
                        <a:prstGeom prst="rect">
                          <a:avLst/>
                        </a:prstGeom>
                        <a:solidFill>
                          <a:prstClr val="white"/>
                        </a:solidFill>
                        <a:ln>
                          <a:noFill/>
                        </a:ln>
                      </wps:spPr>
                      <wps:txbx>
                        <w:txbxContent>
                          <w:p w14:paraId="198DB7F9" w14:textId="296AA568" w:rsidR="00403A78" w:rsidRPr="0007494A" w:rsidRDefault="00403A78" w:rsidP="00D9396C">
                            <w:pPr>
                              <w:pStyle w:val="Legenda"/>
                              <w:jc w:val="center"/>
                              <w:rPr>
                                <w:noProof/>
                                <w:color w:val="auto"/>
                                <w:sz w:val="20"/>
                                <w:szCs w:val="20"/>
                              </w:rPr>
                            </w:pPr>
                            <w:r w:rsidRPr="0007494A">
                              <w:rPr>
                                <w:color w:val="auto"/>
                                <w:sz w:val="20"/>
                                <w:szCs w:val="20"/>
                              </w:rPr>
                              <w:t xml:space="preserve">Figura </w:t>
                            </w:r>
                            <w:r w:rsidRPr="0007494A">
                              <w:rPr>
                                <w:color w:val="auto"/>
                                <w:sz w:val="20"/>
                                <w:szCs w:val="20"/>
                              </w:rPr>
                              <w:fldChar w:fldCharType="begin"/>
                            </w:r>
                            <w:r w:rsidRPr="0007494A">
                              <w:rPr>
                                <w:color w:val="auto"/>
                                <w:sz w:val="20"/>
                                <w:szCs w:val="20"/>
                              </w:rPr>
                              <w:instrText xml:space="preserve"> SEQ Figura \* ARABIC </w:instrText>
                            </w:r>
                            <w:r w:rsidRPr="0007494A">
                              <w:rPr>
                                <w:color w:val="auto"/>
                                <w:sz w:val="20"/>
                                <w:szCs w:val="20"/>
                              </w:rPr>
                              <w:fldChar w:fldCharType="separate"/>
                            </w:r>
                            <w:r w:rsidR="002702AC">
                              <w:rPr>
                                <w:noProof/>
                                <w:color w:val="auto"/>
                                <w:sz w:val="20"/>
                                <w:szCs w:val="20"/>
                              </w:rPr>
                              <w:t>1</w:t>
                            </w:r>
                            <w:r w:rsidRPr="0007494A">
                              <w:rPr>
                                <w:color w:val="auto"/>
                                <w:sz w:val="20"/>
                                <w:szCs w:val="20"/>
                              </w:rPr>
                              <w:fldChar w:fldCharType="end"/>
                            </w:r>
                            <w:r w:rsidRPr="0007494A">
                              <w:rPr>
                                <w:color w:val="auto"/>
                                <w:sz w:val="20"/>
                                <w:szCs w:val="20"/>
                              </w:rPr>
                              <w:t xml:space="preserve">: Jóias encapsuladas </w:t>
                            </w:r>
                            <w:r>
                              <w:rPr>
                                <w:color w:val="auto"/>
                                <w:sz w:val="20"/>
                                <w:szCs w:val="20"/>
                              </w:rPr>
                              <w:t>em</w:t>
                            </w:r>
                            <w:r w:rsidRPr="0007494A">
                              <w:rPr>
                                <w:color w:val="auto"/>
                                <w:sz w:val="20"/>
                                <w:szCs w:val="20"/>
                              </w:rPr>
                              <w:t xml:space="preserve"> resina. Fonte: Baby Bee Hummingbirds®, em CINTRA; CIDADE (2021)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BFD664" id="_x0000_t202" coordsize="21600,21600" o:spt="202" path="m,l,21600r21600,l21600,xe">
                <v:stroke joinstyle="miter"/>
                <v:path gradientshapeok="t" o:connecttype="rect"/>
              </v:shapetype>
              <v:shape id="Caixa de Texto 7" o:spid="_x0000_s1026" type="#_x0000_t202" style="position:absolute;left:0;text-align:left;margin-left:-.3pt;margin-top:176pt;width:453.75pt;height:13.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" stroked="f">
                <v:textbox inset="0,0,0,0">
                  <w:txbxContent>
                    <w:p w14:paraId="198DB7F9" w14:textId="296AA568" w:rsidR="00403A78" w:rsidRPr="0007494A" w:rsidRDefault="00403A78" w:rsidP="00D9396C">
                      <w:pPr>
                        <w:pStyle w:val="Legenda"/>
                        <w:jc w:val="center"/>
                        <w:rPr>
                          <w:noProof/>
                          <w:color w:val="auto"/>
                          <w:sz w:val="20"/>
                          <w:szCs w:val="20"/>
                        </w:rPr>
                      </w:pPr>
                      <w:r w:rsidRPr="0007494A">
                        <w:rPr>
                          <w:color w:val="auto"/>
                          <w:sz w:val="20"/>
                          <w:szCs w:val="20"/>
                        </w:rPr>
                        <w:t xml:space="preserve">Figura </w:t>
                      </w:r>
                      <w:r w:rsidRPr="0007494A">
                        <w:rPr>
                          <w:color w:val="auto"/>
                          <w:sz w:val="20"/>
                          <w:szCs w:val="20"/>
                        </w:rPr>
                        <w:fldChar w:fldCharType="begin"/>
                      </w:r>
                      <w:r w:rsidRPr="0007494A">
                        <w:rPr>
                          <w:color w:val="auto"/>
                          <w:sz w:val="20"/>
                          <w:szCs w:val="20"/>
                        </w:rPr>
                        <w:instrText xml:space="preserve"> SEQ Figura \* ARABIC </w:instrText>
                      </w:r>
                      <w:r w:rsidRPr="0007494A">
                        <w:rPr>
                          <w:color w:val="auto"/>
                          <w:sz w:val="20"/>
                          <w:szCs w:val="20"/>
                        </w:rPr>
                        <w:fldChar w:fldCharType="separate"/>
                      </w:r>
                      <w:r w:rsidR="002702AC">
                        <w:rPr>
                          <w:noProof/>
                          <w:color w:val="auto"/>
                          <w:sz w:val="20"/>
                          <w:szCs w:val="20"/>
                        </w:rPr>
                        <w:t>1</w:t>
                      </w:r>
                      <w:r w:rsidRPr="0007494A">
                        <w:rPr>
                          <w:color w:val="auto"/>
                          <w:sz w:val="20"/>
                          <w:szCs w:val="20"/>
                        </w:rPr>
                        <w:fldChar w:fldCharType="end"/>
                      </w:r>
                      <w:r w:rsidRPr="0007494A">
                        <w:rPr>
                          <w:color w:val="auto"/>
                          <w:sz w:val="20"/>
                          <w:szCs w:val="20"/>
                        </w:rPr>
                        <w:t xml:space="preserve">: Jóias encapsuladas </w:t>
                      </w:r>
                      <w:r>
                        <w:rPr>
                          <w:color w:val="auto"/>
                          <w:sz w:val="20"/>
                          <w:szCs w:val="20"/>
                        </w:rPr>
                        <w:t>em</w:t>
                      </w:r>
                      <w:r w:rsidRPr="0007494A">
                        <w:rPr>
                          <w:color w:val="auto"/>
                          <w:sz w:val="20"/>
                          <w:szCs w:val="20"/>
                        </w:rPr>
                        <w:t xml:space="preserve"> resina. Fonte: Baby Bee Hummingbirds®, em CINTRA; CIDADE (2021)</w:t>
                      </w:r>
                    </w:p>
                  </w:txbxContent>
                </v:textbox>
                <w10:wrap type="square"/>
              </v:shape>
            </w:pict>
          </mc:Fallback>
        </mc:AlternateContent>
      </w:r>
      <w:r w:rsidR="006410CF">
        <w:rPr>
          <w:noProof/>
          <w:szCs w:val="24"/>
          <w:lang w:val="pt-BR"/>
        </w:rPr>
        <w:drawing>
          <wp:anchor distT="0" distB="0" distL="114300" distR="114300" simplePos="0" relativeHeight="251637248" behindDoc="0" locked="0" layoutInCell="1" allowOverlap="1" wp14:anchorId="38A73972" wp14:editId="71415C1A">
            <wp:simplePos x="0" y="0"/>
            <wp:positionH relativeFrom="column">
              <wp:posOffset>348615</wp:posOffset>
            </wp:positionH>
            <wp:positionV relativeFrom="paragraph">
              <wp:posOffset>8255</wp:posOffset>
            </wp:positionV>
            <wp:extent cx="5056505" cy="2171065"/>
            <wp:effectExtent l="0" t="0" r="0" b="63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8"/>
                    <a:stretch>
                      <a:fillRect/>
                    </a:stretch>
                  </pic:blipFill>
                  <pic:spPr>
                    <a:xfrm>
                      <a:off x="0" y="0"/>
                      <a:ext cx="5056505" cy="2171065"/>
                    </a:xfrm>
                    <a:prstGeom prst="rect">
                      <a:avLst/>
                    </a:prstGeom>
                  </pic:spPr>
                </pic:pic>
              </a:graphicData>
            </a:graphic>
            <wp14:sizeRelH relativeFrom="page">
              <wp14:pctWidth>0</wp14:pctWidth>
            </wp14:sizeRelH>
            <wp14:sizeRelV relativeFrom="page">
              <wp14:pctHeight>0</wp14:pctHeight>
            </wp14:sizeRelV>
          </wp:anchor>
        </w:drawing>
      </w:r>
    </w:p>
    <w:p w14:paraId="128607FF" w14:textId="29DBF9AA" w:rsidR="00364E12" w:rsidRDefault="00364E12" w:rsidP="00364E12">
      <w:pPr>
        <w:spacing w:after="120"/>
        <w:ind w:firstLine="284"/>
        <w:rPr>
          <w:szCs w:val="24"/>
          <w:lang w:val="pt-BR"/>
        </w:rPr>
      </w:pPr>
      <w:r w:rsidRPr="00364E12">
        <w:rPr>
          <w:szCs w:val="24"/>
          <w:lang w:val="pt-BR"/>
        </w:rPr>
        <w:t xml:space="preserve">Ainda através da utilização de resinas, no estado do Pará, através do Programa Pólo Joalheiro (1998), destaca-se na utilização de orgânicos em seus trabalhos, o ourives e pesquisador Paulo Tavares (popularmente conhecido por “Professor Pardal”, devido seus experimentos na joalheria). Ele desenvolveu uma série de “gemas vegetais” </w:t>
      </w:r>
      <w:r w:rsidR="00D078C0" w:rsidRPr="00364E12">
        <w:rPr>
          <w:szCs w:val="24"/>
          <w:lang w:val="pt-BR"/>
        </w:rPr>
        <w:t>(</w:t>
      </w:r>
      <w:r w:rsidR="00D078C0">
        <w:rPr>
          <w:szCs w:val="24"/>
          <w:lang w:val="pt-BR"/>
        </w:rPr>
        <w:t>figura 2</w:t>
      </w:r>
      <w:r w:rsidR="00D078C0" w:rsidRPr="00364E12">
        <w:rPr>
          <w:szCs w:val="24"/>
          <w:lang w:val="pt-BR"/>
        </w:rPr>
        <w:t>)</w:t>
      </w:r>
      <w:r w:rsidR="00D078C0">
        <w:rPr>
          <w:szCs w:val="24"/>
          <w:lang w:val="pt-BR"/>
        </w:rPr>
        <w:t xml:space="preserve"> </w:t>
      </w:r>
      <w:r w:rsidRPr="00364E12">
        <w:rPr>
          <w:szCs w:val="24"/>
          <w:lang w:val="pt-BR"/>
        </w:rPr>
        <w:t>a partir da utilização de resinas oriundas de plantas nativas da Amazônia, misturadas a pigmentos naturais de mesma origem local. A técnica, vem sendo difundida e incorporada por artesãos, designers e ourives do Espaço São José Liberto, em Belém. No caso de Paulo Tavares, há uma diminuição ainda maior nos impactos gerados, devido a natureza orgânica tanto da resina quanto do pigmento e de sua aplicação na joalheria, diretamente associada à substituição das gemas minerais.</w:t>
      </w:r>
      <w:r w:rsidR="00D078C0" w:rsidRPr="00D078C0">
        <w:rPr>
          <w:noProof/>
          <w:szCs w:val="24"/>
          <w:lang w:val="pt-BR"/>
        </w:rPr>
        <w:t xml:space="preserve"> </w:t>
      </w:r>
    </w:p>
    <w:p w14:paraId="54D28726" w14:textId="15E565A2" w:rsidR="0007494A" w:rsidRDefault="00D078C0" w:rsidP="0007494A">
      <w:pPr>
        <w:keepNext/>
        <w:spacing w:after="120"/>
        <w:ind w:firstLine="284"/>
        <w:jc w:val="center"/>
      </w:pPr>
      <w:r>
        <w:rPr>
          <w:noProof/>
          <w:szCs w:val="24"/>
          <w:lang w:val="pt-BR"/>
        </w:rPr>
        <w:lastRenderedPageBreak/>
        <w:drawing>
          <wp:inline distT="0" distB="0" distL="0" distR="0" wp14:anchorId="1C78B213" wp14:editId="7822F5FA">
            <wp:extent cx="1712326" cy="1440000"/>
            <wp:effectExtent l="0" t="0" r="2540" b="825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rotWithShape="1">
                    <a:blip r:embed="rId9"/>
                    <a:srcRect l="12807" t="23880" r="13697" b="13002"/>
                    <a:stretch/>
                  </pic:blipFill>
                  <pic:spPr bwMode="auto">
                    <a:xfrm>
                      <a:off x="0" y="0"/>
                      <a:ext cx="1712326" cy="1440000"/>
                    </a:xfrm>
                    <a:prstGeom prst="rect">
                      <a:avLst/>
                    </a:prstGeom>
                    <a:ln>
                      <a:noFill/>
                    </a:ln>
                    <a:extLst>
                      <a:ext uri="{53640926-AAD7-44D8-BBD7-CCE9431645EC}">
                        <a14:shadowObscured xmlns:a14="http://schemas.microsoft.com/office/drawing/2010/main"/>
                      </a:ext>
                    </a:extLst>
                  </pic:spPr>
                </pic:pic>
              </a:graphicData>
            </a:graphic>
          </wp:inline>
        </w:drawing>
      </w:r>
    </w:p>
    <w:p w14:paraId="0E8A6DEC" w14:textId="25755B05" w:rsidR="0007494A" w:rsidRPr="0007494A" w:rsidRDefault="0007494A" w:rsidP="0007494A">
      <w:pPr>
        <w:pStyle w:val="Legenda"/>
        <w:jc w:val="center"/>
        <w:rPr>
          <w:color w:val="auto"/>
          <w:sz w:val="20"/>
          <w:szCs w:val="20"/>
          <w:lang w:val="pt-BR"/>
        </w:rPr>
      </w:pPr>
      <w:r w:rsidRPr="0007494A">
        <w:rPr>
          <w:color w:val="auto"/>
          <w:sz w:val="20"/>
          <w:szCs w:val="20"/>
        </w:rPr>
        <w:t xml:space="preserve">Figura </w:t>
      </w:r>
      <w:r w:rsidRPr="0007494A">
        <w:rPr>
          <w:color w:val="auto"/>
          <w:sz w:val="20"/>
          <w:szCs w:val="20"/>
        </w:rPr>
        <w:fldChar w:fldCharType="begin"/>
      </w:r>
      <w:r w:rsidRPr="0007494A">
        <w:rPr>
          <w:color w:val="auto"/>
          <w:sz w:val="20"/>
          <w:szCs w:val="20"/>
        </w:rPr>
        <w:instrText xml:space="preserve"> SEQ Figura \* ARABIC </w:instrText>
      </w:r>
      <w:r w:rsidRPr="0007494A">
        <w:rPr>
          <w:color w:val="auto"/>
          <w:sz w:val="20"/>
          <w:szCs w:val="20"/>
        </w:rPr>
        <w:fldChar w:fldCharType="separate"/>
      </w:r>
      <w:r w:rsidR="002702AC">
        <w:rPr>
          <w:noProof/>
          <w:color w:val="auto"/>
          <w:sz w:val="20"/>
          <w:szCs w:val="20"/>
        </w:rPr>
        <w:t>2</w:t>
      </w:r>
      <w:r w:rsidRPr="0007494A">
        <w:rPr>
          <w:color w:val="auto"/>
          <w:sz w:val="20"/>
          <w:szCs w:val="20"/>
        </w:rPr>
        <w:fldChar w:fldCharType="end"/>
      </w:r>
      <w:r w:rsidRPr="0007494A">
        <w:rPr>
          <w:color w:val="auto"/>
          <w:sz w:val="20"/>
          <w:szCs w:val="20"/>
        </w:rPr>
        <w:t>: Gemas Vegetais - PA. Fonte: Materioteca UEPA, em LOBATO; MONTEIRO; SANTOS (2021)</w:t>
      </w:r>
    </w:p>
    <w:p w14:paraId="226E438E" w14:textId="07D25246" w:rsidR="0007494A" w:rsidRDefault="00364E12" w:rsidP="00364E12">
      <w:pPr>
        <w:spacing w:after="120"/>
        <w:ind w:firstLine="284"/>
        <w:rPr>
          <w:szCs w:val="24"/>
          <w:lang w:val="pt-BR"/>
        </w:rPr>
      </w:pPr>
      <w:r w:rsidRPr="00364E12">
        <w:rPr>
          <w:szCs w:val="24"/>
          <w:lang w:val="pt-BR"/>
        </w:rPr>
        <w:t xml:space="preserve">Também no Pará, ganhou visibilidade através do mesmo programa governamental (Programa Pólo Joalheiro) a designer Selma Montenegro, destacando-se </w:t>
      </w:r>
      <w:r>
        <w:rPr>
          <w:szCs w:val="24"/>
          <w:lang w:val="pt-BR"/>
        </w:rPr>
        <w:t xml:space="preserve">pela utilização de biomaterias </w:t>
      </w:r>
      <w:r w:rsidRPr="00364E12">
        <w:rPr>
          <w:szCs w:val="24"/>
          <w:lang w:val="pt-BR"/>
        </w:rPr>
        <w:t>amazônicos (como sementes, frutos e fibras), oriundos de parcerias sustentáveis com colaboradores locais</w:t>
      </w:r>
      <w:r w:rsidR="009D5AF2">
        <w:rPr>
          <w:szCs w:val="24"/>
          <w:lang w:val="pt-BR"/>
        </w:rPr>
        <w:t xml:space="preserve"> </w:t>
      </w:r>
      <w:r w:rsidR="009D5AF2" w:rsidRPr="00364E12">
        <w:rPr>
          <w:szCs w:val="24"/>
          <w:lang w:val="pt-BR"/>
        </w:rPr>
        <w:t>(</w:t>
      </w:r>
      <w:r w:rsidR="009D5AF2">
        <w:rPr>
          <w:szCs w:val="24"/>
          <w:lang w:val="pt-BR"/>
        </w:rPr>
        <w:t>MEIRELLES et al., 2011</w:t>
      </w:r>
      <w:r w:rsidR="009D5AF2" w:rsidRPr="00364E12">
        <w:rPr>
          <w:szCs w:val="24"/>
          <w:lang w:val="pt-BR"/>
        </w:rPr>
        <w:t>)</w:t>
      </w:r>
      <w:r w:rsidRPr="00364E12">
        <w:rPr>
          <w:szCs w:val="24"/>
          <w:lang w:val="pt-BR"/>
        </w:rPr>
        <w:t>. A partir da combinação destes materiais, muitas vezes associados aos metais nobres e gemas inorgânicas, a designer tem ganhado destaque em premiações nacionais</w:t>
      </w:r>
      <w:r w:rsidR="00D078C0">
        <w:rPr>
          <w:szCs w:val="24"/>
          <w:lang w:val="pt-BR"/>
        </w:rPr>
        <w:t xml:space="preserve"> </w:t>
      </w:r>
      <w:r w:rsidR="00D078C0" w:rsidRPr="00364E12">
        <w:rPr>
          <w:szCs w:val="24"/>
          <w:lang w:val="pt-BR"/>
        </w:rPr>
        <w:t>(</w:t>
      </w:r>
      <w:r w:rsidR="00D078C0">
        <w:rPr>
          <w:szCs w:val="24"/>
          <w:lang w:val="pt-BR"/>
        </w:rPr>
        <w:t>figura 3</w:t>
      </w:r>
      <w:r w:rsidR="00D078C0" w:rsidRPr="00364E12">
        <w:rPr>
          <w:szCs w:val="24"/>
          <w:lang w:val="pt-BR"/>
        </w:rPr>
        <w:t>)</w:t>
      </w:r>
      <w:r w:rsidRPr="00364E12">
        <w:rPr>
          <w:szCs w:val="24"/>
          <w:lang w:val="pt-BR"/>
        </w:rPr>
        <w:t xml:space="preserve"> e reconhecimento internacional, tanto pela qualidade estética de suas peças quanto pelas inovações aplicadas, buscando sempre a valorização territorial e sustentabilidade ao longo do processo. No caso da designer, além da redução na utilização de materiais não renováveis, pode-se observar a manutenção dos três pilares da sustentabilidade: o ambiental, o social e o econômico, visto sua preocupação em agregar e garantir manutenção e inserção de comunidades locais nos seus processos,</w:t>
      </w:r>
      <w:r>
        <w:rPr>
          <w:szCs w:val="24"/>
          <w:lang w:val="pt-BR"/>
        </w:rPr>
        <w:t xml:space="preserve"> imprimindo-lhes características de um sistema produto-serviço (PSS) ecoeficfiente.</w:t>
      </w:r>
    </w:p>
    <w:p w14:paraId="06DCFEE3" w14:textId="77777777" w:rsidR="0007494A" w:rsidRDefault="0007494A" w:rsidP="0007494A">
      <w:pPr>
        <w:keepNext/>
        <w:spacing w:after="120"/>
        <w:ind w:firstLine="284"/>
        <w:jc w:val="center"/>
      </w:pPr>
      <w:r>
        <w:rPr>
          <w:noProof/>
          <w:szCs w:val="24"/>
          <w:lang w:val="pt-BR"/>
        </w:rPr>
        <w:drawing>
          <wp:inline distT="0" distB="0" distL="0" distR="0" wp14:anchorId="0757728A" wp14:editId="1E55E159">
            <wp:extent cx="1923008" cy="2880000"/>
            <wp:effectExtent l="0" t="0" r="127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rotWithShape="1">
                    <a:blip r:embed="rId10"/>
                    <a:srcRect l="2800" t="10794" r="7987" b="14087"/>
                    <a:stretch/>
                  </pic:blipFill>
                  <pic:spPr bwMode="auto">
                    <a:xfrm>
                      <a:off x="0" y="0"/>
                      <a:ext cx="1923008" cy="2880000"/>
                    </a:xfrm>
                    <a:prstGeom prst="rect">
                      <a:avLst/>
                    </a:prstGeom>
                    <a:ln>
                      <a:noFill/>
                    </a:ln>
                    <a:extLst>
                      <a:ext uri="{53640926-AAD7-44D8-BBD7-CCE9431645EC}">
                        <a14:shadowObscured xmlns:a14="http://schemas.microsoft.com/office/drawing/2010/main"/>
                      </a:ext>
                    </a:extLst>
                  </pic:spPr>
                </pic:pic>
              </a:graphicData>
            </a:graphic>
          </wp:inline>
        </w:drawing>
      </w:r>
    </w:p>
    <w:p w14:paraId="71386C85" w14:textId="1669EDBE" w:rsidR="00364E12" w:rsidRPr="0007494A" w:rsidRDefault="0007494A" w:rsidP="0007494A">
      <w:pPr>
        <w:pStyle w:val="Legenda"/>
        <w:jc w:val="center"/>
        <w:rPr>
          <w:color w:val="auto"/>
          <w:lang w:val="pt-BR"/>
        </w:rPr>
      </w:pPr>
      <w:r w:rsidRPr="0007494A">
        <w:rPr>
          <w:color w:val="auto"/>
        </w:rPr>
        <w:t xml:space="preserve">Figura </w:t>
      </w:r>
      <w:r w:rsidRPr="0007494A">
        <w:rPr>
          <w:color w:val="auto"/>
        </w:rPr>
        <w:fldChar w:fldCharType="begin"/>
      </w:r>
      <w:r w:rsidRPr="0007494A">
        <w:rPr>
          <w:color w:val="auto"/>
        </w:rPr>
        <w:instrText xml:space="preserve"> SEQ Figura \* ARABIC </w:instrText>
      </w:r>
      <w:r w:rsidRPr="0007494A">
        <w:rPr>
          <w:color w:val="auto"/>
        </w:rPr>
        <w:fldChar w:fldCharType="separate"/>
      </w:r>
      <w:r w:rsidR="002702AC">
        <w:rPr>
          <w:noProof/>
          <w:color w:val="auto"/>
        </w:rPr>
        <w:t>3</w:t>
      </w:r>
      <w:r w:rsidRPr="0007494A">
        <w:rPr>
          <w:color w:val="auto"/>
        </w:rPr>
        <w:fldChar w:fldCharType="end"/>
      </w:r>
      <w:r w:rsidRPr="0007494A">
        <w:rPr>
          <w:color w:val="auto"/>
        </w:rPr>
        <w:t>: Colar “Fruto da Terra” - Selma Montenegro. Fonte: XIII Prêmio IBGM 2006, em Joias do Pará (2011).</w:t>
      </w:r>
    </w:p>
    <w:p w14:paraId="0F02E1A6" w14:textId="35A779EA" w:rsidR="00364E12" w:rsidRDefault="00364E12" w:rsidP="00364E12">
      <w:pPr>
        <w:spacing w:after="120"/>
        <w:ind w:firstLine="284"/>
        <w:rPr>
          <w:szCs w:val="24"/>
          <w:lang w:val="pt-BR"/>
        </w:rPr>
      </w:pPr>
      <w:r w:rsidRPr="00364E12">
        <w:rPr>
          <w:szCs w:val="24"/>
          <w:lang w:val="pt-BR"/>
        </w:rPr>
        <w:t>Continuando com exemplos de Sistemas Produto-Serviços (PSS) Ecoeficientes, neste caso a partir do desenvolvimento de novos compósitos, a designer Flávia Amadeu tem se destacado pela utilização da borracha amazônica (FSA) no desenvolvimento de joias vestíveis e acessórios de moda</w:t>
      </w:r>
      <w:r w:rsidR="00D078C0">
        <w:rPr>
          <w:szCs w:val="24"/>
          <w:lang w:val="pt-BR"/>
        </w:rPr>
        <w:t xml:space="preserve"> </w:t>
      </w:r>
      <w:r w:rsidR="00D078C0" w:rsidRPr="00364E12">
        <w:rPr>
          <w:szCs w:val="24"/>
          <w:lang w:val="pt-BR"/>
        </w:rPr>
        <w:t>(</w:t>
      </w:r>
      <w:r w:rsidR="00D078C0">
        <w:rPr>
          <w:szCs w:val="24"/>
          <w:lang w:val="pt-BR"/>
        </w:rPr>
        <w:t>figura 4</w:t>
      </w:r>
      <w:r w:rsidR="00D078C0" w:rsidRPr="00364E12">
        <w:rPr>
          <w:szCs w:val="24"/>
          <w:lang w:val="pt-BR"/>
        </w:rPr>
        <w:t>)</w:t>
      </w:r>
      <w:r w:rsidRPr="00364E12">
        <w:rPr>
          <w:szCs w:val="24"/>
          <w:lang w:val="pt-BR"/>
        </w:rPr>
        <w:t xml:space="preserve">. A Folha SemiArtefato (FSA), foi desenvolvida e disseminada em uma parceria do Laboratório de Tecnologia Química - LATEQ, da Universidade de Brasília (UNB) </w:t>
      </w:r>
      <w:r w:rsidRPr="00364E12">
        <w:rPr>
          <w:szCs w:val="24"/>
          <w:lang w:val="pt-BR"/>
        </w:rPr>
        <w:lastRenderedPageBreak/>
        <w:t>e comunidades de seringueiros do Acre (conhecidos como os “guardiões da floresta”). O projeto, hoje empreendedor e com alcance mundial, visa também melhorar as condições de trabalho na floresta, a geração de renda local, inclusão de jovens e mulheres na cadeia produtiva e a manutenção de famílias produtivas na floresta, contribuindo para a conservação desta e das culturas que nela habitam, visto que quando a</w:t>
      </w:r>
      <w:r w:rsidRPr="00364E12">
        <w:rPr>
          <w:lang w:val="pt-BR"/>
        </w:rPr>
        <w:t xml:space="preserve"> </w:t>
      </w:r>
      <w:r w:rsidRPr="00364E12">
        <w:rPr>
          <w:szCs w:val="24"/>
          <w:lang w:val="pt-BR"/>
        </w:rPr>
        <w:t>comunidade se envolve com o processo, participando ativamente dos lucros, torna-se uma das principais interessadas na manutenção e preservação da mesma</w:t>
      </w:r>
      <w:r>
        <w:rPr>
          <w:szCs w:val="24"/>
          <w:lang w:val="pt-BR"/>
        </w:rPr>
        <w:t>.</w:t>
      </w:r>
    </w:p>
    <w:p w14:paraId="0773DD11" w14:textId="649A0403" w:rsidR="00D078C0" w:rsidRDefault="0007494A" w:rsidP="00D078C0">
      <w:pPr>
        <w:keepNext/>
        <w:spacing w:after="120"/>
        <w:ind w:firstLine="284"/>
        <w:jc w:val="center"/>
      </w:pPr>
      <w:r>
        <w:rPr>
          <w:noProof/>
          <w:szCs w:val="24"/>
          <w:lang w:val="pt-BR"/>
        </w:rPr>
        <w:drawing>
          <wp:inline distT="0" distB="0" distL="0" distR="0" wp14:anchorId="42ACE039" wp14:editId="0398CC79">
            <wp:extent cx="1620000" cy="28800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pic:nvPicPr>
                  <pic:blipFill>
                    <a:blip r:embed="rId11"/>
                    <a:stretch>
                      <a:fillRect/>
                    </a:stretch>
                  </pic:blipFill>
                  <pic:spPr>
                    <a:xfrm>
                      <a:off x="0" y="0"/>
                      <a:ext cx="1620000" cy="2880000"/>
                    </a:xfrm>
                    <a:prstGeom prst="rect">
                      <a:avLst/>
                    </a:prstGeom>
                  </pic:spPr>
                </pic:pic>
              </a:graphicData>
            </a:graphic>
          </wp:inline>
        </w:drawing>
      </w:r>
    </w:p>
    <w:p w14:paraId="3A966D24" w14:textId="5B7CD876" w:rsidR="0007494A" w:rsidRPr="00D078C0" w:rsidRDefault="00D078C0" w:rsidP="00D078C0">
      <w:pPr>
        <w:pStyle w:val="Legenda"/>
        <w:jc w:val="center"/>
        <w:rPr>
          <w:color w:val="auto"/>
          <w:sz w:val="20"/>
          <w:szCs w:val="20"/>
          <w:lang w:val="pt-BR"/>
        </w:rPr>
      </w:pPr>
      <w:r w:rsidRPr="00D078C0">
        <w:rPr>
          <w:color w:val="auto"/>
          <w:sz w:val="20"/>
          <w:szCs w:val="20"/>
        </w:rPr>
        <w:t xml:space="preserve">Figura </w:t>
      </w:r>
      <w:r w:rsidRPr="00D078C0">
        <w:rPr>
          <w:color w:val="auto"/>
          <w:sz w:val="20"/>
          <w:szCs w:val="20"/>
        </w:rPr>
        <w:fldChar w:fldCharType="begin"/>
      </w:r>
      <w:r w:rsidRPr="00D078C0">
        <w:rPr>
          <w:color w:val="auto"/>
          <w:sz w:val="20"/>
          <w:szCs w:val="20"/>
        </w:rPr>
        <w:instrText xml:space="preserve"> SEQ Figura \* ARABIC </w:instrText>
      </w:r>
      <w:r w:rsidRPr="00D078C0">
        <w:rPr>
          <w:color w:val="auto"/>
          <w:sz w:val="20"/>
          <w:szCs w:val="20"/>
        </w:rPr>
        <w:fldChar w:fldCharType="separate"/>
      </w:r>
      <w:r w:rsidR="002702AC">
        <w:rPr>
          <w:noProof/>
          <w:color w:val="auto"/>
          <w:sz w:val="20"/>
          <w:szCs w:val="20"/>
        </w:rPr>
        <w:t>4</w:t>
      </w:r>
      <w:r w:rsidRPr="00D078C0">
        <w:rPr>
          <w:color w:val="auto"/>
          <w:sz w:val="20"/>
          <w:szCs w:val="20"/>
        </w:rPr>
        <w:fldChar w:fldCharType="end"/>
      </w:r>
      <w:r w:rsidRPr="00D078C0">
        <w:rPr>
          <w:color w:val="auto"/>
          <w:sz w:val="20"/>
          <w:szCs w:val="20"/>
        </w:rPr>
        <w:t>: Desfile Sinergia BEFW. Fonte: Ag. Fotosite, em site Flavia Amadeu.</w:t>
      </w:r>
    </w:p>
    <w:p w14:paraId="5E90D91F" w14:textId="229A305B" w:rsidR="00364E12" w:rsidRDefault="00364E12" w:rsidP="00364E12">
      <w:pPr>
        <w:spacing w:after="120"/>
        <w:ind w:firstLine="284"/>
        <w:rPr>
          <w:szCs w:val="24"/>
          <w:lang w:val="pt-BR"/>
        </w:rPr>
      </w:pPr>
      <w:r w:rsidRPr="00364E12">
        <w:rPr>
          <w:szCs w:val="24"/>
          <w:lang w:val="pt-BR"/>
        </w:rPr>
        <w:t>Apesar da incorporação de compósitos orgânicos ser uma de forma a diminuir a utilização de materiais finitos e de alta capacidade de impacto ambiental em sua extração (as gemas inorgânicas), ela não implica necessariamente na diminuição do uso de metais (nobres ou não) associados aos orgânicos, e no caso da resina epóxi, ainda conta com a adesão de um material plástico de impactos ambientais questionáveis. Entretanto, todos os exemplos até aqui citados apresentam algum grau de descontinuidade sistêmica.</w:t>
      </w:r>
    </w:p>
    <w:p w14:paraId="01E2B778" w14:textId="2C0631C9" w:rsidR="00575335" w:rsidRDefault="00364E12" w:rsidP="00364E12">
      <w:pPr>
        <w:pStyle w:val="Subttulo"/>
        <w:jc w:val="left"/>
        <w:rPr>
          <w:rFonts w:ascii="Times New Roman" w:hAnsi="Times New Roman"/>
        </w:rPr>
      </w:pPr>
      <w:r w:rsidRPr="00364E12">
        <w:rPr>
          <w:rFonts w:ascii="Times New Roman" w:hAnsi="Times New Roman"/>
        </w:rPr>
        <w:t xml:space="preserve">Reaproveitamento de rejeitos da mineração: os casos de Minas Gerais e Pará </w:t>
      </w:r>
    </w:p>
    <w:p w14:paraId="729049C3" w14:textId="41C931FC" w:rsidR="00AA282A" w:rsidRDefault="00364E12" w:rsidP="00AA282A">
      <w:pPr>
        <w:spacing w:after="120"/>
        <w:ind w:firstLine="284"/>
        <w:rPr>
          <w:szCs w:val="24"/>
          <w:lang w:val="pt-BR"/>
        </w:rPr>
      </w:pPr>
      <w:r w:rsidRPr="00364E12">
        <w:rPr>
          <w:szCs w:val="24"/>
          <w:lang w:val="pt-BR"/>
        </w:rPr>
        <w:t>O Centro de Estudos de Gemas e Joias da UEMG tem desenvolvido pesquisas que configuram excelentes exemplos de descontinuidades na cadeia de gemas e joias. Um destes casos, “Itaporarte”, objeto de diversos artigos, dissertações, teses e até um livro organizado pela Dra Raquel Canaan, que relata a experiência nos estudos desenvolvidos no Vale do Jequitinhonha (MG). A comunidade em questão, uma das mais pobres e referência de qualidade de vida precária no referido estado, também é referência na exportação de pedras preciosas, símbolo de riqueza e status. Através do referido projeto, a comunidade local foi capacitada a produzir e comercializar jóias, bijuterias e artesanato a partir do que antes era considerado rejeito da mineração (CANAAN, 2020). Compondo um forte exemplo de Sistema Produto-Serviço</w:t>
      </w:r>
      <w:r w:rsidR="00AA282A">
        <w:rPr>
          <w:szCs w:val="24"/>
          <w:lang w:val="pt-BR"/>
        </w:rPr>
        <w:t xml:space="preserve"> </w:t>
      </w:r>
      <w:r w:rsidRPr="00364E12">
        <w:rPr>
          <w:szCs w:val="24"/>
          <w:lang w:val="pt-BR"/>
        </w:rPr>
        <w:t>(PSS), o projeto consegue atender aos três pilares da sustentabilidade, ilustrados por CANAAN (2012) na prirâmide de sustentabilidade a seguir:</w:t>
      </w:r>
    </w:p>
    <w:p w14:paraId="2A72FB5D" w14:textId="1D34FD91" w:rsidR="00364E12" w:rsidRDefault="002702AC" w:rsidP="00AA282A">
      <w:pPr>
        <w:spacing w:after="120"/>
        <w:ind w:firstLine="284"/>
        <w:rPr>
          <w:szCs w:val="24"/>
          <w:lang w:val="pt-BR"/>
        </w:rPr>
      </w:pPr>
      <w:r>
        <w:rPr>
          <w:noProof/>
        </w:rPr>
        <w:lastRenderedPageBreak/>
        <mc:AlternateContent>
          <mc:Choice Requires="wps">
            <w:drawing>
              <wp:anchor distT="0" distB="0" distL="114300" distR="114300" simplePos="0" relativeHeight="251649536" behindDoc="0" locked="0" layoutInCell="1" allowOverlap="1" wp14:anchorId="08F4B437" wp14:editId="14F07593">
                <wp:simplePos x="0" y="0"/>
                <wp:positionH relativeFrom="margin">
                  <wp:align>center</wp:align>
                </wp:positionH>
                <wp:positionV relativeFrom="paragraph">
                  <wp:posOffset>1267460</wp:posOffset>
                </wp:positionV>
                <wp:extent cx="4181475" cy="200025"/>
                <wp:effectExtent l="0" t="0" r="9525" b="9525"/>
                <wp:wrapTopAndBottom/>
                <wp:docPr id="11" name="Caixa de Texto 11"/>
                <wp:cNvGraphicFramePr/>
                <a:graphic xmlns:a="http://schemas.openxmlformats.org/drawingml/2006/main">
                  <a:graphicData uri="http://schemas.microsoft.com/office/word/2010/wordprocessingShape">
                    <wps:wsp>
                      <wps:cNvSpPr txBox="1"/>
                      <wps:spPr>
                        <a:xfrm>
                          <a:off x="0" y="0"/>
                          <a:ext cx="4181475" cy="200025"/>
                        </a:xfrm>
                        <a:prstGeom prst="rect">
                          <a:avLst/>
                        </a:prstGeom>
                        <a:solidFill>
                          <a:prstClr val="white"/>
                        </a:solidFill>
                        <a:ln>
                          <a:noFill/>
                        </a:ln>
                      </wps:spPr>
                      <wps:txbx>
                        <w:txbxContent>
                          <w:p w14:paraId="7F18B851" w14:textId="4FEC4E1A" w:rsidR="00403A78" w:rsidRPr="00AA282A" w:rsidRDefault="00403A78" w:rsidP="00AA282A">
                            <w:pPr>
                              <w:pStyle w:val="Fontes"/>
                              <w:jc w:val="center"/>
                              <w:rPr>
                                <w:rFonts w:ascii="Times New Roman" w:hAnsi="Times New Roman" w:cs="Times New Roman"/>
                                <w:b/>
                                <w:bCs/>
                                <w:sz w:val="20"/>
                                <w:szCs w:val="20"/>
                              </w:rPr>
                            </w:pPr>
                            <w:r w:rsidRPr="00AA282A">
                              <w:rPr>
                                <w:rFonts w:ascii="Times New Roman" w:hAnsi="Times New Roman" w:cs="Times New Roman"/>
                                <w:b/>
                                <w:bCs/>
                                <w:sz w:val="20"/>
                                <w:szCs w:val="20"/>
                              </w:rPr>
                              <w:t xml:space="preserve">Figura </w:t>
                            </w:r>
                            <w:r w:rsidRPr="00AA282A">
                              <w:rPr>
                                <w:rFonts w:ascii="Times New Roman" w:hAnsi="Times New Roman" w:cs="Times New Roman"/>
                                <w:b/>
                                <w:bCs/>
                                <w:sz w:val="20"/>
                                <w:szCs w:val="20"/>
                              </w:rPr>
                              <w:fldChar w:fldCharType="begin"/>
                            </w:r>
                            <w:r w:rsidRPr="00AA282A">
                              <w:rPr>
                                <w:rFonts w:ascii="Times New Roman" w:hAnsi="Times New Roman" w:cs="Times New Roman"/>
                                <w:b/>
                                <w:bCs/>
                                <w:sz w:val="20"/>
                                <w:szCs w:val="20"/>
                              </w:rPr>
                              <w:instrText xml:space="preserve"> SEQ Figura \* ARABIC </w:instrText>
                            </w:r>
                            <w:r w:rsidRPr="00AA282A">
                              <w:rPr>
                                <w:rFonts w:ascii="Times New Roman" w:hAnsi="Times New Roman" w:cs="Times New Roman"/>
                                <w:b/>
                                <w:bCs/>
                                <w:sz w:val="20"/>
                                <w:szCs w:val="20"/>
                              </w:rPr>
                              <w:fldChar w:fldCharType="separate"/>
                            </w:r>
                            <w:r w:rsidR="002702AC">
                              <w:rPr>
                                <w:rFonts w:ascii="Times New Roman" w:hAnsi="Times New Roman" w:cs="Times New Roman"/>
                                <w:b/>
                                <w:bCs/>
                                <w:noProof/>
                                <w:sz w:val="20"/>
                                <w:szCs w:val="20"/>
                              </w:rPr>
                              <w:t>5</w:t>
                            </w:r>
                            <w:r w:rsidRPr="00AA282A">
                              <w:rPr>
                                <w:rFonts w:ascii="Times New Roman" w:hAnsi="Times New Roman" w:cs="Times New Roman"/>
                                <w:b/>
                                <w:bCs/>
                                <w:sz w:val="20"/>
                                <w:szCs w:val="20"/>
                              </w:rPr>
                              <w:fldChar w:fldCharType="end"/>
                            </w:r>
                            <w:r w:rsidRPr="00AA282A">
                              <w:rPr>
                                <w:rFonts w:ascii="Times New Roman" w:hAnsi="Times New Roman" w:cs="Times New Roman"/>
                                <w:b/>
                                <w:bCs/>
                                <w:sz w:val="20"/>
                                <w:szCs w:val="20"/>
                              </w:rPr>
                              <w:t>: Pirâmide da Sustentabilidade. Fonte: Raquel Canaan (2020)</w:t>
                            </w:r>
                            <w:r>
                              <w:rPr>
                                <w:rFonts w:ascii="Times New Roman" w:hAnsi="Times New Roman" w:cs="Times New Roman"/>
                                <w:b/>
                                <w:bCs/>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4B437" id="Caixa de Texto 11" o:spid="_x0000_s1027" type="#_x0000_t202" style="position:absolute;left:0;text-align:left;margin-left:0;margin-top:99.8pt;width:329.25pt;height:15.75pt;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" stroked="f">
                <v:textbox inset="0,0,0,0">
                  <w:txbxContent>
                    <w:p w14:paraId="7F18B851" w14:textId="4FEC4E1A" w:rsidR="00403A78" w:rsidRPr="00AA282A" w:rsidRDefault="00403A78" w:rsidP="00AA282A">
                      <w:pPr>
                        <w:pStyle w:val="Fontes"/>
                        <w:jc w:val="center"/>
                        <w:rPr>
                          <w:rFonts w:ascii="Times New Roman" w:hAnsi="Times New Roman" w:cs="Times New Roman"/>
                          <w:b/>
                          <w:bCs/>
                          <w:sz w:val="20"/>
                          <w:szCs w:val="20"/>
                        </w:rPr>
                      </w:pPr>
                      <w:r w:rsidRPr="00AA282A">
                        <w:rPr>
                          <w:rFonts w:ascii="Times New Roman" w:hAnsi="Times New Roman" w:cs="Times New Roman"/>
                          <w:b/>
                          <w:bCs/>
                          <w:sz w:val="20"/>
                          <w:szCs w:val="20"/>
                        </w:rPr>
                        <w:t xml:space="preserve">Figura </w:t>
                      </w:r>
                      <w:r w:rsidRPr="00AA282A">
                        <w:rPr>
                          <w:rFonts w:ascii="Times New Roman" w:hAnsi="Times New Roman" w:cs="Times New Roman"/>
                          <w:b/>
                          <w:bCs/>
                          <w:sz w:val="20"/>
                          <w:szCs w:val="20"/>
                        </w:rPr>
                        <w:fldChar w:fldCharType="begin"/>
                      </w:r>
                      <w:r w:rsidRPr="00AA282A">
                        <w:rPr>
                          <w:rFonts w:ascii="Times New Roman" w:hAnsi="Times New Roman" w:cs="Times New Roman"/>
                          <w:b/>
                          <w:bCs/>
                          <w:sz w:val="20"/>
                          <w:szCs w:val="20"/>
                        </w:rPr>
                        <w:instrText xml:space="preserve"> SEQ Figura \* ARABIC </w:instrText>
                      </w:r>
                      <w:r w:rsidRPr="00AA282A">
                        <w:rPr>
                          <w:rFonts w:ascii="Times New Roman" w:hAnsi="Times New Roman" w:cs="Times New Roman"/>
                          <w:b/>
                          <w:bCs/>
                          <w:sz w:val="20"/>
                          <w:szCs w:val="20"/>
                        </w:rPr>
                        <w:fldChar w:fldCharType="separate"/>
                      </w:r>
                      <w:r w:rsidR="002702AC">
                        <w:rPr>
                          <w:rFonts w:ascii="Times New Roman" w:hAnsi="Times New Roman" w:cs="Times New Roman"/>
                          <w:b/>
                          <w:bCs/>
                          <w:noProof/>
                          <w:sz w:val="20"/>
                          <w:szCs w:val="20"/>
                        </w:rPr>
                        <w:t>5</w:t>
                      </w:r>
                      <w:r w:rsidRPr="00AA282A">
                        <w:rPr>
                          <w:rFonts w:ascii="Times New Roman" w:hAnsi="Times New Roman" w:cs="Times New Roman"/>
                          <w:b/>
                          <w:bCs/>
                          <w:sz w:val="20"/>
                          <w:szCs w:val="20"/>
                        </w:rPr>
                        <w:fldChar w:fldCharType="end"/>
                      </w:r>
                      <w:r w:rsidRPr="00AA282A">
                        <w:rPr>
                          <w:rFonts w:ascii="Times New Roman" w:hAnsi="Times New Roman" w:cs="Times New Roman"/>
                          <w:b/>
                          <w:bCs/>
                          <w:sz w:val="20"/>
                          <w:szCs w:val="20"/>
                        </w:rPr>
                        <w:t>: Pirâmide da Sustentabilidade. Fonte: Raquel Canaan (2020)</w:t>
                      </w:r>
                      <w:r>
                        <w:rPr>
                          <w:rFonts w:ascii="Times New Roman" w:hAnsi="Times New Roman" w:cs="Times New Roman"/>
                          <w:b/>
                          <w:bCs/>
                          <w:sz w:val="20"/>
                          <w:szCs w:val="20"/>
                        </w:rPr>
                        <w:t>.</w:t>
                      </w:r>
                    </w:p>
                  </w:txbxContent>
                </v:textbox>
                <w10:wrap type="topAndBottom" anchorx="margin"/>
              </v:shape>
            </w:pict>
          </mc:Fallback>
        </mc:AlternateContent>
      </w:r>
      <w:r w:rsidR="009D5AF2" w:rsidRPr="003579E9">
        <w:rPr>
          <w:noProof/>
        </w:rPr>
        <w:drawing>
          <wp:anchor distT="0" distB="0" distL="114300" distR="114300" simplePos="0" relativeHeight="251648512" behindDoc="0" locked="0" layoutInCell="1" allowOverlap="1" wp14:anchorId="5D2170E7" wp14:editId="32595E1A">
            <wp:simplePos x="0" y="0"/>
            <wp:positionH relativeFrom="margin">
              <wp:posOffset>1451610</wp:posOffset>
            </wp:positionH>
            <wp:positionV relativeFrom="margin">
              <wp:posOffset>-114300</wp:posOffset>
            </wp:positionV>
            <wp:extent cx="2499381" cy="1440000"/>
            <wp:effectExtent l="0" t="0" r="0" b="8255"/>
            <wp:wrapTopAndBottom/>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9381"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64E12" w:rsidRPr="00364E12">
        <w:rPr>
          <w:szCs w:val="24"/>
          <w:lang w:val="pt-BR"/>
        </w:rPr>
        <w:t>Outro exemplo de reaproveitamento da mineração que merece destaque, acontece no já citado Polo Joalheiro do Pará. Trazida pela instrutora Lídia Hiroko Yugue, em 1999, através do Programa de Desenvolvimento do Setor de Gemas e Metais Preciosos, mesmo programa de incentivo ao desenvolvimento de joias paraenses com identidade local já citado anteriormente, a técnica popularizada por “incrustação paraense”, “incrustação a frio” ou “mosaico de pó de pedra”, assemelha-se à técnica milenar “inlay” atribuída aos Persas, e consiste, conforme propõe o nome que a popularizou, no desenvolvimento de imagens ou pigmentação de peças a partir de pó ou pedaços de pedras (que na maioria das vezes seriam destinadas ao descarte). A medida que se difundiu, a técnica ganhou novos experimentos e o incremento de possibilidades de materiais em sua execução: “qualquer material que não perca a cor após ser triturado”, afirma Joelson Leão (MEIRELLES et al, 2011), pode ser utilizado na incrustação paraense, agregando assim em suas peças a aplicação de materiais como a argila, madrepérola, carvão vegetal, sementes, caroços e até casca de ovo. No quesito de vantagens ambientais da técnica, podemos observar a agregação de materiais de descarte, bem como a substituição da técnica de esmaltação para pigmentar na joalheria, também a partir de materiais de origem orgânica e menor impacto.</w:t>
      </w:r>
    </w:p>
    <w:p w14:paraId="1A8E73D1" w14:textId="3F31D1C0" w:rsidR="00575335" w:rsidRPr="0049479C" w:rsidRDefault="009E66BC" w:rsidP="00575335">
      <w:pPr>
        <w:pStyle w:val="Subttulo"/>
        <w:rPr>
          <w:rFonts w:ascii="Times New Roman" w:hAnsi="Times New Roman"/>
        </w:rPr>
      </w:pPr>
      <w:r>
        <w:rPr>
          <w:rFonts w:ascii="Times New Roman" w:hAnsi="Times New Roman"/>
        </w:rPr>
        <w:t>Reaproveitamento de resíduos sólidos urbanos</w:t>
      </w:r>
    </w:p>
    <w:p w14:paraId="34AB2FD6" w14:textId="31F3F5CA" w:rsidR="009E66BC" w:rsidRDefault="009E66BC" w:rsidP="009B2EF9">
      <w:pPr>
        <w:ind w:firstLine="284"/>
        <w:rPr>
          <w:szCs w:val="24"/>
          <w:lang w:val="pt-BR"/>
        </w:rPr>
      </w:pPr>
      <w:r w:rsidRPr="009E66BC">
        <w:rPr>
          <w:szCs w:val="24"/>
          <w:lang w:val="pt-BR"/>
        </w:rPr>
        <w:t>Uma alternativa para a diminuição dos impactos da mineração, é a reutilização dos metais já retirados do ambiente, que muitas vezes se amontoam em destinos impróprios. Uma das maiores dificuldades encontradas por quem trabalha com reciclagem é a separação correta dos materiais visto que apesar de no Brasil haver políticas e leis que regulamentem os resíduos sólidos, elas perpassam responsabilidades empresariais, governamentais e sociais, o que torna sua aplicabilidade bastante complexa, conforme expresso por Cintra e Cidade (2020).</w:t>
      </w:r>
    </w:p>
    <w:p w14:paraId="672199AF" w14:textId="77777777" w:rsidR="002702AC" w:rsidRDefault="009E66BC" w:rsidP="009B2EF9">
      <w:pPr>
        <w:ind w:firstLine="284"/>
        <w:rPr>
          <w:szCs w:val="24"/>
          <w:lang w:val="pt-BR"/>
        </w:rPr>
      </w:pPr>
      <w:r w:rsidRPr="009E66BC">
        <w:rPr>
          <w:szCs w:val="24"/>
          <w:lang w:val="pt-BR"/>
        </w:rPr>
        <w:t>Apesar das dificuldades supracitadas, não é incomum encontrar casos que relatam experiências com reciclagem na joalheria, seja na literatura ou em redes sociais oficiais de empresas. Como exemplo do uso de materiais reciclados, Cintra e Cidade (2020) chegam a citar a designer Valéria Sá, pela utilização de vidro reciclado e prata extraída de raios X em suas peças. Nas rede</w:t>
      </w:r>
      <w:r>
        <w:rPr>
          <w:szCs w:val="24"/>
          <w:lang w:val="pt-BR"/>
        </w:rPr>
        <w:t xml:space="preserve">s sociais da marca pernambucana </w:t>
      </w:r>
      <w:r w:rsidRPr="009E66BC">
        <w:rPr>
          <w:szCs w:val="24"/>
          <w:lang w:val="pt-BR"/>
        </w:rPr>
        <w:t>Lunar Joias, eles informam usar matéria prima oriunda do que chamam de “garimpo urbano”, que seria um conjunto de práticas sustentáveis para a captação de sua matéria prima a partir dos metais que já foram extraídos da natureza. Isso se dá através da reciclagem de materiais eletrônicos, da compra dos resíduos de outros ourives para purificação e reuso, além da compra ou negociação de jóias em desuso dos próprios clientes para composição de novas peças. Esta última prática costuma ser comum entre os ourives, tendo em vista a alta capacidade de reciclagem e reuso dos metais nobres</w:t>
      </w:r>
      <w:r>
        <w:rPr>
          <w:szCs w:val="24"/>
          <w:lang w:val="pt-BR"/>
        </w:rPr>
        <w:t>.</w:t>
      </w:r>
    </w:p>
    <w:p w14:paraId="66E03D75" w14:textId="63A5B51A" w:rsidR="009E66BC" w:rsidRDefault="002702AC" w:rsidP="009B2EF9">
      <w:pPr>
        <w:ind w:firstLine="284"/>
        <w:rPr>
          <w:szCs w:val="24"/>
          <w:lang w:val="pt-BR"/>
        </w:rPr>
      </w:pPr>
      <w:r>
        <w:rPr>
          <w:noProof/>
        </w:rPr>
        <w:lastRenderedPageBreak/>
        <mc:AlternateContent>
          <mc:Choice Requires="wps">
            <w:drawing>
              <wp:anchor distT="0" distB="0" distL="114300" distR="114300" simplePos="0" relativeHeight="251665920" behindDoc="0" locked="0" layoutInCell="1" allowOverlap="1" wp14:anchorId="1EBAB875" wp14:editId="7A7CBA32">
                <wp:simplePos x="0" y="0"/>
                <wp:positionH relativeFrom="page">
                  <wp:align>center</wp:align>
                </wp:positionH>
                <wp:positionV relativeFrom="paragraph">
                  <wp:posOffset>2735580</wp:posOffset>
                </wp:positionV>
                <wp:extent cx="5549265" cy="152400"/>
                <wp:effectExtent l="0" t="0" r="0" b="0"/>
                <wp:wrapSquare wrapText="bothSides"/>
                <wp:docPr id="13" name="Caixa de Texto 13"/>
                <wp:cNvGraphicFramePr/>
                <a:graphic xmlns:a="http://schemas.openxmlformats.org/drawingml/2006/main">
                  <a:graphicData uri="http://schemas.microsoft.com/office/word/2010/wordprocessingShape">
                    <wps:wsp>
                      <wps:cNvSpPr txBox="1"/>
                      <wps:spPr>
                        <a:xfrm>
                          <a:off x="0" y="0"/>
                          <a:ext cx="5549265" cy="152400"/>
                        </a:xfrm>
                        <a:prstGeom prst="rect">
                          <a:avLst/>
                        </a:prstGeom>
                        <a:solidFill>
                          <a:prstClr val="white"/>
                        </a:solidFill>
                        <a:ln>
                          <a:noFill/>
                        </a:ln>
                      </wps:spPr>
                      <wps:txbx>
                        <w:txbxContent>
                          <w:p w14:paraId="0C52C01E" w14:textId="6E538256" w:rsidR="00081A8E" w:rsidRPr="00F60DEB" w:rsidRDefault="00081A8E" w:rsidP="00081A8E">
                            <w:pPr>
                              <w:pStyle w:val="Legenda"/>
                              <w:jc w:val="center"/>
                              <w:rPr>
                                <w:noProof/>
                                <w:color w:val="auto"/>
                                <w:sz w:val="20"/>
                                <w:szCs w:val="20"/>
                              </w:rPr>
                            </w:pPr>
                            <w:r w:rsidRPr="00F60DEB">
                              <w:rPr>
                                <w:color w:val="auto"/>
                                <w:sz w:val="20"/>
                                <w:szCs w:val="20"/>
                              </w:rPr>
                              <w:t xml:space="preserve">Figura </w:t>
                            </w:r>
                            <w:r w:rsidRPr="00F60DEB">
                              <w:rPr>
                                <w:color w:val="auto"/>
                                <w:sz w:val="20"/>
                                <w:szCs w:val="20"/>
                              </w:rPr>
                              <w:fldChar w:fldCharType="begin"/>
                            </w:r>
                            <w:r w:rsidRPr="00F60DEB">
                              <w:rPr>
                                <w:color w:val="auto"/>
                                <w:sz w:val="20"/>
                                <w:szCs w:val="20"/>
                              </w:rPr>
                              <w:instrText xml:space="preserve"> SEQ Figura \* ARABIC </w:instrText>
                            </w:r>
                            <w:r w:rsidRPr="00F60DEB">
                              <w:rPr>
                                <w:color w:val="auto"/>
                                <w:sz w:val="20"/>
                                <w:szCs w:val="20"/>
                              </w:rPr>
                              <w:fldChar w:fldCharType="separate"/>
                            </w:r>
                            <w:r w:rsidR="002702AC">
                              <w:rPr>
                                <w:noProof/>
                                <w:color w:val="auto"/>
                                <w:sz w:val="20"/>
                                <w:szCs w:val="20"/>
                              </w:rPr>
                              <w:t>6</w:t>
                            </w:r>
                            <w:r w:rsidRPr="00F60DEB">
                              <w:rPr>
                                <w:color w:val="auto"/>
                                <w:sz w:val="20"/>
                                <w:szCs w:val="20"/>
                              </w:rPr>
                              <w:fldChar w:fldCharType="end"/>
                            </w:r>
                            <w:r w:rsidRPr="00F60DEB">
                              <w:rPr>
                                <w:color w:val="auto"/>
                                <w:sz w:val="20"/>
                                <w:szCs w:val="20"/>
                              </w:rPr>
                              <w:t>: Joias em borracha. Fonte: site da marca Design Tun</w:t>
                            </w:r>
                            <w:r w:rsidRPr="00F60DEB">
                              <w:rPr>
                                <w:noProof/>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BAB875" id="Caixa de Texto 13" o:spid="_x0000_s1028" type="#_x0000_t202" style="position:absolute;left:0;text-align:left;margin-left:0;margin-top:215.4pt;width:436.95pt;height:12pt;z-index:251665920;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" stroked="f">
                <v:textbox inset="0,0,0,0">
                  <w:txbxContent>
                    <w:p w14:paraId="0C52C01E" w14:textId="6E538256" w:rsidR="00081A8E" w:rsidRPr="00F60DEB" w:rsidRDefault="00081A8E" w:rsidP="00081A8E">
                      <w:pPr>
                        <w:pStyle w:val="Legenda"/>
                        <w:jc w:val="center"/>
                        <w:rPr>
                          <w:noProof/>
                          <w:color w:val="auto"/>
                          <w:sz w:val="20"/>
                          <w:szCs w:val="20"/>
                        </w:rPr>
                      </w:pPr>
                      <w:r w:rsidRPr="00F60DEB">
                        <w:rPr>
                          <w:color w:val="auto"/>
                          <w:sz w:val="20"/>
                          <w:szCs w:val="20"/>
                        </w:rPr>
                        <w:t xml:space="preserve">Figura </w:t>
                      </w:r>
                      <w:r w:rsidRPr="00F60DEB">
                        <w:rPr>
                          <w:color w:val="auto"/>
                          <w:sz w:val="20"/>
                          <w:szCs w:val="20"/>
                        </w:rPr>
                        <w:fldChar w:fldCharType="begin"/>
                      </w:r>
                      <w:r w:rsidRPr="00F60DEB">
                        <w:rPr>
                          <w:color w:val="auto"/>
                          <w:sz w:val="20"/>
                          <w:szCs w:val="20"/>
                        </w:rPr>
                        <w:instrText xml:space="preserve"> SEQ Figura \* ARABIC </w:instrText>
                      </w:r>
                      <w:r w:rsidRPr="00F60DEB">
                        <w:rPr>
                          <w:color w:val="auto"/>
                          <w:sz w:val="20"/>
                          <w:szCs w:val="20"/>
                        </w:rPr>
                        <w:fldChar w:fldCharType="separate"/>
                      </w:r>
                      <w:r w:rsidR="002702AC">
                        <w:rPr>
                          <w:noProof/>
                          <w:color w:val="auto"/>
                          <w:sz w:val="20"/>
                          <w:szCs w:val="20"/>
                        </w:rPr>
                        <w:t>6</w:t>
                      </w:r>
                      <w:r w:rsidRPr="00F60DEB">
                        <w:rPr>
                          <w:color w:val="auto"/>
                          <w:sz w:val="20"/>
                          <w:szCs w:val="20"/>
                        </w:rPr>
                        <w:fldChar w:fldCharType="end"/>
                      </w:r>
                      <w:r w:rsidRPr="00F60DEB">
                        <w:rPr>
                          <w:color w:val="auto"/>
                          <w:sz w:val="20"/>
                          <w:szCs w:val="20"/>
                        </w:rPr>
                        <w:t>: Joias em borracha. Fonte: site da marca Design Tun</w:t>
                      </w:r>
                      <w:r w:rsidRPr="00F60DEB">
                        <w:rPr>
                          <w:noProof/>
                          <w:color w:val="auto"/>
                          <w:sz w:val="20"/>
                          <w:szCs w:val="20"/>
                        </w:rPr>
                        <w:t>.</w:t>
                      </w:r>
                    </w:p>
                  </w:txbxContent>
                </v:textbox>
                <w10:wrap type="square" anchorx="page"/>
              </v:shape>
            </w:pict>
          </mc:Fallback>
        </mc:AlternateContent>
      </w:r>
      <w:r>
        <w:rPr>
          <w:noProof/>
          <w:szCs w:val="24"/>
          <w:lang w:val="pt-BR"/>
        </w:rPr>
        <w:drawing>
          <wp:anchor distT="0" distB="0" distL="114300" distR="114300" simplePos="0" relativeHeight="251658752" behindDoc="0" locked="0" layoutInCell="1" allowOverlap="1" wp14:anchorId="0E8F943D" wp14:editId="4A808ACE">
            <wp:simplePos x="0" y="0"/>
            <wp:positionH relativeFrom="page">
              <wp:align>center</wp:align>
            </wp:positionH>
            <wp:positionV relativeFrom="paragraph">
              <wp:posOffset>1296035</wp:posOffset>
            </wp:positionV>
            <wp:extent cx="3699632" cy="1440000"/>
            <wp:effectExtent l="0" t="0" r="0" b="8255"/>
            <wp:wrapTopAndBottom/>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pic:nvPicPr>
                  <pic:blipFill>
                    <a:blip r:embed="rId13"/>
                    <a:stretch>
                      <a:fillRect/>
                    </a:stretch>
                  </pic:blipFill>
                  <pic:spPr>
                    <a:xfrm>
                      <a:off x="0" y="0"/>
                      <a:ext cx="3699632" cy="1440000"/>
                    </a:xfrm>
                    <a:prstGeom prst="rect">
                      <a:avLst/>
                    </a:prstGeom>
                  </pic:spPr>
                </pic:pic>
              </a:graphicData>
            </a:graphic>
            <wp14:sizeRelH relativeFrom="page">
              <wp14:pctWidth>0</wp14:pctWidth>
            </wp14:sizeRelH>
            <wp14:sizeRelV relativeFrom="page">
              <wp14:pctHeight>0</wp14:pctHeight>
            </wp14:sizeRelV>
          </wp:anchor>
        </w:drawing>
      </w:r>
      <w:r w:rsidR="009E66BC" w:rsidRPr="009E66BC">
        <w:rPr>
          <w:szCs w:val="24"/>
          <w:lang w:val="pt-BR"/>
        </w:rPr>
        <w:t>Para além dos metais, tanto nas redes sociais quanto no site oficial da marca, a Design Tun, criada pelos artistas plásticos Lia Macarenhas Menna Barreto e Mauro Fuke desenvolvem joias</w:t>
      </w:r>
      <w:r w:rsidR="00081A8E">
        <w:rPr>
          <w:szCs w:val="24"/>
          <w:lang w:val="pt-BR"/>
        </w:rPr>
        <w:t xml:space="preserve"> </w:t>
      </w:r>
      <w:r w:rsidR="00081A8E" w:rsidRPr="009E66BC">
        <w:rPr>
          <w:szCs w:val="24"/>
          <w:lang w:val="pt-BR"/>
        </w:rPr>
        <w:t>(</w:t>
      </w:r>
      <w:r w:rsidR="00081A8E">
        <w:rPr>
          <w:szCs w:val="24"/>
          <w:lang w:val="pt-BR"/>
        </w:rPr>
        <w:t>figura 6</w:t>
      </w:r>
      <w:r w:rsidR="00081A8E" w:rsidRPr="009E66BC">
        <w:rPr>
          <w:szCs w:val="24"/>
          <w:lang w:val="pt-BR"/>
        </w:rPr>
        <w:t>)</w:t>
      </w:r>
      <w:r w:rsidR="009E66BC" w:rsidRPr="009E66BC">
        <w:rPr>
          <w:szCs w:val="24"/>
          <w:lang w:val="pt-BR"/>
        </w:rPr>
        <w:t xml:space="preserve"> a partir de borracha sintética, reciclada e natural, 100% reutilizável, sendo transformado em pisos, correias e pavimentação (https://designtun.com.br/tun-saiba-mais, acesso em 15/09/22). Outra marca que apresenta um trabalho semelhante, utilizando câmaras de ar de pneus descar</w:t>
      </w:r>
      <w:r w:rsidR="009E66BC">
        <w:rPr>
          <w:szCs w:val="24"/>
          <w:lang w:val="pt-BR"/>
        </w:rPr>
        <w:t xml:space="preserve">tados é a Divina Eco, da artesã </w:t>
      </w:r>
      <w:r w:rsidR="009E66BC" w:rsidRPr="009E66BC">
        <w:rPr>
          <w:szCs w:val="24"/>
          <w:lang w:val="pt-BR"/>
        </w:rPr>
        <w:t>Andreia Corbes (https://divinaecodesign.com.br/pages/perguntas-frequentes, acesso em 15/09/22)</w:t>
      </w:r>
      <w:r w:rsidR="009E66BC">
        <w:rPr>
          <w:szCs w:val="24"/>
          <w:lang w:val="pt-BR"/>
        </w:rPr>
        <w:t>.</w:t>
      </w:r>
    </w:p>
    <w:p w14:paraId="0E3DFF24" w14:textId="01897D89" w:rsidR="009E66BC" w:rsidRDefault="002702AC" w:rsidP="009B2EF9">
      <w:pPr>
        <w:ind w:firstLine="284"/>
        <w:rPr>
          <w:szCs w:val="24"/>
          <w:lang w:val="pt-BR"/>
        </w:rPr>
      </w:pPr>
      <w:r>
        <w:rPr>
          <w:noProof/>
          <w:szCs w:val="24"/>
          <w:lang w:val="pt-BR"/>
        </w:rPr>
        <w:drawing>
          <wp:anchor distT="0" distB="0" distL="114300" distR="114300" simplePos="0" relativeHeight="251678208" behindDoc="0" locked="0" layoutInCell="1" allowOverlap="1" wp14:anchorId="6B72F93F" wp14:editId="2110FE20">
            <wp:simplePos x="0" y="0"/>
            <wp:positionH relativeFrom="page">
              <wp:align>center</wp:align>
            </wp:positionH>
            <wp:positionV relativeFrom="paragraph">
              <wp:posOffset>2555240</wp:posOffset>
            </wp:positionV>
            <wp:extent cx="4491039" cy="1440000"/>
            <wp:effectExtent l="0" t="0" r="5080" b="8255"/>
            <wp:wrapTopAndBottom/>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pic:cNvPicPr/>
                  </pic:nvPicPr>
                  <pic:blipFill>
                    <a:blip r:embed="rId14"/>
                    <a:stretch>
                      <a:fillRect/>
                    </a:stretch>
                  </pic:blipFill>
                  <pic:spPr>
                    <a:xfrm>
                      <a:off x="0" y="0"/>
                      <a:ext cx="4491039" cy="1440000"/>
                    </a:xfrm>
                    <a:prstGeom prst="rect">
                      <a:avLst/>
                    </a:prstGeom>
                  </pic:spPr>
                </pic:pic>
              </a:graphicData>
            </a:graphic>
            <wp14:sizeRelH relativeFrom="page">
              <wp14:pctWidth>0</wp14:pctWidth>
            </wp14:sizeRelH>
            <wp14:sizeRelV relativeFrom="page">
              <wp14:pctHeight>0</wp14:pctHeight>
            </wp14:sizeRelV>
          </wp:anchor>
        </w:drawing>
      </w:r>
      <w:r w:rsidR="009E66BC" w:rsidRPr="009E66BC">
        <w:rPr>
          <w:szCs w:val="24"/>
          <w:lang w:val="pt-BR"/>
        </w:rPr>
        <w:t>Outras experiências notáveis envolvendo resíduos sólidos foram os trabalhos desenvolvidos em Santa Maria (RS), com a participação da Dra. Mariana Khul Cidade, ambos envolvendo polímeros. No primeiro, descrito por Moreno e Cidade (2019), após levantamento dos meios de descarte e coleta dos resíduos secos do município, foi proposta uma coleção de joias a partir do reaproveitamento de resíduos de poliestireno expandido (EPS).</w:t>
      </w:r>
    </w:p>
    <w:p w14:paraId="27CBA850" w14:textId="6A572371" w:rsidR="002F3D6B" w:rsidRPr="002F3D6B" w:rsidRDefault="002F3D6B" w:rsidP="002F3D6B">
      <w:pPr>
        <w:pStyle w:val="Legenda"/>
        <w:jc w:val="center"/>
        <w:rPr>
          <w:color w:val="auto"/>
          <w:sz w:val="20"/>
          <w:szCs w:val="20"/>
          <w:lang w:val="pt-BR"/>
        </w:rPr>
      </w:pPr>
      <w:r w:rsidRPr="002F3D6B">
        <w:rPr>
          <w:color w:val="auto"/>
          <w:sz w:val="20"/>
          <w:szCs w:val="20"/>
        </w:rPr>
        <w:t xml:space="preserve">Figura </w:t>
      </w:r>
      <w:r w:rsidRPr="002F3D6B">
        <w:rPr>
          <w:color w:val="auto"/>
          <w:sz w:val="20"/>
          <w:szCs w:val="20"/>
        </w:rPr>
        <w:fldChar w:fldCharType="begin"/>
      </w:r>
      <w:r w:rsidRPr="002F3D6B">
        <w:rPr>
          <w:color w:val="auto"/>
          <w:sz w:val="20"/>
          <w:szCs w:val="20"/>
        </w:rPr>
        <w:instrText xml:space="preserve"> SEQ Figura \* ARABIC </w:instrText>
      </w:r>
      <w:r w:rsidRPr="002F3D6B">
        <w:rPr>
          <w:color w:val="auto"/>
          <w:sz w:val="20"/>
          <w:szCs w:val="20"/>
        </w:rPr>
        <w:fldChar w:fldCharType="separate"/>
      </w:r>
      <w:r w:rsidR="002702AC">
        <w:rPr>
          <w:noProof/>
          <w:color w:val="auto"/>
          <w:sz w:val="20"/>
          <w:szCs w:val="20"/>
        </w:rPr>
        <w:t>7</w:t>
      </w:r>
      <w:r w:rsidRPr="002F3D6B">
        <w:rPr>
          <w:color w:val="auto"/>
          <w:sz w:val="20"/>
          <w:szCs w:val="20"/>
        </w:rPr>
        <w:fldChar w:fldCharType="end"/>
      </w:r>
      <w:r w:rsidRPr="002F3D6B">
        <w:rPr>
          <w:color w:val="auto"/>
          <w:sz w:val="20"/>
          <w:szCs w:val="20"/>
        </w:rPr>
        <w:t xml:space="preserve">: EPS Reciclado. Fonte: Moreno e Cidade </w:t>
      </w:r>
      <w:r w:rsidRPr="002F3D6B">
        <w:rPr>
          <w:color w:val="auto"/>
          <w:sz w:val="20"/>
          <w:szCs w:val="20"/>
          <w:lang w:val="pt-BR"/>
        </w:rPr>
        <w:t>(</w:t>
      </w:r>
      <w:r w:rsidRPr="002F3D6B">
        <w:rPr>
          <w:color w:val="auto"/>
          <w:sz w:val="20"/>
          <w:szCs w:val="20"/>
        </w:rPr>
        <w:t>2019), adaptado pelas autoras.</w:t>
      </w:r>
    </w:p>
    <w:p w14:paraId="128841D8" w14:textId="477AD3AD" w:rsidR="009E66BC" w:rsidRDefault="002702AC" w:rsidP="009B2EF9">
      <w:pPr>
        <w:ind w:firstLine="284"/>
        <w:rPr>
          <w:szCs w:val="24"/>
          <w:lang w:val="pt-BR"/>
        </w:rPr>
      </w:pPr>
      <w:r>
        <w:rPr>
          <w:noProof/>
        </w:rPr>
        <mc:AlternateContent>
          <mc:Choice Requires="wps">
            <w:drawing>
              <wp:anchor distT="0" distB="0" distL="114300" distR="114300" simplePos="0" relativeHeight="251685376" behindDoc="0" locked="0" layoutInCell="1" allowOverlap="1" wp14:anchorId="4E177AE0" wp14:editId="67D2A1E8">
                <wp:simplePos x="0" y="0"/>
                <wp:positionH relativeFrom="margin">
                  <wp:align>center</wp:align>
                </wp:positionH>
                <wp:positionV relativeFrom="paragraph">
                  <wp:posOffset>2196465</wp:posOffset>
                </wp:positionV>
                <wp:extent cx="5400675" cy="635"/>
                <wp:effectExtent l="0" t="0" r="9525" b="8255"/>
                <wp:wrapSquare wrapText="bothSides"/>
                <wp:docPr id="20" name="Caixa de Texto 20"/>
                <wp:cNvGraphicFramePr/>
                <a:graphic xmlns:a="http://schemas.openxmlformats.org/drawingml/2006/main">
                  <a:graphicData uri="http://schemas.microsoft.com/office/word/2010/wordprocessingShape">
                    <wps:wsp>
                      <wps:cNvSpPr txBox="1"/>
                      <wps:spPr>
                        <a:xfrm>
                          <a:off x="0" y="0"/>
                          <a:ext cx="5400675" cy="635"/>
                        </a:xfrm>
                        <a:prstGeom prst="rect">
                          <a:avLst/>
                        </a:prstGeom>
                        <a:solidFill>
                          <a:prstClr val="white"/>
                        </a:solidFill>
                        <a:ln>
                          <a:noFill/>
                        </a:ln>
                      </wps:spPr>
                      <wps:txbx>
                        <w:txbxContent>
                          <w:p w14:paraId="15665AC6" w14:textId="743E461C" w:rsidR="002702AC" w:rsidRPr="002702AC" w:rsidRDefault="002702AC" w:rsidP="002702AC">
                            <w:pPr>
                              <w:pStyle w:val="Legenda"/>
                              <w:jc w:val="center"/>
                              <w:rPr>
                                <w:noProof/>
                                <w:color w:val="auto"/>
                                <w:sz w:val="20"/>
                                <w:szCs w:val="20"/>
                              </w:rPr>
                            </w:pPr>
                            <w:r w:rsidRPr="002702AC">
                              <w:rPr>
                                <w:color w:val="auto"/>
                              </w:rPr>
                              <w:t xml:space="preserve">Figura </w:t>
                            </w:r>
                            <w:r w:rsidRPr="002702AC">
                              <w:rPr>
                                <w:color w:val="auto"/>
                              </w:rPr>
                              <w:fldChar w:fldCharType="begin"/>
                            </w:r>
                            <w:r w:rsidRPr="002702AC">
                              <w:rPr>
                                <w:color w:val="auto"/>
                              </w:rPr>
                              <w:instrText xml:space="preserve"> SEQ Figura \* ARABIC </w:instrText>
                            </w:r>
                            <w:r w:rsidRPr="002702AC">
                              <w:rPr>
                                <w:color w:val="auto"/>
                              </w:rPr>
                              <w:fldChar w:fldCharType="separate"/>
                            </w:r>
                            <w:r w:rsidRPr="002702AC">
                              <w:rPr>
                                <w:noProof/>
                                <w:color w:val="auto"/>
                              </w:rPr>
                              <w:t>8</w:t>
                            </w:r>
                            <w:r w:rsidRPr="002702AC">
                              <w:rPr>
                                <w:color w:val="auto"/>
                              </w:rPr>
                              <w:fldChar w:fldCharType="end"/>
                            </w:r>
                            <w:r w:rsidRPr="002702AC">
                              <w:rPr>
                                <w:color w:val="auto"/>
                              </w:rPr>
                              <w:t>: Processos de fabricação do pingente. Fonte: Viero e Cidade (2021), adaptado pelas autoras.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177AE0" id="Caixa de Texto 20" o:spid="_x0000_s1029" type="#_x0000_t202" style="position:absolute;left:0;text-align:left;margin-left:0;margin-top:172.95pt;width:425.25pt;height:.05pt;z-index:2516853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" stroked="f">
                <v:textbox style="mso-fit-shape-to-text:t" inset="0,0,0,0">
                  <w:txbxContent>
                    <w:p w14:paraId="15665AC6" w14:textId="743E461C" w:rsidR="002702AC" w:rsidRPr="002702AC" w:rsidRDefault="002702AC" w:rsidP="002702AC">
                      <w:pPr>
                        <w:pStyle w:val="Legenda"/>
                        <w:jc w:val="center"/>
                        <w:rPr>
                          <w:noProof/>
                          <w:color w:val="auto"/>
                          <w:sz w:val="20"/>
                          <w:szCs w:val="20"/>
                        </w:rPr>
                      </w:pPr>
                      <w:r w:rsidRPr="002702AC">
                        <w:rPr>
                          <w:color w:val="auto"/>
                        </w:rPr>
                        <w:t xml:space="preserve">Figura </w:t>
                      </w:r>
                      <w:r w:rsidRPr="002702AC">
                        <w:rPr>
                          <w:color w:val="auto"/>
                        </w:rPr>
                        <w:fldChar w:fldCharType="begin"/>
                      </w:r>
                      <w:r w:rsidRPr="002702AC">
                        <w:rPr>
                          <w:color w:val="auto"/>
                        </w:rPr>
                        <w:instrText xml:space="preserve"> SEQ Figura \* ARABIC </w:instrText>
                      </w:r>
                      <w:r w:rsidRPr="002702AC">
                        <w:rPr>
                          <w:color w:val="auto"/>
                        </w:rPr>
                        <w:fldChar w:fldCharType="separate"/>
                      </w:r>
                      <w:r w:rsidRPr="002702AC">
                        <w:rPr>
                          <w:noProof/>
                          <w:color w:val="auto"/>
                        </w:rPr>
                        <w:t>8</w:t>
                      </w:r>
                      <w:r w:rsidRPr="002702AC">
                        <w:rPr>
                          <w:color w:val="auto"/>
                        </w:rPr>
                        <w:fldChar w:fldCharType="end"/>
                      </w:r>
                      <w:r w:rsidRPr="002702AC">
                        <w:rPr>
                          <w:color w:val="auto"/>
                        </w:rPr>
                        <w:t>: Processos de fabricação do pingente. Fonte: Viero e Cidade (2021), adaptado pelas autoras.</w:t>
                      </w:r>
                    </w:p>
                  </w:txbxContent>
                </v:textbox>
                <w10:wrap type="square" anchorx="margin"/>
              </v:shape>
            </w:pict>
          </mc:Fallback>
        </mc:AlternateContent>
      </w:r>
      <w:r w:rsidR="00403A78" w:rsidRPr="00702438">
        <w:rPr>
          <w:b/>
          <w:bCs/>
          <w:noProof/>
          <w:szCs w:val="24"/>
          <w:lang w:val="pt-BR"/>
        </w:rPr>
        <w:drawing>
          <wp:anchor distT="0" distB="0" distL="114300" distR="114300" simplePos="0" relativeHeight="251668992" behindDoc="0" locked="0" layoutInCell="1" allowOverlap="1" wp14:anchorId="4F97BA13" wp14:editId="223212BE">
            <wp:simplePos x="0" y="0"/>
            <wp:positionH relativeFrom="margin">
              <wp:align>center</wp:align>
            </wp:positionH>
            <wp:positionV relativeFrom="paragraph">
              <wp:posOffset>1059815</wp:posOffset>
            </wp:positionV>
            <wp:extent cx="5401191" cy="1080000"/>
            <wp:effectExtent l="0" t="0" r="0" b="635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pic:cNvPicPr/>
                  </pic:nvPicPr>
                  <pic:blipFill>
                    <a:blip r:embed="rId15"/>
                    <a:stretch>
                      <a:fillRect/>
                    </a:stretch>
                  </pic:blipFill>
                  <pic:spPr>
                    <a:xfrm>
                      <a:off x="0" y="0"/>
                      <a:ext cx="5401191" cy="1080000"/>
                    </a:xfrm>
                    <a:prstGeom prst="rect">
                      <a:avLst/>
                    </a:prstGeom>
                  </pic:spPr>
                </pic:pic>
              </a:graphicData>
            </a:graphic>
            <wp14:sizeRelH relativeFrom="page">
              <wp14:pctWidth>0</wp14:pctWidth>
            </wp14:sizeRelH>
            <wp14:sizeRelV relativeFrom="page">
              <wp14:pctHeight>0</wp14:pctHeight>
            </wp14:sizeRelV>
          </wp:anchor>
        </w:drawing>
      </w:r>
      <w:r w:rsidR="009E66BC" w:rsidRPr="009E66BC">
        <w:rPr>
          <w:szCs w:val="24"/>
          <w:lang w:val="pt-BR"/>
        </w:rPr>
        <w:t>No trabalho seguinte, “foram selecionados  polímeros  dos  tipos  PET,  PEAD, PEBD e PP para a realização de testes” (VIERO; CIDADE, 2022). Os testes, que visavam a utilização de reciclagem de forma artesanal, delimitou-se a dois métodos: um a partir de um forno elétrico em ambiente fechado, outro a partir de calor localizado através de um ferro de passar roupas, seguindo com o desenvolvimento de uma peça de joalheria utilizando as técnicas empregadas no estudo.</w:t>
      </w:r>
    </w:p>
    <w:p w14:paraId="060E7B5B" w14:textId="78864F80" w:rsidR="009E66BC" w:rsidRDefault="002702AC" w:rsidP="009B2EF9">
      <w:pPr>
        <w:ind w:firstLine="284"/>
        <w:rPr>
          <w:szCs w:val="24"/>
          <w:lang w:val="pt-BR"/>
        </w:rPr>
      </w:pPr>
      <w:r>
        <w:rPr>
          <w:noProof/>
        </w:rPr>
        <w:lastRenderedPageBreak/>
        <mc:AlternateContent>
          <mc:Choice Requires="wps">
            <w:drawing>
              <wp:anchor distT="0" distB="0" distL="114300" distR="114300" simplePos="0" relativeHeight="251673088" behindDoc="0" locked="0" layoutInCell="1" allowOverlap="1" wp14:anchorId="66D56900" wp14:editId="53A4DEDB">
                <wp:simplePos x="0" y="0"/>
                <wp:positionH relativeFrom="margin">
                  <wp:align>right</wp:align>
                </wp:positionH>
                <wp:positionV relativeFrom="paragraph">
                  <wp:posOffset>2150745</wp:posOffset>
                </wp:positionV>
                <wp:extent cx="5760720" cy="314325"/>
                <wp:effectExtent l="0" t="0" r="0" b="9525"/>
                <wp:wrapTopAndBottom/>
                <wp:docPr id="18" name="Caixa de Texto 18"/>
                <wp:cNvGraphicFramePr/>
                <a:graphic xmlns:a="http://schemas.openxmlformats.org/drawingml/2006/main">
                  <a:graphicData uri="http://schemas.microsoft.com/office/word/2010/wordprocessingShape">
                    <wps:wsp>
                      <wps:cNvSpPr txBox="1"/>
                      <wps:spPr>
                        <a:xfrm>
                          <a:off x="0" y="0"/>
                          <a:ext cx="5760720" cy="314325"/>
                        </a:xfrm>
                        <a:prstGeom prst="rect">
                          <a:avLst/>
                        </a:prstGeom>
                        <a:solidFill>
                          <a:prstClr val="white"/>
                        </a:solidFill>
                        <a:ln>
                          <a:noFill/>
                        </a:ln>
                      </wps:spPr>
                      <wps:txbx>
                        <w:txbxContent>
                          <w:p w14:paraId="413C61EE" w14:textId="0A50188D" w:rsidR="00403A78" w:rsidRPr="00702438" w:rsidRDefault="00403A78" w:rsidP="00702438">
                            <w:pPr>
                              <w:pStyle w:val="Legenda"/>
                              <w:jc w:val="center"/>
                              <w:rPr>
                                <w:noProof/>
                                <w:color w:val="auto"/>
                                <w:sz w:val="20"/>
                                <w:szCs w:val="20"/>
                              </w:rPr>
                            </w:pPr>
                            <w:r w:rsidRPr="00702438">
                              <w:rPr>
                                <w:color w:val="auto"/>
                                <w:sz w:val="20"/>
                                <w:szCs w:val="20"/>
                              </w:rPr>
                              <w:t xml:space="preserve">Figura </w:t>
                            </w:r>
                            <w:r w:rsidRPr="00702438">
                              <w:rPr>
                                <w:color w:val="auto"/>
                                <w:sz w:val="20"/>
                                <w:szCs w:val="20"/>
                              </w:rPr>
                              <w:fldChar w:fldCharType="begin"/>
                            </w:r>
                            <w:r w:rsidRPr="00702438">
                              <w:rPr>
                                <w:color w:val="auto"/>
                                <w:sz w:val="20"/>
                                <w:szCs w:val="20"/>
                              </w:rPr>
                              <w:instrText xml:space="preserve"> SEQ Figura \* ARABIC </w:instrText>
                            </w:r>
                            <w:r w:rsidRPr="00702438">
                              <w:rPr>
                                <w:color w:val="auto"/>
                                <w:sz w:val="20"/>
                                <w:szCs w:val="20"/>
                              </w:rPr>
                              <w:fldChar w:fldCharType="separate"/>
                            </w:r>
                            <w:r w:rsidR="002702AC">
                              <w:rPr>
                                <w:noProof/>
                                <w:color w:val="auto"/>
                                <w:sz w:val="20"/>
                                <w:szCs w:val="20"/>
                              </w:rPr>
                              <w:t>9</w:t>
                            </w:r>
                            <w:r w:rsidRPr="00702438">
                              <w:rPr>
                                <w:color w:val="auto"/>
                                <w:sz w:val="20"/>
                                <w:szCs w:val="20"/>
                              </w:rPr>
                              <w:fldChar w:fldCharType="end"/>
                            </w:r>
                            <w:r w:rsidRPr="00702438">
                              <w:rPr>
                                <w:color w:val="auto"/>
                                <w:sz w:val="20"/>
                                <w:szCs w:val="20"/>
                              </w:rPr>
                              <w:t>: Peças complementares da Marca Soé - Brinco Alagados (Coleção Atemporal) e Presilha Marminina (Linha Ecoar). Fonte: Site da marca S</w:t>
                            </w:r>
                            <w:r w:rsidR="00CD2727">
                              <w:rPr>
                                <w:color w:val="auto"/>
                                <w:sz w:val="20"/>
                                <w:szCs w:val="20"/>
                              </w:rPr>
                              <w:t>oé</w:t>
                            </w:r>
                            <w:r w:rsidRPr="00702438">
                              <w:rPr>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56900" id="Caixa de Texto 18" o:spid="_x0000_s1030" type="#_x0000_t202" style="position:absolute;left:0;text-align:left;margin-left:402.4pt;margin-top:169.35pt;width:453.6pt;height:24.75pt;z-index:251673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" stroked="f">
                <v:textbox inset="0,0,0,0">
                  <w:txbxContent>
                    <w:p w14:paraId="413C61EE" w14:textId="0A50188D" w:rsidR="00403A78" w:rsidRPr="00702438" w:rsidRDefault="00403A78" w:rsidP="00702438">
                      <w:pPr>
                        <w:pStyle w:val="Legenda"/>
                        <w:jc w:val="center"/>
                        <w:rPr>
                          <w:noProof/>
                          <w:color w:val="auto"/>
                          <w:sz w:val="20"/>
                          <w:szCs w:val="20"/>
                        </w:rPr>
                      </w:pPr>
                      <w:r w:rsidRPr="00702438">
                        <w:rPr>
                          <w:color w:val="auto"/>
                          <w:sz w:val="20"/>
                          <w:szCs w:val="20"/>
                        </w:rPr>
                        <w:t xml:space="preserve">Figura </w:t>
                      </w:r>
                      <w:r w:rsidRPr="00702438">
                        <w:rPr>
                          <w:color w:val="auto"/>
                          <w:sz w:val="20"/>
                          <w:szCs w:val="20"/>
                        </w:rPr>
                        <w:fldChar w:fldCharType="begin"/>
                      </w:r>
                      <w:r w:rsidRPr="00702438">
                        <w:rPr>
                          <w:color w:val="auto"/>
                          <w:sz w:val="20"/>
                          <w:szCs w:val="20"/>
                        </w:rPr>
                        <w:instrText xml:space="preserve"> SEQ Figura \* ARABIC </w:instrText>
                      </w:r>
                      <w:r w:rsidRPr="00702438">
                        <w:rPr>
                          <w:color w:val="auto"/>
                          <w:sz w:val="20"/>
                          <w:szCs w:val="20"/>
                        </w:rPr>
                        <w:fldChar w:fldCharType="separate"/>
                      </w:r>
                      <w:r w:rsidR="002702AC">
                        <w:rPr>
                          <w:noProof/>
                          <w:color w:val="auto"/>
                          <w:sz w:val="20"/>
                          <w:szCs w:val="20"/>
                        </w:rPr>
                        <w:t>9</w:t>
                      </w:r>
                      <w:r w:rsidRPr="00702438">
                        <w:rPr>
                          <w:color w:val="auto"/>
                          <w:sz w:val="20"/>
                          <w:szCs w:val="20"/>
                        </w:rPr>
                        <w:fldChar w:fldCharType="end"/>
                      </w:r>
                      <w:r w:rsidRPr="00702438">
                        <w:rPr>
                          <w:color w:val="auto"/>
                          <w:sz w:val="20"/>
                          <w:szCs w:val="20"/>
                        </w:rPr>
                        <w:t>: Peças complementares da Marca Soé - Brinco Alagados (Coleção Atemporal) e Presilha Marminina (Linha Ecoar). Fonte: Site da marca S</w:t>
                      </w:r>
                      <w:r w:rsidR="00CD2727">
                        <w:rPr>
                          <w:color w:val="auto"/>
                          <w:sz w:val="20"/>
                          <w:szCs w:val="20"/>
                        </w:rPr>
                        <w:t>oé</w:t>
                      </w:r>
                      <w:r w:rsidRPr="00702438">
                        <w:rPr>
                          <w:color w:val="auto"/>
                          <w:sz w:val="20"/>
                          <w:szCs w:val="20"/>
                        </w:rPr>
                        <w:t>.</w:t>
                      </w:r>
                    </w:p>
                  </w:txbxContent>
                </v:textbox>
                <w10:wrap type="topAndBottom" anchorx="margin"/>
              </v:shape>
            </w:pict>
          </mc:Fallback>
        </mc:AlternateContent>
      </w:r>
      <w:r>
        <w:rPr>
          <w:noProof/>
          <w:szCs w:val="24"/>
          <w:lang w:val="pt-BR"/>
        </w:rPr>
        <w:drawing>
          <wp:anchor distT="0" distB="0" distL="114300" distR="114300" simplePos="0" relativeHeight="251683328" behindDoc="0" locked="0" layoutInCell="1" allowOverlap="1" wp14:anchorId="6ABFF30F" wp14:editId="31C6EA0F">
            <wp:simplePos x="0" y="0"/>
            <wp:positionH relativeFrom="margin">
              <wp:align>center</wp:align>
            </wp:positionH>
            <wp:positionV relativeFrom="paragraph">
              <wp:posOffset>537210</wp:posOffset>
            </wp:positionV>
            <wp:extent cx="3919104" cy="1620000"/>
            <wp:effectExtent l="0" t="0" r="5715" b="0"/>
            <wp:wrapTopAndBottom/>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rotWithShape="1">
                    <a:blip r:embed="rId16"/>
                    <a:srcRect t="9353" b="37500"/>
                    <a:stretch/>
                  </pic:blipFill>
                  <pic:spPr bwMode="auto">
                    <a:xfrm>
                      <a:off x="0" y="0"/>
                      <a:ext cx="3919104" cy="16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66BC" w:rsidRPr="009E66BC">
        <w:rPr>
          <w:szCs w:val="24"/>
          <w:lang w:val="pt-BR"/>
        </w:rPr>
        <w:t>Voltando a falar sobre marcas, a paraibana Soé, visando reduzir o desperdício da sua matéria prima principal (o acrílico), desenvolveu uma linha de produtos (Ecoar), conseguindo reduzir em 20% o desperdício com as sobras do próprio material.</w:t>
      </w:r>
    </w:p>
    <w:p w14:paraId="541F45F1" w14:textId="28261532" w:rsidR="00702438" w:rsidRDefault="00702438" w:rsidP="009B2EF9">
      <w:pPr>
        <w:ind w:firstLine="284"/>
        <w:rPr>
          <w:szCs w:val="24"/>
          <w:lang w:val="pt-BR"/>
        </w:rPr>
      </w:pPr>
    </w:p>
    <w:p w14:paraId="49E15155" w14:textId="69F67061" w:rsidR="0049479C" w:rsidRPr="0049479C" w:rsidRDefault="0049479C" w:rsidP="009C7EC2">
      <w:pPr>
        <w:pStyle w:val="PargrafodaLista"/>
        <w:numPr>
          <w:ilvl w:val="0"/>
          <w:numId w:val="5"/>
        </w:numPr>
        <w:spacing w:after="120"/>
        <w:rPr>
          <w:b/>
          <w:szCs w:val="24"/>
          <w:lang w:val="pt-BR"/>
        </w:rPr>
      </w:pPr>
      <w:r w:rsidRPr="0049479C">
        <w:rPr>
          <w:b/>
          <w:szCs w:val="24"/>
          <w:lang w:val="pt-BR"/>
        </w:rPr>
        <w:t>Considerações Finais</w:t>
      </w:r>
    </w:p>
    <w:p w14:paraId="63F9FA93" w14:textId="77777777" w:rsidR="0049479C" w:rsidRPr="0049479C" w:rsidRDefault="0049479C" w:rsidP="0049479C">
      <w:pPr>
        <w:spacing w:after="120"/>
        <w:rPr>
          <w:color w:val="A6A6A6"/>
          <w:szCs w:val="24"/>
          <w:lang w:val="pt-BR"/>
        </w:rPr>
      </w:pPr>
    </w:p>
    <w:p w14:paraId="300015BE" w14:textId="286FB8C0" w:rsidR="00C9461E" w:rsidRPr="00C9461E" w:rsidRDefault="00C9461E" w:rsidP="00C9461E">
      <w:pPr>
        <w:spacing w:after="120"/>
        <w:ind w:firstLine="284"/>
        <w:rPr>
          <w:szCs w:val="24"/>
          <w:lang w:val="pt-BR"/>
        </w:rPr>
      </w:pPr>
      <w:r w:rsidRPr="00C9461E">
        <w:rPr>
          <w:szCs w:val="24"/>
          <w:lang w:val="pt-BR"/>
        </w:rPr>
        <w:t xml:space="preserve">O presente artigo cumpre seu papel ao sistematizar possibilidades já implementadas de descontinuidade no âmbito do design de jóias contemporâneo brasileiro. Diante do exposto até aqui é incompreensível que o designer de joias não busque alternativas para minimizar os impactos ambientais de seus processos e continue replicando inconscientemente práticas insustentáveis de quem acredita que o meio ambiente consiste em um mecanismo infinito para exploração do ser humano. </w:t>
      </w:r>
      <w:r w:rsidR="00CD2727">
        <w:rPr>
          <w:szCs w:val="24"/>
          <w:lang w:val="pt-BR"/>
        </w:rPr>
        <w:t xml:space="preserve">Através de práticas mais conscientes por parte de quem produz, almeja-se atingir mudanças comportamentais nos usuários e consumidores, obtendo-se então mudanças de paradigmas na sociedade. </w:t>
      </w:r>
    </w:p>
    <w:p w14:paraId="080ECB4C" w14:textId="04D63BF5" w:rsidR="00B63A35" w:rsidRDefault="00C9461E" w:rsidP="00C9461E">
      <w:pPr>
        <w:spacing w:after="120"/>
        <w:ind w:firstLine="284"/>
        <w:rPr>
          <w:szCs w:val="24"/>
          <w:lang w:val="pt-BR"/>
        </w:rPr>
      </w:pPr>
      <w:r w:rsidRPr="00C9461E">
        <w:rPr>
          <w:szCs w:val="24"/>
          <w:lang w:val="pt-BR"/>
        </w:rPr>
        <w:t xml:space="preserve"> As in</w:t>
      </w:r>
      <w:r>
        <w:rPr>
          <w:szCs w:val="24"/>
          <w:lang w:val="pt-BR"/>
        </w:rPr>
        <w:t>formações contidas n</w:t>
      </w:r>
      <w:r w:rsidR="002244B1">
        <w:rPr>
          <w:szCs w:val="24"/>
          <w:lang w:val="pt-BR"/>
        </w:rPr>
        <w:t>o</w:t>
      </w:r>
      <w:r>
        <w:rPr>
          <w:szCs w:val="24"/>
          <w:lang w:val="pt-BR"/>
        </w:rPr>
        <w:t xml:space="preserve"> </w:t>
      </w:r>
      <w:r w:rsidR="002244B1">
        <w:rPr>
          <w:szCs w:val="24"/>
          <w:lang w:val="pt-BR"/>
        </w:rPr>
        <w:t>quadro</w:t>
      </w:r>
      <w:r>
        <w:rPr>
          <w:szCs w:val="24"/>
          <w:lang w:val="pt-BR"/>
        </w:rPr>
        <w:t xml:space="preserve"> </w:t>
      </w:r>
      <w:r w:rsidR="002244B1">
        <w:rPr>
          <w:szCs w:val="24"/>
          <w:lang w:val="pt-BR"/>
        </w:rPr>
        <w:t>1</w:t>
      </w:r>
      <w:r>
        <w:rPr>
          <w:szCs w:val="24"/>
          <w:lang w:val="pt-BR"/>
        </w:rPr>
        <w:t xml:space="preserve">, </w:t>
      </w:r>
      <w:r w:rsidRPr="00C9461E">
        <w:rPr>
          <w:szCs w:val="24"/>
          <w:lang w:val="pt-BR"/>
        </w:rPr>
        <w:t>apontam uma síntese das ações disruptivas apresentadas ao longo deste artigo, correlacionando o exemplo aqui já mencionado com as linhas-guias do ecodesign com as quais cada exemplo se correlata.</w:t>
      </w:r>
    </w:p>
    <w:p w14:paraId="5FDE945B" w14:textId="71F6073F" w:rsidR="002F3D6B" w:rsidRPr="002F3D6B" w:rsidRDefault="002F3D6B" w:rsidP="002F3D6B">
      <w:pPr>
        <w:pStyle w:val="Legenda"/>
        <w:keepNext/>
        <w:jc w:val="center"/>
        <w:rPr>
          <w:b w:val="0"/>
          <w:bCs w:val="0"/>
          <w:color w:val="auto"/>
          <w:sz w:val="20"/>
          <w:szCs w:val="20"/>
        </w:rPr>
      </w:pPr>
      <w:r w:rsidRPr="002F3D6B">
        <w:rPr>
          <w:b w:val="0"/>
          <w:bCs w:val="0"/>
          <w:color w:val="auto"/>
          <w:sz w:val="20"/>
          <w:szCs w:val="20"/>
        </w:rPr>
        <w:t xml:space="preserve">Quadro </w:t>
      </w:r>
      <w:r w:rsidRPr="002F3D6B">
        <w:rPr>
          <w:b w:val="0"/>
          <w:bCs w:val="0"/>
          <w:color w:val="auto"/>
          <w:sz w:val="20"/>
          <w:szCs w:val="20"/>
        </w:rPr>
        <w:fldChar w:fldCharType="begin"/>
      </w:r>
      <w:r w:rsidRPr="002F3D6B">
        <w:rPr>
          <w:b w:val="0"/>
          <w:bCs w:val="0"/>
          <w:color w:val="auto"/>
          <w:sz w:val="20"/>
          <w:szCs w:val="20"/>
        </w:rPr>
        <w:instrText xml:space="preserve"> SEQ Quadro \* ARABIC </w:instrText>
      </w:r>
      <w:r w:rsidRPr="002F3D6B">
        <w:rPr>
          <w:b w:val="0"/>
          <w:bCs w:val="0"/>
          <w:color w:val="auto"/>
          <w:sz w:val="20"/>
          <w:szCs w:val="20"/>
        </w:rPr>
        <w:fldChar w:fldCharType="separate"/>
      </w:r>
      <w:r w:rsidR="00573D30">
        <w:rPr>
          <w:b w:val="0"/>
          <w:bCs w:val="0"/>
          <w:noProof/>
          <w:color w:val="auto"/>
          <w:sz w:val="20"/>
          <w:szCs w:val="20"/>
        </w:rPr>
        <w:t>1</w:t>
      </w:r>
      <w:r w:rsidRPr="002F3D6B">
        <w:rPr>
          <w:b w:val="0"/>
          <w:bCs w:val="0"/>
          <w:color w:val="auto"/>
          <w:sz w:val="20"/>
          <w:szCs w:val="20"/>
        </w:rPr>
        <w:fldChar w:fldCharType="end"/>
      </w:r>
      <w:r w:rsidRPr="002F3D6B">
        <w:rPr>
          <w:b w:val="0"/>
          <w:bCs w:val="0"/>
          <w:color w:val="auto"/>
          <w:sz w:val="20"/>
          <w:szCs w:val="20"/>
        </w:rPr>
        <w:t>: Síntese de ações disruptivas</w:t>
      </w:r>
    </w:p>
    <w:tbl>
      <w:tblPr>
        <w:tblStyle w:val="Tabelacomgrade"/>
        <w:tblW w:w="0" w:type="auto"/>
        <w:jc w:val="center"/>
        <w:tblLayout w:type="fixed"/>
        <w:tblLook w:val="04A0" w:firstRow="1" w:lastRow="0" w:firstColumn="1" w:lastColumn="0" w:noHBand="0" w:noVBand="1"/>
      </w:tblPr>
      <w:tblGrid>
        <w:gridCol w:w="1541"/>
        <w:gridCol w:w="1686"/>
        <w:gridCol w:w="1417"/>
        <w:gridCol w:w="1560"/>
        <w:gridCol w:w="1417"/>
        <w:gridCol w:w="1667"/>
      </w:tblGrid>
      <w:tr w:rsidR="00584457" w:rsidRPr="002244B1" w14:paraId="61D02C1D" w14:textId="77777777" w:rsidTr="00584457">
        <w:trPr>
          <w:jc w:val="center"/>
        </w:trPr>
        <w:tc>
          <w:tcPr>
            <w:tcW w:w="9288" w:type="dxa"/>
            <w:gridSpan w:val="6"/>
            <w:tcBorders>
              <w:top w:val="single" w:sz="18" w:space="0" w:color="auto"/>
              <w:left w:val="single" w:sz="18" w:space="0" w:color="auto"/>
              <w:bottom w:val="single" w:sz="18" w:space="0" w:color="auto"/>
              <w:right w:val="single" w:sz="18" w:space="0" w:color="auto"/>
            </w:tcBorders>
          </w:tcPr>
          <w:p w14:paraId="719AFC5B" w14:textId="2B2795B4" w:rsidR="00584457" w:rsidRPr="002244B1" w:rsidRDefault="00584457" w:rsidP="002244B1">
            <w:pPr>
              <w:spacing w:after="120"/>
              <w:jc w:val="center"/>
              <w:rPr>
                <w:rFonts w:ascii="Arial" w:hAnsi="Arial" w:cs="Arial"/>
                <w:b/>
                <w:sz w:val="20"/>
                <w:lang w:val="pt-BR"/>
              </w:rPr>
            </w:pPr>
            <w:r>
              <w:rPr>
                <w:rFonts w:ascii="Arial" w:hAnsi="Arial" w:cs="Arial"/>
                <w:b/>
                <w:sz w:val="20"/>
                <w:lang w:val="pt-BR"/>
              </w:rPr>
              <w:t>LINHA</w:t>
            </w:r>
            <w:r w:rsidR="005F1751">
              <w:rPr>
                <w:rFonts w:ascii="Arial" w:hAnsi="Arial" w:cs="Arial"/>
                <w:b/>
                <w:sz w:val="20"/>
                <w:lang w:val="pt-BR"/>
              </w:rPr>
              <w:t>S</w:t>
            </w:r>
            <w:r>
              <w:rPr>
                <w:rFonts w:ascii="Arial" w:hAnsi="Arial" w:cs="Arial"/>
                <w:b/>
                <w:sz w:val="20"/>
                <w:lang w:val="pt-BR"/>
              </w:rPr>
              <w:t xml:space="preserve">-GUIA </w:t>
            </w:r>
            <w:r w:rsidRPr="002244B1">
              <w:rPr>
                <w:rFonts w:ascii="Arial" w:hAnsi="Arial" w:cs="Arial"/>
                <w:b/>
                <w:bCs/>
                <w:sz w:val="20"/>
                <w:lang w:val="pt-BR"/>
              </w:rPr>
              <w:t>(</w:t>
            </w:r>
            <w:r>
              <w:rPr>
                <w:rFonts w:ascii="Arial" w:hAnsi="Arial" w:cs="Arial"/>
                <w:b/>
                <w:sz w:val="20"/>
                <w:lang w:val="pt-BR"/>
              </w:rPr>
              <w:t>ECODESIGN)</w:t>
            </w:r>
          </w:p>
        </w:tc>
      </w:tr>
      <w:tr w:rsidR="001C7207" w:rsidRPr="002244B1" w14:paraId="259EFC29" w14:textId="77777777" w:rsidTr="002F3D6B">
        <w:trPr>
          <w:jc w:val="center"/>
        </w:trPr>
        <w:tc>
          <w:tcPr>
            <w:tcW w:w="1541" w:type="dxa"/>
            <w:tcBorders>
              <w:top w:val="single" w:sz="18" w:space="0" w:color="auto"/>
              <w:left w:val="single" w:sz="18" w:space="0" w:color="auto"/>
              <w:bottom w:val="single" w:sz="18" w:space="0" w:color="auto"/>
              <w:right w:val="single" w:sz="18" w:space="0" w:color="auto"/>
            </w:tcBorders>
          </w:tcPr>
          <w:p w14:paraId="0A393486" w14:textId="77777777" w:rsidR="002244B1" w:rsidRPr="002244B1" w:rsidRDefault="002244B1" w:rsidP="002244B1">
            <w:pPr>
              <w:spacing w:after="120"/>
              <w:jc w:val="center"/>
              <w:rPr>
                <w:rFonts w:ascii="Arial" w:hAnsi="Arial" w:cs="Arial"/>
                <w:b/>
                <w:sz w:val="20"/>
                <w:lang w:val="pt-BR"/>
              </w:rPr>
            </w:pPr>
          </w:p>
        </w:tc>
        <w:tc>
          <w:tcPr>
            <w:tcW w:w="1686" w:type="dxa"/>
            <w:tcBorders>
              <w:top w:val="single" w:sz="18" w:space="0" w:color="auto"/>
              <w:left w:val="single" w:sz="18" w:space="0" w:color="auto"/>
              <w:bottom w:val="single" w:sz="18" w:space="0" w:color="auto"/>
            </w:tcBorders>
            <w:vAlign w:val="center"/>
          </w:tcPr>
          <w:p w14:paraId="4FA09FF1" w14:textId="38DA4634" w:rsidR="002244B1" w:rsidRPr="002244B1" w:rsidRDefault="002244B1" w:rsidP="002F3D6B">
            <w:pPr>
              <w:spacing w:after="120"/>
              <w:jc w:val="center"/>
              <w:rPr>
                <w:rFonts w:ascii="Arial" w:hAnsi="Arial" w:cs="Arial"/>
                <w:b/>
                <w:sz w:val="20"/>
                <w:lang w:val="pt-BR"/>
              </w:rPr>
            </w:pPr>
            <w:r>
              <w:rPr>
                <w:rFonts w:ascii="Arial" w:hAnsi="Arial" w:cs="Arial"/>
                <w:b/>
                <w:sz w:val="20"/>
                <w:lang w:val="pt-BR"/>
              </w:rPr>
              <w:t>Minimização de recursos</w:t>
            </w:r>
          </w:p>
        </w:tc>
        <w:tc>
          <w:tcPr>
            <w:tcW w:w="1417" w:type="dxa"/>
            <w:tcBorders>
              <w:top w:val="single" w:sz="18" w:space="0" w:color="auto"/>
              <w:bottom w:val="single" w:sz="18" w:space="0" w:color="auto"/>
            </w:tcBorders>
            <w:vAlign w:val="center"/>
          </w:tcPr>
          <w:p w14:paraId="6024C148" w14:textId="0EC70A83" w:rsidR="002244B1" w:rsidRPr="002244B1" w:rsidRDefault="002244B1" w:rsidP="002F3D6B">
            <w:pPr>
              <w:spacing w:after="120"/>
              <w:jc w:val="center"/>
              <w:rPr>
                <w:rFonts w:ascii="Arial" w:hAnsi="Arial" w:cs="Arial"/>
                <w:b/>
                <w:sz w:val="20"/>
                <w:lang w:val="pt-BR"/>
              </w:rPr>
            </w:pPr>
            <w:r>
              <w:rPr>
                <w:rFonts w:ascii="Arial" w:hAnsi="Arial" w:cs="Arial"/>
                <w:b/>
                <w:sz w:val="20"/>
                <w:lang w:val="pt-BR"/>
              </w:rPr>
              <w:t>Baixo impacto ambiental</w:t>
            </w:r>
          </w:p>
        </w:tc>
        <w:tc>
          <w:tcPr>
            <w:tcW w:w="1560" w:type="dxa"/>
            <w:tcBorders>
              <w:top w:val="single" w:sz="18" w:space="0" w:color="auto"/>
              <w:bottom w:val="single" w:sz="18" w:space="0" w:color="auto"/>
            </w:tcBorders>
            <w:vAlign w:val="center"/>
          </w:tcPr>
          <w:p w14:paraId="7D17D419" w14:textId="764D7326" w:rsidR="002244B1" w:rsidRPr="002244B1" w:rsidRDefault="002244B1" w:rsidP="002F3D6B">
            <w:pPr>
              <w:spacing w:after="120"/>
              <w:jc w:val="center"/>
              <w:rPr>
                <w:rFonts w:ascii="Arial" w:hAnsi="Arial" w:cs="Arial"/>
                <w:b/>
                <w:sz w:val="20"/>
                <w:lang w:val="pt-BR"/>
              </w:rPr>
            </w:pPr>
            <w:r>
              <w:rPr>
                <w:rFonts w:ascii="Arial" w:hAnsi="Arial" w:cs="Arial"/>
                <w:b/>
                <w:sz w:val="20"/>
                <w:lang w:val="pt-BR"/>
              </w:rPr>
              <w:t>Otimização da vida útil</w:t>
            </w:r>
          </w:p>
        </w:tc>
        <w:tc>
          <w:tcPr>
            <w:tcW w:w="1417" w:type="dxa"/>
            <w:tcBorders>
              <w:top w:val="single" w:sz="18" w:space="0" w:color="auto"/>
              <w:bottom w:val="single" w:sz="18" w:space="0" w:color="auto"/>
            </w:tcBorders>
            <w:vAlign w:val="center"/>
          </w:tcPr>
          <w:p w14:paraId="1630C755" w14:textId="207141AD" w:rsidR="002244B1" w:rsidRPr="002244B1" w:rsidRDefault="002244B1" w:rsidP="002F3D6B">
            <w:pPr>
              <w:spacing w:after="120"/>
              <w:jc w:val="center"/>
              <w:rPr>
                <w:rFonts w:ascii="Arial" w:hAnsi="Arial" w:cs="Arial"/>
                <w:b/>
                <w:sz w:val="20"/>
                <w:lang w:val="pt-BR"/>
              </w:rPr>
            </w:pPr>
            <w:r>
              <w:rPr>
                <w:rFonts w:ascii="Arial" w:hAnsi="Arial" w:cs="Arial"/>
                <w:b/>
                <w:sz w:val="20"/>
                <w:lang w:val="pt-BR"/>
              </w:rPr>
              <w:t>Vida dos materiais</w:t>
            </w:r>
          </w:p>
        </w:tc>
        <w:tc>
          <w:tcPr>
            <w:tcW w:w="1667" w:type="dxa"/>
            <w:tcBorders>
              <w:top w:val="single" w:sz="18" w:space="0" w:color="auto"/>
              <w:bottom w:val="single" w:sz="18" w:space="0" w:color="auto"/>
              <w:right w:val="single" w:sz="18" w:space="0" w:color="auto"/>
            </w:tcBorders>
            <w:vAlign w:val="center"/>
          </w:tcPr>
          <w:p w14:paraId="685BD248" w14:textId="2B3B7EB9" w:rsidR="002244B1" w:rsidRPr="002244B1" w:rsidRDefault="002244B1" w:rsidP="002F3D6B">
            <w:pPr>
              <w:spacing w:after="120"/>
              <w:jc w:val="center"/>
              <w:rPr>
                <w:rFonts w:ascii="Arial" w:hAnsi="Arial" w:cs="Arial"/>
                <w:b/>
                <w:sz w:val="20"/>
                <w:lang w:val="pt-BR"/>
              </w:rPr>
            </w:pPr>
            <w:r>
              <w:rPr>
                <w:rFonts w:ascii="Arial" w:hAnsi="Arial" w:cs="Arial"/>
                <w:b/>
                <w:sz w:val="20"/>
                <w:lang w:val="pt-BR"/>
              </w:rPr>
              <w:t>Facilidade desmontagem</w:t>
            </w:r>
          </w:p>
        </w:tc>
      </w:tr>
      <w:tr w:rsidR="001C7207" w:rsidRPr="002244B1" w14:paraId="3C7E0ECA" w14:textId="77777777" w:rsidTr="002F3D6B">
        <w:trPr>
          <w:jc w:val="center"/>
        </w:trPr>
        <w:tc>
          <w:tcPr>
            <w:tcW w:w="1541" w:type="dxa"/>
            <w:tcBorders>
              <w:top w:val="single" w:sz="18" w:space="0" w:color="auto"/>
              <w:left w:val="single" w:sz="18" w:space="0" w:color="auto"/>
              <w:right w:val="single" w:sz="18" w:space="0" w:color="auto"/>
            </w:tcBorders>
          </w:tcPr>
          <w:p w14:paraId="5F3C68DD" w14:textId="76086214" w:rsidR="002244B1" w:rsidRPr="002244B1" w:rsidRDefault="002244B1" w:rsidP="002244B1">
            <w:pPr>
              <w:spacing w:after="120"/>
              <w:jc w:val="center"/>
              <w:rPr>
                <w:rFonts w:ascii="Arial" w:hAnsi="Arial" w:cs="Arial"/>
                <w:b/>
                <w:sz w:val="20"/>
                <w:lang w:val="pt-BR"/>
              </w:rPr>
            </w:pPr>
            <w:r>
              <w:rPr>
                <w:rFonts w:ascii="Arial" w:hAnsi="Arial" w:cs="Arial"/>
                <w:b/>
                <w:sz w:val="20"/>
                <w:lang w:val="pt-BR"/>
              </w:rPr>
              <w:t>Joias Encapsuladas com epóxi</w:t>
            </w:r>
          </w:p>
        </w:tc>
        <w:tc>
          <w:tcPr>
            <w:tcW w:w="1686" w:type="dxa"/>
            <w:tcBorders>
              <w:top w:val="single" w:sz="18" w:space="0" w:color="auto"/>
              <w:left w:val="single" w:sz="18" w:space="0" w:color="auto"/>
            </w:tcBorders>
          </w:tcPr>
          <w:p w14:paraId="2B8FDA6D" w14:textId="77777777" w:rsidR="002244B1" w:rsidRPr="001C7207" w:rsidRDefault="002244B1" w:rsidP="002244B1">
            <w:pPr>
              <w:spacing w:after="120"/>
              <w:jc w:val="center"/>
              <w:rPr>
                <w:rFonts w:ascii="Arial" w:hAnsi="Arial" w:cs="Arial"/>
                <w:bCs/>
                <w:sz w:val="20"/>
                <w:lang w:val="pt-BR"/>
              </w:rPr>
            </w:pPr>
          </w:p>
        </w:tc>
        <w:tc>
          <w:tcPr>
            <w:tcW w:w="1417" w:type="dxa"/>
            <w:tcBorders>
              <w:top w:val="single" w:sz="18" w:space="0" w:color="auto"/>
            </w:tcBorders>
          </w:tcPr>
          <w:p w14:paraId="48BB4FE7" w14:textId="77777777" w:rsidR="002244B1" w:rsidRPr="001C7207" w:rsidRDefault="002244B1" w:rsidP="002244B1">
            <w:pPr>
              <w:spacing w:after="120"/>
              <w:jc w:val="center"/>
              <w:rPr>
                <w:rFonts w:ascii="Arial" w:hAnsi="Arial" w:cs="Arial"/>
                <w:bCs/>
                <w:sz w:val="20"/>
                <w:lang w:val="pt-BR"/>
              </w:rPr>
            </w:pPr>
          </w:p>
        </w:tc>
        <w:tc>
          <w:tcPr>
            <w:tcW w:w="1560" w:type="dxa"/>
            <w:tcBorders>
              <w:top w:val="single" w:sz="18" w:space="0" w:color="auto"/>
            </w:tcBorders>
          </w:tcPr>
          <w:p w14:paraId="54F5359F" w14:textId="2DF716CC" w:rsidR="002244B1" w:rsidRPr="001C7207" w:rsidRDefault="001C7207" w:rsidP="002244B1">
            <w:pPr>
              <w:spacing w:after="120"/>
              <w:jc w:val="center"/>
              <w:rPr>
                <w:rFonts w:ascii="Arial" w:hAnsi="Arial" w:cs="Arial"/>
                <w:bCs/>
                <w:sz w:val="20"/>
                <w:lang w:val="pt-BR"/>
              </w:rPr>
            </w:pPr>
            <w:r>
              <w:rPr>
                <w:rFonts w:ascii="Arial" w:hAnsi="Arial" w:cs="Arial"/>
                <w:bCs/>
                <w:sz w:val="20"/>
                <w:lang w:val="pt-BR"/>
              </w:rPr>
              <w:t>Aumento da durabilidade de materiais com significado</w:t>
            </w:r>
          </w:p>
        </w:tc>
        <w:tc>
          <w:tcPr>
            <w:tcW w:w="1417" w:type="dxa"/>
            <w:tcBorders>
              <w:top w:val="single" w:sz="18" w:space="0" w:color="auto"/>
            </w:tcBorders>
          </w:tcPr>
          <w:p w14:paraId="5E16F365" w14:textId="77777777" w:rsidR="002244B1" w:rsidRPr="001C7207" w:rsidRDefault="002244B1" w:rsidP="002244B1">
            <w:pPr>
              <w:spacing w:after="120"/>
              <w:jc w:val="center"/>
              <w:rPr>
                <w:rFonts w:ascii="Arial" w:hAnsi="Arial" w:cs="Arial"/>
                <w:bCs/>
                <w:sz w:val="20"/>
                <w:lang w:val="pt-BR"/>
              </w:rPr>
            </w:pPr>
          </w:p>
        </w:tc>
        <w:tc>
          <w:tcPr>
            <w:tcW w:w="1667" w:type="dxa"/>
            <w:tcBorders>
              <w:top w:val="single" w:sz="18" w:space="0" w:color="auto"/>
              <w:right w:val="single" w:sz="18" w:space="0" w:color="auto"/>
            </w:tcBorders>
          </w:tcPr>
          <w:p w14:paraId="31845357" w14:textId="77777777" w:rsidR="002244B1" w:rsidRPr="001C7207" w:rsidRDefault="002244B1" w:rsidP="002244B1">
            <w:pPr>
              <w:spacing w:after="120"/>
              <w:jc w:val="center"/>
              <w:rPr>
                <w:rFonts w:ascii="Arial" w:hAnsi="Arial" w:cs="Arial"/>
                <w:bCs/>
                <w:sz w:val="20"/>
                <w:lang w:val="pt-BR"/>
              </w:rPr>
            </w:pPr>
          </w:p>
        </w:tc>
      </w:tr>
      <w:tr w:rsidR="001C7207" w:rsidRPr="002244B1" w14:paraId="320D644C" w14:textId="77777777" w:rsidTr="002F3D6B">
        <w:trPr>
          <w:jc w:val="center"/>
        </w:trPr>
        <w:tc>
          <w:tcPr>
            <w:tcW w:w="1541" w:type="dxa"/>
            <w:tcBorders>
              <w:left w:val="single" w:sz="18" w:space="0" w:color="auto"/>
              <w:right w:val="single" w:sz="18" w:space="0" w:color="auto"/>
            </w:tcBorders>
          </w:tcPr>
          <w:p w14:paraId="4B0A4196" w14:textId="761D6666" w:rsidR="002244B1" w:rsidRPr="002244B1" w:rsidRDefault="002244B1" w:rsidP="002244B1">
            <w:pPr>
              <w:spacing w:after="120"/>
              <w:jc w:val="center"/>
              <w:rPr>
                <w:rFonts w:ascii="Arial" w:hAnsi="Arial" w:cs="Arial"/>
                <w:b/>
                <w:sz w:val="20"/>
                <w:lang w:val="pt-BR"/>
              </w:rPr>
            </w:pPr>
            <w:r>
              <w:rPr>
                <w:rFonts w:ascii="Arial" w:hAnsi="Arial" w:cs="Arial"/>
                <w:b/>
                <w:sz w:val="20"/>
                <w:lang w:val="pt-BR"/>
              </w:rPr>
              <w:t xml:space="preserve">Gemas Vegetais </w:t>
            </w:r>
            <w:r w:rsidRPr="002244B1">
              <w:rPr>
                <w:rFonts w:ascii="Arial" w:hAnsi="Arial" w:cs="Arial"/>
                <w:b/>
                <w:sz w:val="20"/>
                <w:lang w:val="pt-BR"/>
              </w:rPr>
              <w:t>(</w:t>
            </w:r>
            <w:r>
              <w:rPr>
                <w:rFonts w:ascii="Arial" w:hAnsi="Arial" w:cs="Arial"/>
                <w:b/>
                <w:sz w:val="20"/>
                <w:lang w:val="pt-BR"/>
              </w:rPr>
              <w:t>PA)</w:t>
            </w:r>
          </w:p>
        </w:tc>
        <w:tc>
          <w:tcPr>
            <w:tcW w:w="1686" w:type="dxa"/>
            <w:tcBorders>
              <w:left w:val="single" w:sz="18" w:space="0" w:color="auto"/>
            </w:tcBorders>
          </w:tcPr>
          <w:p w14:paraId="6382E80A" w14:textId="77777777" w:rsidR="002244B1" w:rsidRPr="001C7207" w:rsidRDefault="002244B1" w:rsidP="002244B1">
            <w:pPr>
              <w:spacing w:after="120"/>
              <w:jc w:val="center"/>
              <w:rPr>
                <w:rFonts w:ascii="Arial" w:hAnsi="Arial" w:cs="Arial"/>
                <w:bCs/>
                <w:sz w:val="20"/>
                <w:lang w:val="pt-BR"/>
              </w:rPr>
            </w:pPr>
          </w:p>
        </w:tc>
        <w:tc>
          <w:tcPr>
            <w:tcW w:w="1417" w:type="dxa"/>
          </w:tcPr>
          <w:p w14:paraId="300CAB97" w14:textId="0CFDDBE8" w:rsidR="002244B1" w:rsidRPr="001C7207" w:rsidRDefault="001C7207" w:rsidP="002244B1">
            <w:pPr>
              <w:spacing w:after="120"/>
              <w:jc w:val="center"/>
              <w:rPr>
                <w:rFonts w:ascii="Arial" w:hAnsi="Arial" w:cs="Arial"/>
                <w:bCs/>
                <w:sz w:val="20"/>
                <w:lang w:val="pt-BR"/>
              </w:rPr>
            </w:pPr>
            <w:r>
              <w:rPr>
                <w:rFonts w:ascii="Arial" w:hAnsi="Arial" w:cs="Arial"/>
                <w:bCs/>
                <w:sz w:val="20"/>
                <w:lang w:val="pt-BR"/>
              </w:rPr>
              <w:t>Uso de materiais renováveis</w:t>
            </w:r>
          </w:p>
        </w:tc>
        <w:tc>
          <w:tcPr>
            <w:tcW w:w="1560" w:type="dxa"/>
          </w:tcPr>
          <w:p w14:paraId="711F7F2B" w14:textId="77777777" w:rsidR="002244B1" w:rsidRPr="001C7207" w:rsidRDefault="002244B1" w:rsidP="002244B1">
            <w:pPr>
              <w:spacing w:after="120"/>
              <w:jc w:val="center"/>
              <w:rPr>
                <w:rFonts w:ascii="Arial" w:hAnsi="Arial" w:cs="Arial"/>
                <w:bCs/>
                <w:sz w:val="20"/>
                <w:lang w:val="pt-BR"/>
              </w:rPr>
            </w:pPr>
          </w:p>
        </w:tc>
        <w:tc>
          <w:tcPr>
            <w:tcW w:w="1417" w:type="dxa"/>
          </w:tcPr>
          <w:p w14:paraId="605E811E" w14:textId="77777777" w:rsidR="002244B1" w:rsidRPr="001C7207" w:rsidRDefault="002244B1" w:rsidP="002244B1">
            <w:pPr>
              <w:spacing w:after="120"/>
              <w:jc w:val="center"/>
              <w:rPr>
                <w:rFonts w:ascii="Arial" w:hAnsi="Arial" w:cs="Arial"/>
                <w:bCs/>
                <w:sz w:val="20"/>
                <w:lang w:val="pt-BR"/>
              </w:rPr>
            </w:pPr>
          </w:p>
        </w:tc>
        <w:tc>
          <w:tcPr>
            <w:tcW w:w="1667" w:type="dxa"/>
            <w:tcBorders>
              <w:right w:val="single" w:sz="18" w:space="0" w:color="auto"/>
            </w:tcBorders>
          </w:tcPr>
          <w:p w14:paraId="248C3657" w14:textId="77777777" w:rsidR="002244B1" w:rsidRPr="001C7207" w:rsidRDefault="002244B1" w:rsidP="002244B1">
            <w:pPr>
              <w:spacing w:after="120"/>
              <w:jc w:val="center"/>
              <w:rPr>
                <w:rFonts w:ascii="Arial" w:hAnsi="Arial" w:cs="Arial"/>
                <w:bCs/>
                <w:sz w:val="20"/>
                <w:lang w:val="pt-BR"/>
              </w:rPr>
            </w:pPr>
          </w:p>
        </w:tc>
      </w:tr>
      <w:tr w:rsidR="001C7207" w:rsidRPr="002244B1" w14:paraId="0C2F168B" w14:textId="77777777" w:rsidTr="002F3D6B">
        <w:trPr>
          <w:jc w:val="center"/>
        </w:trPr>
        <w:tc>
          <w:tcPr>
            <w:tcW w:w="1541" w:type="dxa"/>
            <w:tcBorders>
              <w:left w:val="single" w:sz="18" w:space="0" w:color="auto"/>
              <w:right w:val="single" w:sz="18" w:space="0" w:color="auto"/>
            </w:tcBorders>
          </w:tcPr>
          <w:p w14:paraId="46CD9665" w14:textId="7B651675" w:rsidR="002244B1" w:rsidRPr="002244B1" w:rsidRDefault="002244B1" w:rsidP="002244B1">
            <w:pPr>
              <w:spacing w:before="240" w:after="120"/>
              <w:jc w:val="center"/>
              <w:rPr>
                <w:rFonts w:ascii="Arial" w:hAnsi="Arial" w:cs="Arial"/>
                <w:b/>
                <w:sz w:val="20"/>
                <w:lang w:val="pt-BR"/>
              </w:rPr>
            </w:pPr>
            <w:r>
              <w:rPr>
                <w:rFonts w:ascii="Arial" w:hAnsi="Arial" w:cs="Arial"/>
                <w:b/>
                <w:sz w:val="20"/>
                <w:lang w:val="pt-BR"/>
              </w:rPr>
              <w:lastRenderedPageBreak/>
              <w:t xml:space="preserve">Selma Montenegro </w:t>
            </w:r>
            <w:r w:rsidRPr="002244B1">
              <w:rPr>
                <w:rFonts w:ascii="Arial" w:hAnsi="Arial" w:cs="Arial"/>
                <w:b/>
                <w:sz w:val="20"/>
                <w:lang w:val="pt-BR"/>
              </w:rPr>
              <w:t>(</w:t>
            </w:r>
            <w:r>
              <w:rPr>
                <w:rFonts w:ascii="Arial" w:hAnsi="Arial" w:cs="Arial"/>
                <w:b/>
                <w:sz w:val="20"/>
                <w:lang w:val="pt-BR"/>
              </w:rPr>
              <w:t>PA</w:t>
            </w:r>
            <w:r w:rsidR="00584457">
              <w:rPr>
                <w:rFonts w:ascii="Arial" w:hAnsi="Arial" w:cs="Arial"/>
                <w:b/>
                <w:sz w:val="20"/>
                <w:lang w:val="pt-BR"/>
              </w:rPr>
              <w:t>)</w:t>
            </w:r>
          </w:p>
        </w:tc>
        <w:tc>
          <w:tcPr>
            <w:tcW w:w="1686" w:type="dxa"/>
            <w:tcBorders>
              <w:left w:val="single" w:sz="18" w:space="0" w:color="auto"/>
            </w:tcBorders>
          </w:tcPr>
          <w:p w14:paraId="580F71EA" w14:textId="5B0DA999" w:rsidR="002244B1" w:rsidRPr="001C7207" w:rsidRDefault="001C7207" w:rsidP="002244B1">
            <w:pPr>
              <w:spacing w:after="120"/>
              <w:jc w:val="center"/>
              <w:rPr>
                <w:rFonts w:ascii="Arial" w:hAnsi="Arial" w:cs="Arial"/>
                <w:bCs/>
                <w:sz w:val="20"/>
                <w:lang w:val="pt-BR"/>
              </w:rPr>
            </w:pPr>
            <w:r>
              <w:rPr>
                <w:rFonts w:ascii="Arial" w:hAnsi="Arial" w:cs="Arial"/>
                <w:bCs/>
                <w:sz w:val="20"/>
                <w:lang w:val="pt-BR"/>
              </w:rPr>
              <w:t>Diminuição no uso de materiais oriundos da mineração</w:t>
            </w:r>
          </w:p>
        </w:tc>
        <w:tc>
          <w:tcPr>
            <w:tcW w:w="1417" w:type="dxa"/>
          </w:tcPr>
          <w:p w14:paraId="6391F3F3" w14:textId="3FFA37A2" w:rsidR="002244B1" w:rsidRPr="001C7207" w:rsidRDefault="001C7207" w:rsidP="002244B1">
            <w:pPr>
              <w:spacing w:after="120"/>
              <w:jc w:val="center"/>
              <w:rPr>
                <w:rFonts w:ascii="Arial" w:hAnsi="Arial" w:cs="Arial"/>
                <w:bCs/>
                <w:sz w:val="20"/>
                <w:lang w:val="pt-BR"/>
              </w:rPr>
            </w:pPr>
            <w:r>
              <w:rPr>
                <w:rFonts w:ascii="Arial" w:hAnsi="Arial" w:cs="Arial"/>
                <w:bCs/>
                <w:sz w:val="20"/>
                <w:lang w:val="pt-BR"/>
              </w:rPr>
              <w:t>Uso de materiais renováveis, reciclados e biodegradá</w:t>
            </w:r>
            <w:r w:rsidR="002F3D6B">
              <w:rPr>
                <w:rFonts w:ascii="Arial" w:hAnsi="Arial" w:cs="Arial"/>
                <w:bCs/>
                <w:sz w:val="20"/>
                <w:lang w:val="pt-BR"/>
              </w:rPr>
              <w:t>-</w:t>
            </w:r>
            <w:r>
              <w:rPr>
                <w:rFonts w:ascii="Arial" w:hAnsi="Arial" w:cs="Arial"/>
                <w:bCs/>
                <w:sz w:val="20"/>
                <w:lang w:val="pt-BR"/>
              </w:rPr>
              <w:t>veis</w:t>
            </w:r>
          </w:p>
        </w:tc>
        <w:tc>
          <w:tcPr>
            <w:tcW w:w="1560" w:type="dxa"/>
          </w:tcPr>
          <w:p w14:paraId="7148983A" w14:textId="77777777" w:rsidR="002244B1" w:rsidRPr="001C7207" w:rsidRDefault="002244B1" w:rsidP="002244B1">
            <w:pPr>
              <w:spacing w:after="120"/>
              <w:jc w:val="center"/>
              <w:rPr>
                <w:rFonts w:ascii="Arial" w:hAnsi="Arial" w:cs="Arial"/>
                <w:bCs/>
                <w:sz w:val="20"/>
                <w:lang w:val="pt-BR"/>
              </w:rPr>
            </w:pPr>
          </w:p>
        </w:tc>
        <w:tc>
          <w:tcPr>
            <w:tcW w:w="1417" w:type="dxa"/>
          </w:tcPr>
          <w:p w14:paraId="0904D8F1" w14:textId="5143EBB7" w:rsidR="002244B1" w:rsidRPr="001C7207" w:rsidRDefault="001C7207" w:rsidP="002244B1">
            <w:pPr>
              <w:spacing w:after="120"/>
              <w:jc w:val="center"/>
              <w:rPr>
                <w:rFonts w:ascii="Arial" w:hAnsi="Arial" w:cs="Arial"/>
                <w:bCs/>
                <w:sz w:val="20"/>
                <w:lang w:val="pt-BR"/>
              </w:rPr>
            </w:pPr>
            <w:r>
              <w:rPr>
                <w:rFonts w:ascii="Arial" w:hAnsi="Arial" w:cs="Arial"/>
                <w:bCs/>
                <w:sz w:val="20"/>
                <w:lang w:val="pt-BR"/>
              </w:rPr>
              <w:t>Uso de material local, facilidade de separação</w:t>
            </w:r>
          </w:p>
        </w:tc>
        <w:tc>
          <w:tcPr>
            <w:tcW w:w="1667" w:type="dxa"/>
            <w:tcBorders>
              <w:right w:val="single" w:sz="18" w:space="0" w:color="auto"/>
            </w:tcBorders>
          </w:tcPr>
          <w:p w14:paraId="1A03505F" w14:textId="1BA0C5B6" w:rsidR="002244B1" w:rsidRPr="001C7207" w:rsidRDefault="001C7207" w:rsidP="002244B1">
            <w:pPr>
              <w:spacing w:after="120"/>
              <w:jc w:val="center"/>
              <w:rPr>
                <w:rFonts w:ascii="Arial" w:hAnsi="Arial" w:cs="Arial"/>
                <w:bCs/>
                <w:sz w:val="20"/>
                <w:lang w:val="pt-BR"/>
              </w:rPr>
            </w:pPr>
            <w:r>
              <w:rPr>
                <w:rFonts w:ascii="Arial" w:hAnsi="Arial" w:cs="Arial"/>
                <w:bCs/>
                <w:sz w:val="20"/>
                <w:lang w:val="pt-BR"/>
              </w:rPr>
              <w:t>Uso de estruturas modulares</w:t>
            </w:r>
          </w:p>
        </w:tc>
      </w:tr>
      <w:tr w:rsidR="001C7207" w:rsidRPr="002244B1" w14:paraId="1FBB71E3" w14:textId="77777777" w:rsidTr="002F3D6B">
        <w:trPr>
          <w:jc w:val="center"/>
        </w:trPr>
        <w:tc>
          <w:tcPr>
            <w:tcW w:w="1541" w:type="dxa"/>
            <w:tcBorders>
              <w:left w:val="single" w:sz="18" w:space="0" w:color="auto"/>
              <w:right w:val="single" w:sz="18" w:space="0" w:color="auto"/>
            </w:tcBorders>
          </w:tcPr>
          <w:p w14:paraId="058097A9" w14:textId="7B644B49" w:rsidR="002244B1" w:rsidRPr="002244B1" w:rsidRDefault="002244B1" w:rsidP="002244B1">
            <w:pPr>
              <w:spacing w:after="120"/>
              <w:jc w:val="center"/>
              <w:rPr>
                <w:rFonts w:ascii="Arial" w:hAnsi="Arial" w:cs="Arial"/>
                <w:b/>
                <w:sz w:val="20"/>
                <w:lang w:val="pt-BR"/>
              </w:rPr>
            </w:pPr>
            <w:r>
              <w:rPr>
                <w:rFonts w:ascii="Arial" w:hAnsi="Arial" w:cs="Arial"/>
                <w:b/>
                <w:sz w:val="20"/>
                <w:lang w:val="pt-BR"/>
              </w:rPr>
              <w:t xml:space="preserve">Flávia Amadeu </w:t>
            </w:r>
            <w:r w:rsidRPr="002244B1">
              <w:rPr>
                <w:rFonts w:ascii="Arial" w:hAnsi="Arial" w:cs="Arial"/>
                <w:b/>
                <w:sz w:val="20"/>
                <w:lang w:val="pt-BR"/>
              </w:rPr>
              <w:t>(</w:t>
            </w:r>
            <w:r>
              <w:rPr>
                <w:rFonts w:ascii="Arial" w:hAnsi="Arial" w:cs="Arial"/>
                <w:b/>
                <w:sz w:val="20"/>
                <w:lang w:val="pt-BR"/>
              </w:rPr>
              <w:t>DF/AC)</w:t>
            </w:r>
          </w:p>
        </w:tc>
        <w:tc>
          <w:tcPr>
            <w:tcW w:w="1686" w:type="dxa"/>
            <w:tcBorders>
              <w:left w:val="single" w:sz="18" w:space="0" w:color="auto"/>
            </w:tcBorders>
          </w:tcPr>
          <w:p w14:paraId="3146D49C" w14:textId="77777777" w:rsidR="002244B1" w:rsidRPr="001C7207" w:rsidRDefault="002244B1" w:rsidP="002244B1">
            <w:pPr>
              <w:spacing w:after="120"/>
              <w:jc w:val="center"/>
              <w:rPr>
                <w:rFonts w:ascii="Arial" w:hAnsi="Arial" w:cs="Arial"/>
                <w:bCs/>
                <w:sz w:val="20"/>
                <w:lang w:val="pt-BR"/>
              </w:rPr>
            </w:pPr>
          </w:p>
        </w:tc>
        <w:tc>
          <w:tcPr>
            <w:tcW w:w="1417" w:type="dxa"/>
          </w:tcPr>
          <w:p w14:paraId="05573094" w14:textId="522E49ED" w:rsidR="002244B1" w:rsidRPr="001C7207" w:rsidRDefault="001C7207" w:rsidP="002244B1">
            <w:pPr>
              <w:spacing w:after="120"/>
              <w:jc w:val="center"/>
              <w:rPr>
                <w:rFonts w:ascii="Arial" w:hAnsi="Arial" w:cs="Arial"/>
                <w:bCs/>
                <w:sz w:val="20"/>
                <w:lang w:val="pt-BR"/>
              </w:rPr>
            </w:pPr>
            <w:r>
              <w:rPr>
                <w:rFonts w:ascii="Arial" w:hAnsi="Arial" w:cs="Arial"/>
                <w:bCs/>
                <w:sz w:val="20"/>
                <w:lang w:val="pt-BR"/>
              </w:rPr>
              <w:t>Uso de materiais renováveis</w:t>
            </w:r>
          </w:p>
        </w:tc>
        <w:tc>
          <w:tcPr>
            <w:tcW w:w="1560" w:type="dxa"/>
          </w:tcPr>
          <w:p w14:paraId="7CEF5150" w14:textId="77777777" w:rsidR="002244B1" w:rsidRPr="001C7207" w:rsidRDefault="002244B1" w:rsidP="002244B1">
            <w:pPr>
              <w:spacing w:after="120"/>
              <w:jc w:val="center"/>
              <w:rPr>
                <w:rFonts w:ascii="Arial" w:hAnsi="Arial" w:cs="Arial"/>
                <w:bCs/>
                <w:sz w:val="20"/>
                <w:lang w:val="pt-BR"/>
              </w:rPr>
            </w:pPr>
          </w:p>
        </w:tc>
        <w:tc>
          <w:tcPr>
            <w:tcW w:w="1417" w:type="dxa"/>
          </w:tcPr>
          <w:p w14:paraId="040F6912" w14:textId="69433516" w:rsidR="002244B1" w:rsidRPr="001C7207" w:rsidRDefault="001C7207" w:rsidP="002244B1">
            <w:pPr>
              <w:spacing w:after="120"/>
              <w:jc w:val="center"/>
              <w:rPr>
                <w:rFonts w:ascii="Arial" w:hAnsi="Arial" w:cs="Arial"/>
                <w:bCs/>
                <w:sz w:val="20"/>
                <w:lang w:val="pt-BR"/>
              </w:rPr>
            </w:pPr>
            <w:r>
              <w:rPr>
                <w:rFonts w:ascii="Arial" w:hAnsi="Arial" w:cs="Arial"/>
                <w:bCs/>
                <w:sz w:val="20"/>
                <w:lang w:val="pt-BR"/>
              </w:rPr>
              <w:t>Identificação dos materiais</w:t>
            </w:r>
          </w:p>
        </w:tc>
        <w:tc>
          <w:tcPr>
            <w:tcW w:w="1667" w:type="dxa"/>
            <w:tcBorders>
              <w:right w:val="single" w:sz="18" w:space="0" w:color="auto"/>
            </w:tcBorders>
          </w:tcPr>
          <w:p w14:paraId="5E3E8685" w14:textId="77777777" w:rsidR="002244B1" w:rsidRPr="001C7207" w:rsidRDefault="002244B1" w:rsidP="002244B1">
            <w:pPr>
              <w:spacing w:after="120"/>
              <w:jc w:val="center"/>
              <w:rPr>
                <w:rFonts w:ascii="Arial" w:hAnsi="Arial" w:cs="Arial"/>
                <w:bCs/>
                <w:sz w:val="20"/>
                <w:lang w:val="pt-BR"/>
              </w:rPr>
            </w:pPr>
          </w:p>
        </w:tc>
      </w:tr>
      <w:tr w:rsidR="001C7207" w:rsidRPr="002244B1" w14:paraId="6FD689D9" w14:textId="77777777" w:rsidTr="002F3D6B">
        <w:trPr>
          <w:jc w:val="center"/>
        </w:trPr>
        <w:tc>
          <w:tcPr>
            <w:tcW w:w="1541" w:type="dxa"/>
            <w:tcBorders>
              <w:left w:val="single" w:sz="18" w:space="0" w:color="auto"/>
              <w:right w:val="single" w:sz="18" w:space="0" w:color="auto"/>
            </w:tcBorders>
          </w:tcPr>
          <w:p w14:paraId="750CD592" w14:textId="35FD6B71" w:rsidR="002244B1" w:rsidRPr="002244B1" w:rsidRDefault="002244B1" w:rsidP="002244B1">
            <w:pPr>
              <w:spacing w:after="120"/>
              <w:jc w:val="center"/>
              <w:rPr>
                <w:rFonts w:ascii="Arial" w:hAnsi="Arial" w:cs="Arial"/>
                <w:b/>
                <w:sz w:val="20"/>
                <w:lang w:val="pt-BR"/>
              </w:rPr>
            </w:pPr>
            <w:r>
              <w:rPr>
                <w:rFonts w:ascii="Arial" w:hAnsi="Arial" w:cs="Arial"/>
                <w:b/>
                <w:sz w:val="20"/>
                <w:lang w:val="pt-BR"/>
              </w:rPr>
              <w:t xml:space="preserve">Itaporarte </w:t>
            </w:r>
            <w:r w:rsidRPr="002244B1">
              <w:rPr>
                <w:rFonts w:ascii="Arial" w:hAnsi="Arial" w:cs="Arial"/>
                <w:b/>
                <w:sz w:val="20"/>
                <w:lang w:val="pt-BR"/>
              </w:rPr>
              <w:t>(</w:t>
            </w:r>
            <w:r>
              <w:rPr>
                <w:rFonts w:ascii="Arial" w:hAnsi="Arial" w:cs="Arial"/>
                <w:b/>
                <w:sz w:val="20"/>
                <w:lang w:val="pt-BR"/>
              </w:rPr>
              <w:t>MG)</w:t>
            </w:r>
          </w:p>
        </w:tc>
        <w:tc>
          <w:tcPr>
            <w:tcW w:w="1686" w:type="dxa"/>
            <w:tcBorders>
              <w:left w:val="single" w:sz="18" w:space="0" w:color="auto"/>
            </w:tcBorders>
          </w:tcPr>
          <w:p w14:paraId="086A4684" w14:textId="4710BFD7" w:rsidR="002244B1" w:rsidRPr="001C7207" w:rsidRDefault="001C7207" w:rsidP="002244B1">
            <w:pPr>
              <w:spacing w:after="120"/>
              <w:jc w:val="center"/>
              <w:rPr>
                <w:rFonts w:ascii="Arial" w:hAnsi="Arial" w:cs="Arial"/>
                <w:bCs/>
                <w:sz w:val="20"/>
                <w:lang w:val="pt-BR"/>
              </w:rPr>
            </w:pPr>
            <w:r>
              <w:rPr>
                <w:rFonts w:ascii="Arial" w:hAnsi="Arial" w:cs="Arial"/>
                <w:bCs/>
                <w:sz w:val="20"/>
                <w:lang w:val="pt-BR"/>
              </w:rPr>
              <w:t>Reaproveitamento de rejeitos da mineração</w:t>
            </w:r>
          </w:p>
        </w:tc>
        <w:tc>
          <w:tcPr>
            <w:tcW w:w="1417" w:type="dxa"/>
          </w:tcPr>
          <w:p w14:paraId="701FEED2" w14:textId="4AD5F9B2" w:rsidR="002244B1" w:rsidRPr="001C7207" w:rsidRDefault="001C7207" w:rsidP="002244B1">
            <w:pPr>
              <w:spacing w:after="120"/>
              <w:jc w:val="center"/>
              <w:rPr>
                <w:rFonts w:ascii="Arial" w:hAnsi="Arial" w:cs="Arial"/>
                <w:bCs/>
                <w:sz w:val="20"/>
                <w:lang w:val="pt-BR"/>
              </w:rPr>
            </w:pPr>
            <w:r>
              <w:rPr>
                <w:rFonts w:ascii="Arial" w:hAnsi="Arial" w:cs="Arial"/>
                <w:bCs/>
                <w:sz w:val="20"/>
                <w:lang w:val="pt-BR"/>
              </w:rPr>
              <w:t>Uso de materiais de refugo de processo produtivo</w:t>
            </w:r>
          </w:p>
        </w:tc>
        <w:tc>
          <w:tcPr>
            <w:tcW w:w="1560" w:type="dxa"/>
          </w:tcPr>
          <w:p w14:paraId="1419E953" w14:textId="77777777" w:rsidR="002244B1" w:rsidRPr="001C7207" w:rsidRDefault="002244B1" w:rsidP="002244B1">
            <w:pPr>
              <w:spacing w:after="120"/>
              <w:jc w:val="center"/>
              <w:rPr>
                <w:rFonts w:ascii="Arial" w:hAnsi="Arial" w:cs="Arial"/>
                <w:bCs/>
                <w:sz w:val="20"/>
                <w:lang w:val="pt-BR"/>
              </w:rPr>
            </w:pPr>
          </w:p>
        </w:tc>
        <w:tc>
          <w:tcPr>
            <w:tcW w:w="1417" w:type="dxa"/>
          </w:tcPr>
          <w:p w14:paraId="4118D285" w14:textId="40F95AE9" w:rsidR="002244B1" w:rsidRPr="001C7207" w:rsidRDefault="001C7207" w:rsidP="002244B1">
            <w:pPr>
              <w:spacing w:after="120"/>
              <w:jc w:val="center"/>
              <w:rPr>
                <w:rFonts w:ascii="Arial" w:hAnsi="Arial" w:cs="Arial"/>
                <w:bCs/>
                <w:sz w:val="20"/>
                <w:lang w:val="pt-BR"/>
              </w:rPr>
            </w:pPr>
            <w:r>
              <w:rPr>
                <w:rFonts w:ascii="Arial" w:hAnsi="Arial" w:cs="Arial"/>
                <w:bCs/>
                <w:sz w:val="20"/>
                <w:lang w:val="pt-BR"/>
              </w:rPr>
              <w:t>Reciclagem</w:t>
            </w:r>
          </w:p>
        </w:tc>
        <w:tc>
          <w:tcPr>
            <w:tcW w:w="1667" w:type="dxa"/>
            <w:tcBorders>
              <w:right w:val="single" w:sz="18" w:space="0" w:color="auto"/>
            </w:tcBorders>
          </w:tcPr>
          <w:p w14:paraId="70510916" w14:textId="77777777" w:rsidR="002244B1" w:rsidRPr="001C7207" w:rsidRDefault="002244B1" w:rsidP="002244B1">
            <w:pPr>
              <w:spacing w:after="120"/>
              <w:jc w:val="center"/>
              <w:rPr>
                <w:rFonts w:ascii="Arial" w:hAnsi="Arial" w:cs="Arial"/>
                <w:bCs/>
                <w:sz w:val="20"/>
                <w:lang w:val="pt-BR"/>
              </w:rPr>
            </w:pPr>
          </w:p>
        </w:tc>
      </w:tr>
      <w:tr w:rsidR="001C7207" w:rsidRPr="002244B1" w14:paraId="5FD3551A" w14:textId="77777777" w:rsidTr="002F3D6B">
        <w:trPr>
          <w:jc w:val="center"/>
        </w:trPr>
        <w:tc>
          <w:tcPr>
            <w:tcW w:w="1541" w:type="dxa"/>
            <w:tcBorders>
              <w:left w:val="single" w:sz="18" w:space="0" w:color="auto"/>
              <w:right w:val="single" w:sz="18" w:space="0" w:color="auto"/>
            </w:tcBorders>
          </w:tcPr>
          <w:p w14:paraId="14734996" w14:textId="4F612DC2" w:rsidR="001C7207" w:rsidRPr="002244B1" w:rsidRDefault="001C7207" w:rsidP="001C7207">
            <w:pPr>
              <w:spacing w:before="240" w:after="120"/>
              <w:jc w:val="center"/>
              <w:rPr>
                <w:rFonts w:ascii="Arial" w:hAnsi="Arial" w:cs="Arial"/>
                <w:b/>
                <w:sz w:val="20"/>
                <w:lang w:val="pt-BR"/>
              </w:rPr>
            </w:pPr>
            <w:r>
              <w:rPr>
                <w:rFonts w:ascii="Arial" w:hAnsi="Arial" w:cs="Arial"/>
                <w:b/>
                <w:sz w:val="20"/>
                <w:lang w:val="pt-BR"/>
              </w:rPr>
              <w:t xml:space="preserve">Incrustação Paraense </w:t>
            </w:r>
            <w:r w:rsidRPr="002244B1">
              <w:rPr>
                <w:rFonts w:ascii="Arial" w:hAnsi="Arial" w:cs="Arial"/>
                <w:b/>
                <w:sz w:val="20"/>
                <w:lang w:val="pt-BR"/>
              </w:rPr>
              <w:t>(</w:t>
            </w:r>
            <w:r>
              <w:rPr>
                <w:rFonts w:ascii="Arial" w:hAnsi="Arial" w:cs="Arial"/>
                <w:b/>
                <w:sz w:val="20"/>
                <w:lang w:val="pt-BR"/>
              </w:rPr>
              <w:t>PA</w:t>
            </w:r>
          </w:p>
        </w:tc>
        <w:tc>
          <w:tcPr>
            <w:tcW w:w="1686" w:type="dxa"/>
            <w:tcBorders>
              <w:left w:val="single" w:sz="18" w:space="0" w:color="auto"/>
            </w:tcBorders>
          </w:tcPr>
          <w:p w14:paraId="25DACDCB" w14:textId="156039CC" w:rsidR="001C7207" w:rsidRPr="001C7207" w:rsidRDefault="001C7207" w:rsidP="001C7207">
            <w:pPr>
              <w:spacing w:after="120"/>
              <w:jc w:val="center"/>
              <w:rPr>
                <w:rFonts w:ascii="Arial" w:hAnsi="Arial" w:cs="Arial"/>
                <w:bCs/>
                <w:sz w:val="20"/>
                <w:lang w:val="pt-BR"/>
              </w:rPr>
            </w:pPr>
            <w:r>
              <w:rPr>
                <w:rFonts w:ascii="Arial" w:hAnsi="Arial" w:cs="Arial"/>
                <w:bCs/>
                <w:sz w:val="20"/>
                <w:lang w:val="pt-BR"/>
              </w:rPr>
              <w:t>Reaproveitamento de gemas e materiais “impróprios</w:t>
            </w:r>
            <w:r w:rsidR="00584457">
              <w:rPr>
                <w:rFonts w:ascii="Arial" w:hAnsi="Arial" w:cs="Arial"/>
                <w:bCs/>
                <w:sz w:val="20"/>
                <w:lang w:val="pt-BR"/>
              </w:rPr>
              <w:t>”</w:t>
            </w:r>
          </w:p>
        </w:tc>
        <w:tc>
          <w:tcPr>
            <w:tcW w:w="1417" w:type="dxa"/>
          </w:tcPr>
          <w:p w14:paraId="5615B777" w14:textId="7D3513AB" w:rsidR="001C7207" w:rsidRPr="001C7207" w:rsidRDefault="001C7207" w:rsidP="001C7207">
            <w:pPr>
              <w:spacing w:after="120"/>
              <w:jc w:val="center"/>
              <w:rPr>
                <w:rFonts w:ascii="Arial" w:hAnsi="Arial" w:cs="Arial"/>
                <w:bCs/>
                <w:sz w:val="20"/>
                <w:lang w:val="pt-BR"/>
              </w:rPr>
            </w:pPr>
            <w:r>
              <w:rPr>
                <w:rFonts w:ascii="Arial" w:hAnsi="Arial" w:cs="Arial"/>
                <w:bCs/>
                <w:sz w:val="20"/>
                <w:lang w:val="pt-BR"/>
              </w:rPr>
              <w:t>Uso de materiais renováveis, refugos e biodegradá</w:t>
            </w:r>
            <w:r w:rsidR="002F3D6B">
              <w:rPr>
                <w:rFonts w:ascii="Arial" w:hAnsi="Arial" w:cs="Arial"/>
                <w:bCs/>
                <w:sz w:val="20"/>
                <w:lang w:val="pt-BR"/>
              </w:rPr>
              <w:t>-</w:t>
            </w:r>
            <w:r>
              <w:rPr>
                <w:rFonts w:ascii="Arial" w:hAnsi="Arial" w:cs="Arial"/>
                <w:bCs/>
                <w:sz w:val="20"/>
                <w:lang w:val="pt-BR"/>
              </w:rPr>
              <w:t>veis</w:t>
            </w:r>
          </w:p>
        </w:tc>
        <w:tc>
          <w:tcPr>
            <w:tcW w:w="1560" w:type="dxa"/>
          </w:tcPr>
          <w:p w14:paraId="1A2C3E74" w14:textId="77777777" w:rsidR="001C7207" w:rsidRPr="001C7207" w:rsidRDefault="001C7207" w:rsidP="001C7207">
            <w:pPr>
              <w:spacing w:after="120"/>
              <w:jc w:val="center"/>
              <w:rPr>
                <w:rFonts w:ascii="Arial" w:hAnsi="Arial" w:cs="Arial"/>
                <w:bCs/>
                <w:sz w:val="20"/>
                <w:lang w:val="pt-BR"/>
              </w:rPr>
            </w:pPr>
          </w:p>
        </w:tc>
        <w:tc>
          <w:tcPr>
            <w:tcW w:w="1417" w:type="dxa"/>
          </w:tcPr>
          <w:p w14:paraId="2E64A309" w14:textId="2AD7AD67" w:rsidR="001C7207" w:rsidRPr="001C7207" w:rsidRDefault="001C7207" w:rsidP="001C7207">
            <w:pPr>
              <w:spacing w:after="120"/>
              <w:jc w:val="center"/>
              <w:rPr>
                <w:rFonts w:ascii="Arial" w:hAnsi="Arial" w:cs="Arial"/>
                <w:bCs/>
                <w:sz w:val="20"/>
                <w:lang w:val="pt-BR"/>
              </w:rPr>
            </w:pPr>
            <w:r>
              <w:rPr>
                <w:rFonts w:ascii="Arial" w:hAnsi="Arial" w:cs="Arial"/>
                <w:bCs/>
                <w:sz w:val="20"/>
                <w:lang w:val="pt-BR"/>
              </w:rPr>
              <w:t>Uso de material local e reciclagem</w:t>
            </w:r>
          </w:p>
        </w:tc>
        <w:tc>
          <w:tcPr>
            <w:tcW w:w="1667" w:type="dxa"/>
            <w:tcBorders>
              <w:right w:val="single" w:sz="18" w:space="0" w:color="auto"/>
            </w:tcBorders>
          </w:tcPr>
          <w:p w14:paraId="65CF6144" w14:textId="77777777" w:rsidR="001C7207" w:rsidRPr="001C7207" w:rsidRDefault="001C7207" w:rsidP="001C7207">
            <w:pPr>
              <w:spacing w:after="120"/>
              <w:jc w:val="center"/>
              <w:rPr>
                <w:rFonts w:ascii="Arial" w:hAnsi="Arial" w:cs="Arial"/>
                <w:bCs/>
                <w:sz w:val="20"/>
                <w:lang w:val="pt-BR"/>
              </w:rPr>
            </w:pPr>
          </w:p>
        </w:tc>
      </w:tr>
      <w:tr w:rsidR="001C7207" w:rsidRPr="002244B1" w14:paraId="03EE33E5" w14:textId="77777777" w:rsidTr="002F3D6B">
        <w:trPr>
          <w:jc w:val="center"/>
        </w:trPr>
        <w:tc>
          <w:tcPr>
            <w:tcW w:w="1541" w:type="dxa"/>
            <w:tcBorders>
              <w:left w:val="single" w:sz="18" w:space="0" w:color="auto"/>
              <w:right w:val="single" w:sz="18" w:space="0" w:color="auto"/>
            </w:tcBorders>
          </w:tcPr>
          <w:p w14:paraId="4974B9C2" w14:textId="4C333E74" w:rsidR="001C7207" w:rsidRPr="002244B1" w:rsidRDefault="001C7207" w:rsidP="001C7207">
            <w:pPr>
              <w:spacing w:after="120"/>
              <w:jc w:val="center"/>
              <w:rPr>
                <w:rFonts w:ascii="Arial" w:hAnsi="Arial" w:cs="Arial"/>
                <w:b/>
                <w:sz w:val="20"/>
                <w:lang w:val="pt-BR"/>
              </w:rPr>
            </w:pPr>
            <w:r>
              <w:rPr>
                <w:rFonts w:ascii="Arial" w:hAnsi="Arial" w:cs="Arial"/>
                <w:b/>
                <w:sz w:val="20"/>
                <w:lang w:val="pt-BR"/>
              </w:rPr>
              <w:t xml:space="preserve">Valéria Sá </w:t>
            </w:r>
            <w:r w:rsidRPr="002244B1">
              <w:rPr>
                <w:rFonts w:ascii="Arial" w:hAnsi="Arial" w:cs="Arial"/>
                <w:b/>
                <w:sz w:val="20"/>
                <w:lang w:val="pt-BR"/>
              </w:rPr>
              <w:t>(</w:t>
            </w:r>
            <w:r>
              <w:rPr>
                <w:rFonts w:ascii="Arial" w:hAnsi="Arial" w:cs="Arial"/>
                <w:b/>
                <w:sz w:val="20"/>
                <w:lang w:val="pt-BR"/>
              </w:rPr>
              <w:t xml:space="preserve">RS)/ Lunar Joias </w:t>
            </w:r>
            <w:r w:rsidRPr="002244B1">
              <w:rPr>
                <w:rFonts w:ascii="Arial" w:hAnsi="Arial" w:cs="Arial"/>
                <w:b/>
                <w:sz w:val="20"/>
                <w:lang w:val="pt-BR"/>
              </w:rPr>
              <w:t>(</w:t>
            </w:r>
            <w:r>
              <w:rPr>
                <w:rFonts w:ascii="Arial" w:hAnsi="Arial" w:cs="Arial"/>
                <w:b/>
                <w:sz w:val="20"/>
                <w:lang w:val="pt-BR"/>
              </w:rPr>
              <w:t>PE)</w:t>
            </w:r>
          </w:p>
        </w:tc>
        <w:tc>
          <w:tcPr>
            <w:tcW w:w="1686" w:type="dxa"/>
            <w:tcBorders>
              <w:left w:val="single" w:sz="18" w:space="0" w:color="auto"/>
            </w:tcBorders>
          </w:tcPr>
          <w:p w14:paraId="1E073639" w14:textId="034E7606" w:rsidR="001C7207" w:rsidRPr="001C7207" w:rsidRDefault="001C7207" w:rsidP="001C7207">
            <w:pPr>
              <w:spacing w:after="120"/>
              <w:jc w:val="center"/>
              <w:rPr>
                <w:rFonts w:ascii="Arial" w:hAnsi="Arial" w:cs="Arial"/>
                <w:bCs/>
                <w:sz w:val="20"/>
                <w:lang w:val="pt-BR"/>
              </w:rPr>
            </w:pPr>
            <w:r>
              <w:rPr>
                <w:rFonts w:ascii="Arial" w:hAnsi="Arial" w:cs="Arial"/>
                <w:bCs/>
                <w:sz w:val="20"/>
                <w:lang w:val="pt-BR"/>
              </w:rPr>
              <w:t>Diminuição no uso de materiais oriundos da mineração</w:t>
            </w:r>
          </w:p>
        </w:tc>
        <w:tc>
          <w:tcPr>
            <w:tcW w:w="1417" w:type="dxa"/>
          </w:tcPr>
          <w:p w14:paraId="15B7EE05" w14:textId="22AA13A5" w:rsidR="001C7207" w:rsidRPr="001C7207" w:rsidRDefault="001C7207" w:rsidP="001C7207">
            <w:pPr>
              <w:spacing w:after="120"/>
              <w:jc w:val="center"/>
              <w:rPr>
                <w:rFonts w:ascii="Arial" w:hAnsi="Arial" w:cs="Arial"/>
                <w:bCs/>
                <w:sz w:val="20"/>
                <w:lang w:val="pt-BR"/>
              </w:rPr>
            </w:pPr>
            <w:r>
              <w:rPr>
                <w:rFonts w:ascii="Arial" w:hAnsi="Arial" w:cs="Arial"/>
                <w:bCs/>
                <w:sz w:val="20"/>
                <w:lang w:val="pt-BR"/>
              </w:rPr>
              <w:t>Uso de materiais renováveis e refugo de processos</w:t>
            </w:r>
          </w:p>
        </w:tc>
        <w:tc>
          <w:tcPr>
            <w:tcW w:w="1560" w:type="dxa"/>
          </w:tcPr>
          <w:p w14:paraId="4C32E9F7" w14:textId="107A2CC5" w:rsidR="001C7207" w:rsidRPr="001C7207" w:rsidRDefault="001C7207" w:rsidP="001C7207">
            <w:pPr>
              <w:spacing w:after="120"/>
              <w:jc w:val="center"/>
              <w:rPr>
                <w:rFonts w:ascii="Arial" w:hAnsi="Arial" w:cs="Arial"/>
                <w:bCs/>
                <w:sz w:val="20"/>
                <w:lang w:val="pt-BR"/>
              </w:rPr>
            </w:pPr>
            <w:r>
              <w:rPr>
                <w:rFonts w:ascii="Arial" w:hAnsi="Arial" w:cs="Arial"/>
                <w:bCs/>
                <w:sz w:val="20"/>
                <w:lang w:val="pt-BR"/>
              </w:rPr>
              <w:t>Durabilidade e facilidade de reparo, reutilização e refabrica</w:t>
            </w:r>
            <w:r w:rsidR="00584457">
              <w:rPr>
                <w:rFonts w:ascii="Arial" w:hAnsi="Arial" w:cs="Arial"/>
                <w:bCs/>
                <w:sz w:val="20"/>
                <w:lang w:val="pt-BR"/>
              </w:rPr>
              <w:t>ç</w:t>
            </w:r>
            <w:r>
              <w:rPr>
                <w:rFonts w:ascii="Arial" w:hAnsi="Arial" w:cs="Arial"/>
                <w:bCs/>
                <w:sz w:val="20"/>
                <w:lang w:val="pt-BR"/>
              </w:rPr>
              <w:t>ão</w:t>
            </w:r>
          </w:p>
        </w:tc>
        <w:tc>
          <w:tcPr>
            <w:tcW w:w="1417" w:type="dxa"/>
          </w:tcPr>
          <w:p w14:paraId="584692C1" w14:textId="7ED5A098" w:rsidR="001C7207" w:rsidRPr="001C7207" w:rsidRDefault="001C7207" w:rsidP="001C7207">
            <w:pPr>
              <w:spacing w:after="120"/>
              <w:jc w:val="center"/>
              <w:rPr>
                <w:rFonts w:ascii="Arial" w:hAnsi="Arial" w:cs="Arial"/>
                <w:bCs/>
                <w:sz w:val="20"/>
                <w:lang w:val="pt-BR"/>
              </w:rPr>
            </w:pPr>
            <w:r>
              <w:rPr>
                <w:rFonts w:ascii="Arial" w:hAnsi="Arial" w:cs="Arial"/>
                <w:bCs/>
                <w:sz w:val="20"/>
                <w:lang w:val="pt-BR"/>
              </w:rPr>
              <w:t>Reciclage</w:t>
            </w:r>
            <w:r w:rsidR="002F3D6B">
              <w:rPr>
                <w:rFonts w:ascii="Arial" w:hAnsi="Arial" w:cs="Arial"/>
                <w:bCs/>
                <w:sz w:val="20"/>
                <w:lang w:val="pt-BR"/>
              </w:rPr>
              <w:t>m</w:t>
            </w:r>
            <w:r>
              <w:rPr>
                <w:rFonts w:ascii="Arial" w:hAnsi="Arial" w:cs="Arial"/>
                <w:bCs/>
                <w:sz w:val="20"/>
                <w:lang w:val="pt-BR"/>
              </w:rPr>
              <w:t>, identificação e facilidade de separação</w:t>
            </w:r>
          </w:p>
        </w:tc>
        <w:tc>
          <w:tcPr>
            <w:tcW w:w="1667" w:type="dxa"/>
            <w:tcBorders>
              <w:right w:val="single" w:sz="18" w:space="0" w:color="auto"/>
            </w:tcBorders>
          </w:tcPr>
          <w:p w14:paraId="2678D0C7" w14:textId="7F021BA9" w:rsidR="001C7207" w:rsidRPr="001C7207" w:rsidRDefault="001C7207" w:rsidP="001C7207">
            <w:pPr>
              <w:spacing w:after="120"/>
              <w:jc w:val="center"/>
              <w:rPr>
                <w:rFonts w:ascii="Arial" w:hAnsi="Arial" w:cs="Arial"/>
                <w:bCs/>
                <w:sz w:val="20"/>
                <w:lang w:val="pt-BR"/>
              </w:rPr>
            </w:pPr>
            <w:r>
              <w:rPr>
                <w:rFonts w:ascii="Arial" w:hAnsi="Arial" w:cs="Arial"/>
                <w:bCs/>
                <w:sz w:val="20"/>
                <w:lang w:val="pt-BR"/>
              </w:rPr>
              <w:t>Sistemas de junção removíveis</w:t>
            </w:r>
          </w:p>
        </w:tc>
      </w:tr>
      <w:tr w:rsidR="001C7207" w:rsidRPr="002244B1" w14:paraId="79E5ED0E" w14:textId="77777777" w:rsidTr="002F3D6B">
        <w:trPr>
          <w:jc w:val="center"/>
        </w:trPr>
        <w:tc>
          <w:tcPr>
            <w:tcW w:w="1541" w:type="dxa"/>
            <w:tcBorders>
              <w:left w:val="single" w:sz="18" w:space="0" w:color="auto"/>
              <w:right w:val="single" w:sz="18" w:space="0" w:color="auto"/>
            </w:tcBorders>
          </w:tcPr>
          <w:p w14:paraId="6449843F" w14:textId="50F532B5" w:rsidR="001C7207" w:rsidRPr="002244B1" w:rsidRDefault="001C7207" w:rsidP="001C7207">
            <w:pPr>
              <w:spacing w:after="120"/>
              <w:jc w:val="center"/>
              <w:rPr>
                <w:rFonts w:ascii="Arial" w:hAnsi="Arial" w:cs="Arial"/>
                <w:b/>
                <w:sz w:val="20"/>
                <w:lang w:val="pt-BR"/>
              </w:rPr>
            </w:pPr>
            <w:r>
              <w:rPr>
                <w:rFonts w:ascii="Arial" w:hAnsi="Arial" w:cs="Arial"/>
                <w:b/>
                <w:sz w:val="20"/>
                <w:lang w:val="pt-BR"/>
              </w:rPr>
              <w:t xml:space="preserve">Design Tun </w:t>
            </w:r>
            <w:r w:rsidRPr="002244B1">
              <w:rPr>
                <w:rFonts w:ascii="Arial" w:hAnsi="Arial" w:cs="Arial"/>
                <w:b/>
                <w:sz w:val="20"/>
                <w:lang w:val="pt-BR"/>
              </w:rPr>
              <w:t>(</w:t>
            </w:r>
            <w:r>
              <w:rPr>
                <w:rFonts w:ascii="Arial" w:hAnsi="Arial" w:cs="Arial"/>
                <w:b/>
                <w:sz w:val="20"/>
                <w:lang w:val="pt-BR"/>
              </w:rPr>
              <w:t xml:space="preserve">RS)/ Divina Eco </w:t>
            </w:r>
            <w:r w:rsidRPr="002244B1">
              <w:rPr>
                <w:rFonts w:ascii="Arial" w:hAnsi="Arial" w:cs="Arial"/>
                <w:b/>
                <w:sz w:val="20"/>
                <w:lang w:val="pt-BR"/>
              </w:rPr>
              <w:t>(</w:t>
            </w:r>
            <w:r>
              <w:rPr>
                <w:rFonts w:ascii="Arial" w:hAnsi="Arial" w:cs="Arial"/>
                <w:b/>
                <w:sz w:val="20"/>
                <w:lang w:val="pt-BR"/>
              </w:rPr>
              <w:t>SP)</w:t>
            </w:r>
          </w:p>
        </w:tc>
        <w:tc>
          <w:tcPr>
            <w:tcW w:w="1686" w:type="dxa"/>
            <w:tcBorders>
              <w:left w:val="single" w:sz="18" w:space="0" w:color="auto"/>
            </w:tcBorders>
          </w:tcPr>
          <w:p w14:paraId="73635D98" w14:textId="61792C77" w:rsidR="001C7207" w:rsidRPr="001C7207" w:rsidRDefault="001C7207" w:rsidP="001C7207">
            <w:pPr>
              <w:spacing w:after="120"/>
              <w:jc w:val="center"/>
              <w:rPr>
                <w:rFonts w:ascii="Arial" w:hAnsi="Arial" w:cs="Arial"/>
                <w:bCs/>
                <w:sz w:val="20"/>
                <w:lang w:val="pt-BR"/>
              </w:rPr>
            </w:pPr>
            <w:r>
              <w:rPr>
                <w:rFonts w:ascii="Arial" w:hAnsi="Arial" w:cs="Arial"/>
                <w:bCs/>
                <w:sz w:val="20"/>
                <w:lang w:val="pt-BR"/>
              </w:rPr>
              <w:t xml:space="preserve">Uso de tecnologias de corte </w:t>
            </w:r>
            <w:r w:rsidRPr="001C7207">
              <w:rPr>
                <w:rFonts w:ascii="Arial" w:hAnsi="Arial" w:cs="Arial"/>
                <w:bCs/>
                <w:sz w:val="20"/>
                <w:lang w:val="pt-BR"/>
              </w:rPr>
              <w:t>(</w:t>
            </w:r>
            <w:r>
              <w:rPr>
                <w:rFonts w:ascii="Arial" w:hAnsi="Arial" w:cs="Arial"/>
                <w:bCs/>
                <w:sz w:val="20"/>
                <w:lang w:val="pt-BR"/>
              </w:rPr>
              <w:t>maior produção, menor perda)</w:t>
            </w:r>
          </w:p>
        </w:tc>
        <w:tc>
          <w:tcPr>
            <w:tcW w:w="1417" w:type="dxa"/>
          </w:tcPr>
          <w:p w14:paraId="460A81F6" w14:textId="1176941F" w:rsidR="001C7207" w:rsidRPr="001C7207" w:rsidRDefault="001C7207" w:rsidP="001C7207">
            <w:pPr>
              <w:spacing w:after="120"/>
              <w:jc w:val="center"/>
              <w:rPr>
                <w:rFonts w:ascii="Arial" w:hAnsi="Arial" w:cs="Arial"/>
                <w:bCs/>
                <w:sz w:val="20"/>
                <w:lang w:val="pt-BR"/>
              </w:rPr>
            </w:pPr>
            <w:r>
              <w:rPr>
                <w:rFonts w:ascii="Arial" w:hAnsi="Arial" w:cs="Arial"/>
                <w:bCs/>
                <w:sz w:val="20"/>
                <w:lang w:val="pt-BR"/>
              </w:rPr>
              <w:t>Adoção de materiais reciclados</w:t>
            </w:r>
          </w:p>
        </w:tc>
        <w:tc>
          <w:tcPr>
            <w:tcW w:w="1560" w:type="dxa"/>
          </w:tcPr>
          <w:p w14:paraId="1C288A05" w14:textId="66D08492" w:rsidR="001C7207" w:rsidRPr="001C7207" w:rsidRDefault="001C7207" w:rsidP="001C7207">
            <w:pPr>
              <w:spacing w:after="120"/>
              <w:jc w:val="center"/>
              <w:rPr>
                <w:rFonts w:ascii="Arial" w:hAnsi="Arial" w:cs="Arial"/>
                <w:bCs/>
                <w:sz w:val="20"/>
                <w:lang w:val="pt-BR"/>
              </w:rPr>
            </w:pPr>
            <w:r>
              <w:rPr>
                <w:rFonts w:ascii="Arial" w:hAnsi="Arial" w:cs="Arial"/>
                <w:bCs/>
                <w:sz w:val="20"/>
                <w:lang w:val="pt-BR"/>
              </w:rPr>
              <w:t>Durabilidade, confiabilidade e alto potencial de reciclagem</w:t>
            </w:r>
          </w:p>
        </w:tc>
        <w:tc>
          <w:tcPr>
            <w:tcW w:w="1417" w:type="dxa"/>
          </w:tcPr>
          <w:p w14:paraId="5A439883" w14:textId="28844EB6" w:rsidR="001C7207" w:rsidRPr="001C7207" w:rsidRDefault="00584457" w:rsidP="001C7207">
            <w:pPr>
              <w:spacing w:after="120"/>
              <w:jc w:val="center"/>
              <w:rPr>
                <w:rFonts w:ascii="Arial" w:hAnsi="Arial" w:cs="Arial"/>
                <w:bCs/>
                <w:sz w:val="20"/>
                <w:lang w:val="pt-BR"/>
              </w:rPr>
            </w:pPr>
            <w:r>
              <w:rPr>
                <w:rFonts w:ascii="Arial" w:hAnsi="Arial" w:cs="Arial"/>
                <w:bCs/>
                <w:sz w:val="20"/>
                <w:lang w:val="pt-BR"/>
              </w:rPr>
              <w:t>Reciclagem, identificação e facilidade de separação</w:t>
            </w:r>
          </w:p>
        </w:tc>
        <w:tc>
          <w:tcPr>
            <w:tcW w:w="1667" w:type="dxa"/>
            <w:tcBorders>
              <w:right w:val="single" w:sz="18" w:space="0" w:color="auto"/>
            </w:tcBorders>
          </w:tcPr>
          <w:p w14:paraId="6E3ECA5B" w14:textId="5D0A06B2" w:rsidR="001C7207" w:rsidRPr="001C7207" w:rsidRDefault="00584457" w:rsidP="001C7207">
            <w:pPr>
              <w:spacing w:after="120"/>
              <w:jc w:val="center"/>
              <w:rPr>
                <w:rFonts w:ascii="Arial" w:hAnsi="Arial" w:cs="Arial"/>
                <w:bCs/>
                <w:sz w:val="20"/>
                <w:lang w:val="pt-BR"/>
              </w:rPr>
            </w:pPr>
            <w:r>
              <w:rPr>
                <w:rFonts w:ascii="Arial" w:hAnsi="Arial" w:cs="Arial"/>
                <w:bCs/>
                <w:sz w:val="20"/>
                <w:lang w:val="pt-BR"/>
              </w:rPr>
              <w:t>Material único e reciclável</w:t>
            </w:r>
          </w:p>
        </w:tc>
      </w:tr>
      <w:tr w:rsidR="001C7207" w:rsidRPr="002244B1" w14:paraId="4C25FE0D" w14:textId="77777777" w:rsidTr="002F3D6B">
        <w:trPr>
          <w:jc w:val="center"/>
        </w:trPr>
        <w:tc>
          <w:tcPr>
            <w:tcW w:w="1541" w:type="dxa"/>
            <w:tcBorders>
              <w:left w:val="single" w:sz="18" w:space="0" w:color="auto"/>
              <w:right w:val="single" w:sz="18" w:space="0" w:color="auto"/>
            </w:tcBorders>
          </w:tcPr>
          <w:p w14:paraId="04C436CA" w14:textId="56036E3A" w:rsidR="001C7207" w:rsidRPr="002244B1" w:rsidRDefault="001C7207" w:rsidP="001C7207">
            <w:pPr>
              <w:spacing w:after="120"/>
              <w:jc w:val="center"/>
              <w:rPr>
                <w:rFonts w:ascii="Arial" w:hAnsi="Arial" w:cs="Arial"/>
                <w:b/>
                <w:sz w:val="20"/>
                <w:lang w:val="pt-BR"/>
              </w:rPr>
            </w:pPr>
            <w:r>
              <w:rPr>
                <w:rFonts w:ascii="Arial" w:hAnsi="Arial" w:cs="Arial"/>
                <w:b/>
                <w:sz w:val="20"/>
                <w:lang w:val="pt-BR"/>
              </w:rPr>
              <w:t>Pesquisas Dra Mariana Cidade</w:t>
            </w:r>
          </w:p>
        </w:tc>
        <w:tc>
          <w:tcPr>
            <w:tcW w:w="1686" w:type="dxa"/>
            <w:tcBorders>
              <w:left w:val="single" w:sz="18" w:space="0" w:color="auto"/>
            </w:tcBorders>
          </w:tcPr>
          <w:p w14:paraId="76768ADE" w14:textId="77777777" w:rsidR="001C7207" w:rsidRPr="001C7207" w:rsidRDefault="001C7207" w:rsidP="001C7207">
            <w:pPr>
              <w:spacing w:after="120"/>
              <w:jc w:val="center"/>
              <w:rPr>
                <w:rFonts w:ascii="Arial" w:hAnsi="Arial" w:cs="Arial"/>
                <w:bCs/>
                <w:sz w:val="20"/>
                <w:lang w:val="pt-BR"/>
              </w:rPr>
            </w:pPr>
          </w:p>
        </w:tc>
        <w:tc>
          <w:tcPr>
            <w:tcW w:w="1417" w:type="dxa"/>
          </w:tcPr>
          <w:p w14:paraId="3CBA5C49" w14:textId="55AA3D8C" w:rsidR="001C7207" w:rsidRPr="001C7207" w:rsidRDefault="001C7207" w:rsidP="001C7207">
            <w:pPr>
              <w:spacing w:after="120"/>
              <w:jc w:val="center"/>
              <w:rPr>
                <w:rFonts w:ascii="Arial" w:hAnsi="Arial" w:cs="Arial"/>
                <w:bCs/>
                <w:sz w:val="20"/>
                <w:lang w:val="pt-BR"/>
              </w:rPr>
            </w:pPr>
            <w:r>
              <w:rPr>
                <w:rFonts w:ascii="Arial" w:hAnsi="Arial" w:cs="Arial"/>
                <w:bCs/>
                <w:sz w:val="20"/>
                <w:lang w:val="pt-BR"/>
              </w:rPr>
              <w:t>Adoção de materiais reciclados</w:t>
            </w:r>
          </w:p>
        </w:tc>
        <w:tc>
          <w:tcPr>
            <w:tcW w:w="1560" w:type="dxa"/>
          </w:tcPr>
          <w:p w14:paraId="54733D40" w14:textId="6B89A662" w:rsidR="001C7207" w:rsidRPr="001C7207" w:rsidRDefault="001C7207" w:rsidP="001C7207">
            <w:pPr>
              <w:spacing w:after="120"/>
              <w:jc w:val="center"/>
              <w:rPr>
                <w:rFonts w:ascii="Arial" w:hAnsi="Arial" w:cs="Arial"/>
                <w:bCs/>
                <w:sz w:val="20"/>
                <w:lang w:val="pt-BR"/>
              </w:rPr>
            </w:pPr>
            <w:r>
              <w:rPr>
                <w:rFonts w:ascii="Arial" w:hAnsi="Arial" w:cs="Arial"/>
                <w:bCs/>
                <w:sz w:val="20"/>
                <w:lang w:val="pt-BR"/>
              </w:rPr>
              <w:t>Durabilidade, adaptabilidade e manutenção</w:t>
            </w:r>
          </w:p>
        </w:tc>
        <w:tc>
          <w:tcPr>
            <w:tcW w:w="1417" w:type="dxa"/>
          </w:tcPr>
          <w:p w14:paraId="6401AD32" w14:textId="303FF33B" w:rsidR="001C7207" w:rsidRPr="001C7207" w:rsidRDefault="00584457" w:rsidP="001C7207">
            <w:pPr>
              <w:spacing w:after="120"/>
              <w:jc w:val="center"/>
              <w:rPr>
                <w:rFonts w:ascii="Arial" w:hAnsi="Arial" w:cs="Arial"/>
                <w:bCs/>
                <w:sz w:val="20"/>
                <w:lang w:val="pt-BR"/>
              </w:rPr>
            </w:pPr>
            <w:r>
              <w:rPr>
                <w:rFonts w:ascii="Arial" w:hAnsi="Arial" w:cs="Arial"/>
                <w:bCs/>
                <w:sz w:val="20"/>
                <w:lang w:val="pt-BR"/>
              </w:rPr>
              <w:t>Reciclagem</w:t>
            </w:r>
          </w:p>
        </w:tc>
        <w:tc>
          <w:tcPr>
            <w:tcW w:w="1667" w:type="dxa"/>
            <w:tcBorders>
              <w:right w:val="single" w:sz="18" w:space="0" w:color="auto"/>
            </w:tcBorders>
          </w:tcPr>
          <w:p w14:paraId="2F5E350D" w14:textId="430C0940" w:rsidR="001C7207" w:rsidRPr="001C7207" w:rsidRDefault="00584457" w:rsidP="001C7207">
            <w:pPr>
              <w:spacing w:after="120"/>
              <w:jc w:val="center"/>
              <w:rPr>
                <w:rFonts w:ascii="Arial" w:hAnsi="Arial" w:cs="Arial"/>
                <w:bCs/>
                <w:sz w:val="20"/>
                <w:lang w:val="pt-BR"/>
              </w:rPr>
            </w:pPr>
            <w:r>
              <w:rPr>
                <w:rFonts w:ascii="Arial" w:hAnsi="Arial" w:cs="Arial"/>
                <w:bCs/>
                <w:sz w:val="20"/>
                <w:lang w:val="pt-BR"/>
              </w:rPr>
              <w:t>Modularidade</w:t>
            </w:r>
          </w:p>
        </w:tc>
      </w:tr>
      <w:tr w:rsidR="001C7207" w:rsidRPr="002244B1" w14:paraId="00DE3758" w14:textId="77777777" w:rsidTr="002F3D6B">
        <w:trPr>
          <w:jc w:val="center"/>
        </w:trPr>
        <w:tc>
          <w:tcPr>
            <w:tcW w:w="1541" w:type="dxa"/>
            <w:tcBorders>
              <w:left w:val="single" w:sz="18" w:space="0" w:color="auto"/>
              <w:bottom w:val="single" w:sz="18" w:space="0" w:color="auto"/>
              <w:right w:val="single" w:sz="18" w:space="0" w:color="auto"/>
            </w:tcBorders>
          </w:tcPr>
          <w:p w14:paraId="689019C1" w14:textId="50C27D66" w:rsidR="001C7207" w:rsidRPr="002244B1" w:rsidRDefault="001C7207" w:rsidP="001C7207">
            <w:pPr>
              <w:spacing w:after="120"/>
              <w:jc w:val="center"/>
              <w:rPr>
                <w:rFonts w:ascii="Arial" w:hAnsi="Arial" w:cs="Arial"/>
                <w:b/>
                <w:sz w:val="20"/>
                <w:lang w:val="pt-BR"/>
              </w:rPr>
            </w:pPr>
            <w:r>
              <w:rPr>
                <w:rFonts w:ascii="Arial" w:hAnsi="Arial" w:cs="Arial"/>
                <w:b/>
                <w:sz w:val="20"/>
                <w:lang w:val="pt-BR"/>
              </w:rPr>
              <w:t xml:space="preserve">SOÉ </w:t>
            </w:r>
            <w:r w:rsidRPr="002244B1">
              <w:rPr>
                <w:rFonts w:ascii="Arial" w:hAnsi="Arial" w:cs="Arial"/>
                <w:b/>
                <w:sz w:val="20"/>
                <w:lang w:val="pt-BR"/>
              </w:rPr>
              <w:t>(</w:t>
            </w:r>
            <w:r>
              <w:rPr>
                <w:rFonts w:ascii="Arial" w:hAnsi="Arial" w:cs="Arial"/>
                <w:b/>
                <w:sz w:val="20"/>
                <w:lang w:val="pt-BR"/>
              </w:rPr>
              <w:t>PB)</w:t>
            </w:r>
          </w:p>
        </w:tc>
        <w:tc>
          <w:tcPr>
            <w:tcW w:w="1686" w:type="dxa"/>
            <w:tcBorders>
              <w:left w:val="single" w:sz="18" w:space="0" w:color="auto"/>
              <w:bottom w:val="single" w:sz="18" w:space="0" w:color="auto"/>
            </w:tcBorders>
          </w:tcPr>
          <w:p w14:paraId="7B38E391" w14:textId="2AA3AE7B" w:rsidR="001C7207" w:rsidRPr="001C7207" w:rsidRDefault="001C7207" w:rsidP="001C7207">
            <w:pPr>
              <w:spacing w:after="120"/>
              <w:jc w:val="center"/>
              <w:rPr>
                <w:rFonts w:ascii="Arial" w:hAnsi="Arial" w:cs="Arial"/>
                <w:bCs/>
                <w:sz w:val="20"/>
                <w:lang w:val="pt-BR"/>
              </w:rPr>
            </w:pPr>
            <w:r>
              <w:rPr>
                <w:rFonts w:ascii="Arial" w:hAnsi="Arial" w:cs="Arial"/>
                <w:bCs/>
                <w:sz w:val="20"/>
                <w:lang w:val="pt-BR"/>
              </w:rPr>
              <w:t>Reaproveitamento de material que seria descartado</w:t>
            </w:r>
          </w:p>
        </w:tc>
        <w:tc>
          <w:tcPr>
            <w:tcW w:w="1417" w:type="dxa"/>
            <w:tcBorders>
              <w:bottom w:val="single" w:sz="18" w:space="0" w:color="auto"/>
            </w:tcBorders>
          </w:tcPr>
          <w:p w14:paraId="507F2570" w14:textId="02664D13" w:rsidR="001C7207" w:rsidRPr="001C7207" w:rsidRDefault="001C7207" w:rsidP="001C7207">
            <w:pPr>
              <w:spacing w:after="120"/>
              <w:jc w:val="center"/>
              <w:rPr>
                <w:rFonts w:ascii="Arial" w:hAnsi="Arial" w:cs="Arial"/>
                <w:bCs/>
                <w:sz w:val="20"/>
                <w:lang w:val="pt-BR"/>
              </w:rPr>
            </w:pPr>
            <w:r>
              <w:rPr>
                <w:rFonts w:ascii="Arial" w:hAnsi="Arial" w:cs="Arial"/>
                <w:bCs/>
                <w:sz w:val="20"/>
                <w:lang w:val="pt-BR"/>
              </w:rPr>
              <w:t>Uso de materiais de refugo de processo produtivo</w:t>
            </w:r>
          </w:p>
        </w:tc>
        <w:tc>
          <w:tcPr>
            <w:tcW w:w="1560" w:type="dxa"/>
            <w:tcBorders>
              <w:bottom w:val="single" w:sz="18" w:space="0" w:color="auto"/>
            </w:tcBorders>
          </w:tcPr>
          <w:p w14:paraId="38CC2BF4" w14:textId="12C53C4F" w:rsidR="001C7207" w:rsidRPr="001C7207" w:rsidRDefault="00584457" w:rsidP="001C7207">
            <w:pPr>
              <w:spacing w:after="120"/>
              <w:jc w:val="center"/>
              <w:rPr>
                <w:rFonts w:ascii="Arial" w:hAnsi="Arial" w:cs="Arial"/>
                <w:bCs/>
                <w:sz w:val="20"/>
                <w:lang w:val="pt-BR"/>
              </w:rPr>
            </w:pPr>
            <w:r>
              <w:rPr>
                <w:rFonts w:ascii="Arial" w:hAnsi="Arial" w:cs="Arial"/>
                <w:bCs/>
                <w:sz w:val="20"/>
                <w:lang w:val="pt-BR"/>
              </w:rPr>
              <w:t>Durabilidade e confiabilidade</w:t>
            </w:r>
          </w:p>
        </w:tc>
        <w:tc>
          <w:tcPr>
            <w:tcW w:w="1417" w:type="dxa"/>
            <w:tcBorders>
              <w:bottom w:val="single" w:sz="18" w:space="0" w:color="auto"/>
            </w:tcBorders>
          </w:tcPr>
          <w:p w14:paraId="0BBF098F" w14:textId="77777777" w:rsidR="001C7207" w:rsidRPr="001C7207" w:rsidRDefault="001C7207" w:rsidP="001C7207">
            <w:pPr>
              <w:spacing w:after="120"/>
              <w:jc w:val="center"/>
              <w:rPr>
                <w:rFonts w:ascii="Arial" w:hAnsi="Arial" w:cs="Arial"/>
                <w:bCs/>
                <w:sz w:val="20"/>
                <w:lang w:val="pt-BR"/>
              </w:rPr>
            </w:pPr>
          </w:p>
        </w:tc>
        <w:tc>
          <w:tcPr>
            <w:tcW w:w="1667" w:type="dxa"/>
            <w:tcBorders>
              <w:bottom w:val="single" w:sz="18" w:space="0" w:color="auto"/>
              <w:right w:val="single" w:sz="18" w:space="0" w:color="auto"/>
            </w:tcBorders>
          </w:tcPr>
          <w:p w14:paraId="3ADE653A" w14:textId="77777777" w:rsidR="001C7207" w:rsidRPr="001C7207" w:rsidRDefault="001C7207" w:rsidP="001C7207">
            <w:pPr>
              <w:spacing w:after="120"/>
              <w:jc w:val="center"/>
              <w:rPr>
                <w:rFonts w:ascii="Arial" w:hAnsi="Arial" w:cs="Arial"/>
                <w:bCs/>
                <w:sz w:val="20"/>
                <w:lang w:val="pt-BR"/>
              </w:rPr>
            </w:pPr>
          </w:p>
        </w:tc>
      </w:tr>
    </w:tbl>
    <w:p w14:paraId="29C6EC23" w14:textId="315BA73A" w:rsidR="002244B1" w:rsidRPr="002F3D6B" w:rsidRDefault="002F3D6B" w:rsidP="002F3D6B">
      <w:pPr>
        <w:spacing w:after="120"/>
        <w:rPr>
          <w:rFonts w:ascii="Arial" w:hAnsi="Arial" w:cs="Arial"/>
          <w:bCs/>
          <w:sz w:val="20"/>
          <w:lang w:val="pt-BR"/>
        </w:rPr>
      </w:pPr>
      <w:r w:rsidRPr="002F3D6B">
        <w:rPr>
          <w:rFonts w:ascii="Arial" w:hAnsi="Arial" w:cs="Arial"/>
          <w:bCs/>
          <w:sz w:val="20"/>
          <w:lang w:val="pt-BR"/>
        </w:rPr>
        <w:t>Fonte:</w:t>
      </w:r>
      <w:r>
        <w:rPr>
          <w:rFonts w:ascii="Arial" w:hAnsi="Arial" w:cs="Arial"/>
          <w:bCs/>
          <w:sz w:val="20"/>
          <w:lang w:val="pt-BR"/>
        </w:rPr>
        <w:t xml:space="preserve"> Autoras.</w:t>
      </w:r>
    </w:p>
    <w:p w14:paraId="61E0CC8D" w14:textId="77777777" w:rsidR="005B099A" w:rsidRPr="002702AC" w:rsidRDefault="005B099A" w:rsidP="00E97ED4">
      <w:pPr>
        <w:spacing w:after="120"/>
        <w:rPr>
          <w:b/>
          <w:sz w:val="16"/>
          <w:szCs w:val="16"/>
          <w:lang w:val="pt-BR"/>
        </w:rPr>
      </w:pPr>
    </w:p>
    <w:p w14:paraId="4149BCE6" w14:textId="169A21B8" w:rsidR="00BE083D" w:rsidRDefault="004E3765" w:rsidP="00E97ED4">
      <w:pPr>
        <w:spacing w:after="120"/>
        <w:rPr>
          <w:b/>
          <w:szCs w:val="24"/>
          <w:lang w:val="pt-BR"/>
        </w:rPr>
      </w:pPr>
      <w:r w:rsidRPr="0049479C">
        <w:rPr>
          <w:b/>
          <w:szCs w:val="24"/>
          <w:lang w:val="pt-BR"/>
        </w:rPr>
        <w:t>Referências</w:t>
      </w:r>
    </w:p>
    <w:p w14:paraId="320C3A8E" w14:textId="77777777" w:rsidR="002702AC" w:rsidRPr="0049479C" w:rsidRDefault="002702AC" w:rsidP="00E97ED4">
      <w:pPr>
        <w:spacing w:after="120"/>
        <w:rPr>
          <w:b/>
          <w:szCs w:val="24"/>
          <w:lang w:val="pt-BR"/>
        </w:rPr>
      </w:pPr>
    </w:p>
    <w:p w14:paraId="3DB931A4" w14:textId="77777777" w:rsidR="00C9461E" w:rsidRPr="00C958FE" w:rsidRDefault="00C9461E" w:rsidP="00C9461E">
      <w:pPr>
        <w:spacing w:after="120"/>
        <w:ind w:firstLine="284"/>
        <w:rPr>
          <w:szCs w:val="24"/>
          <w:lang w:val="pt-BR"/>
        </w:rPr>
      </w:pPr>
      <w:r w:rsidRPr="00C958FE">
        <w:rPr>
          <w:szCs w:val="24"/>
          <w:lang w:val="pt-BR"/>
        </w:rPr>
        <w:t>CANAAN, R. P. (Org.) Itaporarte: Estudo do design aplicado ao setor de gemas e joias com vistas à inovação social e valorização do território do Vale do Jequitinhonha. Belo Horizonte: edição do autor, 2020. 60p. ISBN: 978-65-00-01479-2</w:t>
      </w:r>
    </w:p>
    <w:p w14:paraId="62CD0BA7" w14:textId="0F9304B3" w:rsidR="00C9461E" w:rsidRPr="00C958FE" w:rsidRDefault="00C958FE" w:rsidP="00C9461E">
      <w:pPr>
        <w:spacing w:after="120"/>
        <w:ind w:firstLine="284"/>
        <w:rPr>
          <w:szCs w:val="24"/>
          <w:lang w:val="pt-BR"/>
        </w:rPr>
      </w:pPr>
      <w:r>
        <w:rPr>
          <w:szCs w:val="24"/>
          <w:lang w:val="pt-BR"/>
        </w:rPr>
        <w:t xml:space="preserve">CINTRA, L. S. K.; CIDADE, </w:t>
      </w:r>
      <w:r w:rsidR="00C9461E" w:rsidRPr="00C958FE">
        <w:rPr>
          <w:szCs w:val="24"/>
          <w:lang w:val="pt-BR"/>
        </w:rPr>
        <w:t xml:space="preserve">M. K. Reutilização e reciclagem: Desenvolvimento de joia com componentes oriundos de resíduos eletroeletrônicos. MIX Sustentável, [S. l.], v. 6, n. 3, p. </w:t>
      </w:r>
      <w:r w:rsidR="00C9461E" w:rsidRPr="00C958FE">
        <w:rPr>
          <w:szCs w:val="24"/>
          <w:lang w:val="pt-BR"/>
        </w:rPr>
        <w:lastRenderedPageBreak/>
        <w:t>27–36, 2020. DOI: 10.29183/2447-3073. MIX2020. v6. n3. 27-36. Disponível em: https://ojs.sites.ufsc.br/index.php/mixsustentavel/article/view/3725. Acesso em: 16/09/2022.</w:t>
      </w:r>
    </w:p>
    <w:p w14:paraId="308A61CD" w14:textId="77777777" w:rsidR="00C9461E" w:rsidRPr="00C958FE" w:rsidRDefault="00C9461E" w:rsidP="00C9461E">
      <w:pPr>
        <w:spacing w:after="120"/>
        <w:ind w:firstLine="284"/>
        <w:rPr>
          <w:szCs w:val="24"/>
          <w:lang w:val="pt-BR"/>
        </w:rPr>
      </w:pPr>
      <w:r w:rsidRPr="00C958FE">
        <w:rPr>
          <w:szCs w:val="24"/>
          <w:lang w:val="pt-BR"/>
        </w:rPr>
        <w:t>DESIGN TUN. [site institucional]. Saiba mais. Disponível em: https://designtun.com.br/ . Acesso em: 15/09/2022.</w:t>
      </w:r>
    </w:p>
    <w:p w14:paraId="47D6B7A2" w14:textId="77777777" w:rsidR="00C9461E" w:rsidRPr="00C958FE" w:rsidRDefault="00C9461E" w:rsidP="00C9461E">
      <w:pPr>
        <w:spacing w:after="120"/>
        <w:ind w:firstLine="284"/>
        <w:rPr>
          <w:szCs w:val="24"/>
          <w:lang w:val="pt-BR"/>
        </w:rPr>
      </w:pPr>
      <w:r w:rsidRPr="00C958FE">
        <w:rPr>
          <w:szCs w:val="24"/>
          <w:lang w:val="pt-BR"/>
        </w:rPr>
        <w:t>DIVINA ECO. [site institucional]. Disponível em: https://divinaecodesign.com.br/ . Acesso em 15/09/2022.</w:t>
      </w:r>
    </w:p>
    <w:p w14:paraId="2AFB40C5" w14:textId="13909C7B" w:rsidR="00C9461E" w:rsidRPr="00C958FE" w:rsidRDefault="00C9461E" w:rsidP="00C9461E">
      <w:pPr>
        <w:spacing w:after="120"/>
        <w:ind w:firstLine="284"/>
        <w:rPr>
          <w:szCs w:val="24"/>
          <w:lang w:val="pt-BR"/>
        </w:rPr>
      </w:pPr>
      <w:r w:rsidRPr="00C958FE">
        <w:rPr>
          <w:szCs w:val="24"/>
          <w:lang w:val="pt-BR"/>
        </w:rPr>
        <w:t xml:space="preserve">FLÁVIA AMADEU. [site institucional]. Disponível em: </w:t>
      </w:r>
      <w:r w:rsidR="002702AC" w:rsidRPr="002702AC">
        <w:rPr>
          <w:szCs w:val="24"/>
          <w:lang w:val="pt-BR"/>
        </w:rPr>
        <w:t>https://www.flaviaamadeu.com.br/</w:t>
      </w:r>
      <w:r w:rsidR="002702AC">
        <w:rPr>
          <w:szCs w:val="24"/>
          <w:lang w:val="pt-BR"/>
        </w:rPr>
        <w:t xml:space="preserve"> </w:t>
      </w:r>
      <w:r w:rsidRPr="00C958FE">
        <w:rPr>
          <w:szCs w:val="24"/>
          <w:lang w:val="pt-BR"/>
        </w:rPr>
        <w:t>.</w:t>
      </w:r>
      <w:r w:rsidR="002702AC">
        <w:rPr>
          <w:szCs w:val="24"/>
          <w:lang w:val="pt-BR"/>
        </w:rPr>
        <w:t xml:space="preserve"> </w:t>
      </w:r>
      <w:r w:rsidRPr="00C958FE">
        <w:rPr>
          <w:szCs w:val="24"/>
          <w:lang w:val="pt-BR"/>
        </w:rPr>
        <w:t xml:space="preserve"> Acesso em: 13/09/2022.</w:t>
      </w:r>
    </w:p>
    <w:p w14:paraId="13BD6195" w14:textId="77777777" w:rsidR="009D5AF2" w:rsidRPr="00C958FE" w:rsidRDefault="009D5AF2" w:rsidP="009D5AF2">
      <w:pPr>
        <w:spacing w:after="120"/>
        <w:ind w:firstLine="284"/>
        <w:rPr>
          <w:szCs w:val="24"/>
          <w:lang w:val="pt-BR"/>
        </w:rPr>
      </w:pPr>
      <w:r w:rsidRPr="00C958FE">
        <w:rPr>
          <w:szCs w:val="24"/>
          <w:lang w:val="pt-BR"/>
        </w:rPr>
        <w:t>LOBATO, I.; MONTEIRO, V.; SANTOS, N. Materiais e processos sustentáveis no setor de joias no contexto amazônico: possibilidades de atuação, p. 11-24. In: Anais do II Simpósio Internacional de Ourivesaria, Joalheria e Design. São Paulo: Blucher, 2021. ISSN 2318-6968, DOI 10.5151/iisiojd-02</w:t>
      </w:r>
    </w:p>
    <w:p w14:paraId="07E66985" w14:textId="32E2494B" w:rsidR="00C9461E" w:rsidRPr="00C958FE" w:rsidRDefault="00C958FE" w:rsidP="00C9461E">
      <w:pPr>
        <w:spacing w:after="120"/>
        <w:ind w:firstLine="284"/>
        <w:rPr>
          <w:szCs w:val="24"/>
          <w:lang w:val="pt-BR"/>
        </w:rPr>
      </w:pPr>
      <w:r>
        <w:rPr>
          <w:szCs w:val="24"/>
          <w:lang w:val="pt-BR"/>
        </w:rPr>
        <w:t xml:space="preserve">MANZINI, E.; VEZZOLI, C. O </w:t>
      </w:r>
      <w:r w:rsidR="00C9461E" w:rsidRPr="00C958FE">
        <w:rPr>
          <w:szCs w:val="24"/>
          <w:lang w:val="pt-BR"/>
        </w:rPr>
        <w:t>desenvolvimento de Produtos Sustentáveis: os requisitos ambientais dos produtos industriais. 4ed. São Paulo: Editora da Universidade de São Paulo, 2016. 366 p. ISBN 978-85-314-0731-4.</w:t>
      </w:r>
    </w:p>
    <w:p w14:paraId="2097236A" w14:textId="046C686A" w:rsidR="00C9461E" w:rsidRPr="00C958FE" w:rsidRDefault="00C958FE" w:rsidP="00C9461E">
      <w:pPr>
        <w:spacing w:after="120"/>
        <w:ind w:firstLine="284"/>
        <w:rPr>
          <w:szCs w:val="24"/>
          <w:lang w:val="pt-BR"/>
        </w:rPr>
      </w:pPr>
      <w:r>
        <w:rPr>
          <w:szCs w:val="24"/>
          <w:lang w:val="pt-BR"/>
        </w:rPr>
        <w:t xml:space="preserve">MANZINI, </w:t>
      </w:r>
      <w:r w:rsidR="00C9461E" w:rsidRPr="00C958FE">
        <w:rPr>
          <w:szCs w:val="24"/>
          <w:lang w:val="pt-BR"/>
        </w:rPr>
        <w:t>E. Design para a inovação social e sustentabilidade: comunidades criativas, organizações colaborativas e novas redes projetuais. Rio de Janeiro: E-papers, 2008.</w:t>
      </w:r>
    </w:p>
    <w:p w14:paraId="1BD65AE2" w14:textId="77777777" w:rsidR="00C9461E" w:rsidRPr="00C958FE" w:rsidRDefault="00C9461E" w:rsidP="00C9461E">
      <w:pPr>
        <w:spacing w:after="120"/>
        <w:ind w:firstLine="284"/>
        <w:rPr>
          <w:szCs w:val="24"/>
          <w:lang w:val="pt-BR"/>
        </w:rPr>
      </w:pPr>
      <w:r w:rsidRPr="00C958FE">
        <w:rPr>
          <w:szCs w:val="24"/>
          <w:lang w:val="pt-BR"/>
        </w:rPr>
        <w:t>MEIRELLES, A. C.; NEVES, R. H.N.; QUINTELLA, R. S.; PINTO, R. G. (Org.)  Joias do Pará: design, experimentações e inovação tecnológiva nos modos de fazer. Belém: Paka-Tatu, 2011.</w:t>
      </w:r>
    </w:p>
    <w:p w14:paraId="799E0BA1" w14:textId="6626E4FD" w:rsidR="00C9461E" w:rsidRPr="00C958FE" w:rsidRDefault="00C958FE" w:rsidP="00C9461E">
      <w:pPr>
        <w:spacing w:after="120"/>
        <w:ind w:firstLine="284"/>
        <w:rPr>
          <w:szCs w:val="24"/>
          <w:lang w:val="pt-BR"/>
        </w:rPr>
      </w:pPr>
      <w:r>
        <w:rPr>
          <w:szCs w:val="24"/>
          <w:lang w:val="pt-BR"/>
        </w:rPr>
        <w:t xml:space="preserve">MORENO, S. do N. de S.; CIDADE, M. K. </w:t>
      </w:r>
      <w:r w:rsidR="00C9461E" w:rsidRPr="00C958FE">
        <w:rPr>
          <w:szCs w:val="24"/>
          <w:lang w:val="pt-BR"/>
        </w:rPr>
        <w:t>Sustentabilidade e joalheria: reciclagem de EPS para aplicação em joias. MIX Sustentável, [S. l.], v. 5, n. 4, p. 27–39, 2019. DOI: 10.29183/2447-3073. MIX2019. v5. n4. 27-39. Disponível em: https://ojs.sites.ufsc.br/index.php/mixsustentavel/article/view/3697.</w:t>
      </w:r>
    </w:p>
    <w:p w14:paraId="61366CAD" w14:textId="5EF642E0" w:rsidR="00C9461E" w:rsidRPr="00C958FE" w:rsidRDefault="00C958FE" w:rsidP="00C9461E">
      <w:pPr>
        <w:spacing w:after="120"/>
        <w:ind w:firstLine="284"/>
        <w:rPr>
          <w:szCs w:val="24"/>
          <w:lang w:val="pt-BR"/>
        </w:rPr>
      </w:pPr>
      <w:r>
        <w:rPr>
          <w:szCs w:val="24"/>
          <w:lang w:val="pt-BR"/>
        </w:rPr>
        <w:t xml:space="preserve">PLATCHECK, </w:t>
      </w:r>
      <w:r w:rsidR="00C9461E" w:rsidRPr="00C958FE">
        <w:rPr>
          <w:szCs w:val="24"/>
          <w:lang w:val="pt-BR"/>
        </w:rPr>
        <w:t>E. R. DESIGN INDUSTRIAL: metodologia de ecodesign para o desenvolvimento de produtos sustentáveis. São Paulo: Atlas, 2012.</w:t>
      </w:r>
    </w:p>
    <w:p w14:paraId="28AB2A75" w14:textId="77777777" w:rsidR="00C9461E" w:rsidRPr="00C958FE" w:rsidRDefault="00C9461E" w:rsidP="00C9461E">
      <w:pPr>
        <w:spacing w:after="120"/>
        <w:ind w:firstLine="284"/>
        <w:rPr>
          <w:szCs w:val="24"/>
          <w:lang w:val="pt-BR"/>
        </w:rPr>
      </w:pPr>
      <w:r w:rsidRPr="00C958FE">
        <w:rPr>
          <w:szCs w:val="24"/>
          <w:lang w:val="pt-BR"/>
        </w:rPr>
        <w:t xml:space="preserve">SAMPAIO, C. P. (et al). Design para a sustentabilidade: dimensão ambiental. Curitiba: Insight, 2018. </w:t>
      </w:r>
    </w:p>
    <w:p w14:paraId="3CD78224" w14:textId="32A87BC4" w:rsidR="00C9461E" w:rsidRPr="00C958FE" w:rsidRDefault="00C9461E" w:rsidP="00C9461E">
      <w:pPr>
        <w:spacing w:after="120"/>
        <w:ind w:firstLine="284"/>
        <w:rPr>
          <w:szCs w:val="24"/>
          <w:lang w:val="pt-BR"/>
        </w:rPr>
      </w:pPr>
      <w:r w:rsidRPr="00C958FE">
        <w:rPr>
          <w:szCs w:val="24"/>
          <w:lang w:val="pt-BR"/>
        </w:rPr>
        <w:t>SANTOS, R. JOIAS: fundamento, processos e técnicas. São Paulo: Editora SENAC São Paulo, 2017.</w:t>
      </w:r>
    </w:p>
    <w:p w14:paraId="29495307" w14:textId="77777777" w:rsidR="004430C9" w:rsidRPr="00C958FE" w:rsidRDefault="004430C9" w:rsidP="004430C9">
      <w:pPr>
        <w:spacing w:after="120"/>
        <w:ind w:firstLine="284"/>
        <w:rPr>
          <w:color w:val="A6A6A6"/>
          <w:szCs w:val="24"/>
          <w:lang w:val="pt-BR"/>
        </w:rPr>
      </w:pPr>
      <w:r w:rsidRPr="00C958FE">
        <w:rPr>
          <w:szCs w:val="24"/>
          <w:lang w:val="pt-BR"/>
        </w:rPr>
        <w:t>SOÉ. [site institucional]. Linha Ecoar. Disponível em: https://www.soeparaiba.com.br/linha-ecoar-pg-90372 . Acesso em 18/09/2022.</w:t>
      </w:r>
    </w:p>
    <w:p w14:paraId="3E7318B8" w14:textId="223D432A" w:rsidR="00C9461E" w:rsidRPr="00C9461E" w:rsidRDefault="00C958FE" w:rsidP="00C9461E">
      <w:pPr>
        <w:spacing w:after="120"/>
        <w:ind w:firstLine="284"/>
        <w:rPr>
          <w:szCs w:val="24"/>
          <w:lang w:val="pt-BR"/>
        </w:rPr>
      </w:pPr>
      <w:r>
        <w:rPr>
          <w:szCs w:val="24"/>
          <w:lang w:val="pt-BR"/>
        </w:rPr>
        <w:t xml:space="preserve">THACKARA, </w:t>
      </w:r>
      <w:r w:rsidR="00C9461E" w:rsidRPr="00C958FE">
        <w:rPr>
          <w:szCs w:val="24"/>
          <w:lang w:val="pt-BR"/>
        </w:rPr>
        <w:t>J. Plano B: O Design e as alternativas viáveis em um mundo complexo. São. Paulo: Saraiva, 2008.</w:t>
      </w:r>
    </w:p>
    <w:p w14:paraId="18976A2A" w14:textId="77777777" w:rsidR="004430C9" w:rsidRPr="00C9461E" w:rsidRDefault="004430C9" w:rsidP="004430C9">
      <w:pPr>
        <w:spacing w:after="120"/>
        <w:ind w:firstLine="284"/>
        <w:rPr>
          <w:szCs w:val="24"/>
          <w:lang w:val="pt-BR"/>
        </w:rPr>
      </w:pPr>
      <w:r w:rsidRPr="00C9461E">
        <w:rPr>
          <w:szCs w:val="24"/>
          <w:lang w:val="pt-BR"/>
        </w:rPr>
        <w:t>VIERO, I. P.; CIDADE, M. K. Experiências com processos de reciclagem de polímeros para a joalheria. MIX Sustentável, [S. l.], v. 8, n. 3, p. 93–105, 2022. DOI: 10.29183/2447-3073.MIX2022.v8.n3.93 - 105. Disponível em: https://ojs.sites.ufsc.br/index.php/mixsustentavel/article/view/4674.</w:t>
      </w:r>
    </w:p>
    <w:p w14:paraId="62853C26" w14:textId="77777777" w:rsidR="00C9461E" w:rsidRPr="00C9461E" w:rsidRDefault="00C9461E" w:rsidP="00C9461E">
      <w:pPr>
        <w:spacing w:after="120"/>
        <w:ind w:firstLine="284"/>
        <w:rPr>
          <w:szCs w:val="24"/>
          <w:lang w:val="pt-BR"/>
        </w:rPr>
      </w:pPr>
      <w:r w:rsidRPr="00C9461E">
        <w:rPr>
          <w:szCs w:val="24"/>
          <w:lang w:val="pt-BR"/>
        </w:rPr>
        <w:lastRenderedPageBreak/>
        <w:t>VIERO, I. P.; CIDADE, M. K.; Joalheria e materiais inusitados: o uso de resina e elementos naturais, p. 64-73. In: Anais do II Simpósio Internacional de Ourivesaria, Joalheria e Design. São Paulo: Blucher, 2021. ISSN 2318-6968, DOI 10.5151/iisiojd-06</w:t>
      </w:r>
    </w:p>
    <w:sectPr w:rsidR="00C9461E" w:rsidRPr="00C9461E" w:rsidSect="00575335">
      <w:headerReference w:type="default" r:id="rId17"/>
      <w:footerReference w:type="even" r:id="rId18"/>
      <w:footerReference w:type="default" r:id="rId19"/>
      <w:footerReference w:type="first" r:id="rId20"/>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3E8BE" w14:textId="77777777" w:rsidR="009964E3" w:rsidRDefault="009964E3">
      <w:r>
        <w:separator/>
      </w:r>
    </w:p>
  </w:endnote>
  <w:endnote w:type="continuationSeparator" w:id="0">
    <w:p w14:paraId="6C79B02E" w14:textId="77777777" w:rsidR="009964E3" w:rsidRDefault="00996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A00002AF" w:usb1="5000204B" w:usb2="00000000" w:usb3="00000000" w:csb0="0000009F" w:csb1="00000000"/>
  </w:font>
  <w:font w:name="Arial-Bold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49A96" w14:textId="77777777" w:rsidR="00403A78" w:rsidRDefault="00403A78" w:rsidP="00094DEA">
    <w:pPr>
      <w:pStyle w:val="Rodap"/>
      <w:rPr>
        <w:rStyle w:val="Nmerodepgina"/>
      </w:rPr>
    </w:pPr>
  </w:p>
  <w:p w14:paraId="4E0B2D61" w14:textId="77777777" w:rsidR="00403A78" w:rsidRPr="008F75CD" w:rsidRDefault="00403A78"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403A78" w:rsidRPr="008F75CD" w:rsidRDefault="00403A78" w:rsidP="00094DEA">
    <w:pPr>
      <w:pStyle w:val="Rodap"/>
      <w:rPr>
        <w:lang w:val="pt-BR"/>
      </w:rPr>
    </w:pPr>
  </w:p>
  <w:p w14:paraId="206EC906" w14:textId="77777777" w:rsidR="00403A78" w:rsidRPr="008F75CD" w:rsidRDefault="00403A78" w:rsidP="00094DEA">
    <w:pPr>
      <w:pStyle w:val="Rodap"/>
      <w:rPr>
        <w:rStyle w:val="Nmerodepgina"/>
        <w:lang w:val="pt-BR"/>
      </w:rPr>
    </w:pPr>
  </w:p>
  <w:p w14:paraId="5522AFBD" w14:textId="77777777" w:rsidR="00403A78" w:rsidRPr="008F75CD" w:rsidRDefault="00403A78"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375DB" w14:textId="77777777" w:rsidR="00403A78" w:rsidRPr="008F75CD" w:rsidRDefault="00403A78" w:rsidP="00094DEA">
    <w:pPr>
      <w:widowControl w:val="0"/>
      <w:rPr>
        <w:sz w:val="22"/>
        <w:szCs w:val="22"/>
        <w:lang w:val="pt-BR"/>
      </w:rPr>
    </w:pPr>
  </w:p>
  <w:p w14:paraId="203D031D" w14:textId="541F7DC5" w:rsidR="00403A78" w:rsidRPr="00A94F5C" w:rsidRDefault="00403A78"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Pr>
        <w:rFonts w:ascii="Arial" w:hAnsi="Arial" w:cs="Arial"/>
        <w:b/>
        <w:bCs/>
        <w:color w:val="7F7F7F"/>
        <w:sz w:val="17"/>
        <w:szCs w:val="17"/>
        <w:lang w:val="pt-BR" w:eastAsia="en-US" w:bidi="en-US"/>
      </w:rPr>
      <w:t xml:space="preserve"> 2023</w:t>
    </w:r>
    <w:r w:rsidRPr="00A94F5C">
      <w:rPr>
        <w:rFonts w:ascii="Arial" w:hAnsi="Arial" w:cs="Arial"/>
        <w:b/>
        <w:bCs/>
        <w:color w:val="7F7F7F"/>
        <w:sz w:val="17"/>
        <w:szCs w:val="17"/>
        <w:lang w:val="pt-BR" w:eastAsia="en-US" w:bidi="en-US"/>
      </w:rPr>
      <w:t xml:space="preserve"> – </w:t>
    </w:r>
    <w:r>
      <w:rPr>
        <w:rFonts w:ascii="Arial" w:hAnsi="Arial" w:cs="Arial"/>
        <w:b/>
        <w:bCs/>
        <w:color w:val="7F7F7F"/>
        <w:sz w:val="17"/>
        <w:szCs w:val="17"/>
        <w:lang w:val="pt-BR" w:eastAsia="en-US" w:bidi="en-US"/>
      </w:rPr>
      <w:t xml:space="preserve">XI </w:t>
    </w:r>
    <w:r w:rsidRPr="00A94F5C">
      <w:rPr>
        <w:rFonts w:ascii="Arial" w:hAnsi="Arial" w:cs="Arial"/>
        <w:b/>
        <w:bCs/>
        <w:color w:val="7F7F7F"/>
        <w:sz w:val="17"/>
        <w:szCs w:val="17"/>
        <w:lang w:val="pt-BR" w:eastAsia="en-US" w:bidi="en-US"/>
      </w:rPr>
      <w:t xml:space="preserve">Encontro de Sustentabilidade em Projeto – </w:t>
    </w:r>
    <w:r w:rsidRPr="00A94F5C">
      <w:rPr>
        <w:rFonts w:ascii="Arial" w:hAnsi="Arial" w:cs="Arial"/>
        <w:bCs/>
        <w:color w:val="7F7F7F"/>
        <w:sz w:val="17"/>
        <w:szCs w:val="17"/>
        <w:lang w:val="pt-BR" w:eastAsia="en-US" w:bidi="en-US"/>
      </w:rPr>
      <w:t>U</w:t>
    </w:r>
    <w:r>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Pr>
        <w:rFonts w:ascii="Arial" w:hAnsi="Arial" w:cs="Arial"/>
        <w:bCs/>
        <w:color w:val="7F7F7F"/>
        <w:sz w:val="17"/>
        <w:szCs w:val="17"/>
        <w:lang w:val="pt-BR" w:eastAsia="en-US" w:bidi="en-US"/>
      </w:rPr>
      <w:t xml:space="preserve"> Florianópolis – 05</w:t>
    </w:r>
    <w:r w:rsidRPr="00A94F5C">
      <w:rPr>
        <w:rFonts w:ascii="Arial" w:hAnsi="Arial" w:cs="Arial"/>
        <w:bCs/>
        <w:color w:val="7F7F7F"/>
        <w:sz w:val="17"/>
        <w:szCs w:val="17"/>
        <w:lang w:val="pt-BR" w:eastAsia="en-US" w:bidi="en-US"/>
      </w:rPr>
      <w:t xml:space="preserve"> a </w:t>
    </w:r>
    <w:r>
      <w:rPr>
        <w:rFonts w:ascii="Arial" w:hAnsi="Arial" w:cs="Arial"/>
        <w:bCs/>
        <w:color w:val="7F7F7F"/>
        <w:sz w:val="17"/>
        <w:szCs w:val="17"/>
        <w:lang w:val="pt-BR" w:eastAsia="en-US" w:bidi="en-US"/>
      </w:rPr>
      <w:t>07</w:t>
    </w:r>
    <w:r w:rsidRPr="00A94F5C">
      <w:rPr>
        <w:rFonts w:ascii="Arial" w:hAnsi="Arial" w:cs="Arial"/>
        <w:bCs/>
        <w:color w:val="7F7F7F"/>
        <w:sz w:val="17"/>
        <w:szCs w:val="17"/>
        <w:lang w:val="pt-BR" w:eastAsia="en-US" w:bidi="en-US"/>
      </w:rPr>
      <w:t xml:space="preserve"> de </w:t>
    </w:r>
    <w:r>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403A78" w:rsidRPr="006D00BB" w:rsidRDefault="00403A78"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029DF" w14:textId="77777777" w:rsidR="00403A78" w:rsidRPr="000275EB" w:rsidRDefault="00403A78"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403A78" w:rsidRPr="00B745D0" w:rsidRDefault="00403A78">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20F380" w14:textId="77777777" w:rsidR="009964E3" w:rsidRDefault="009964E3">
      <w:bookmarkStart w:id="0" w:name="_Hlk524516655"/>
      <w:bookmarkEnd w:id="0"/>
      <w:r>
        <w:separator/>
      </w:r>
    </w:p>
  </w:footnote>
  <w:footnote w:type="continuationSeparator" w:id="0">
    <w:p w14:paraId="0E1EF1B7" w14:textId="77777777" w:rsidR="009964E3" w:rsidRDefault="00996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FFC94" w14:textId="77777777" w:rsidR="00403A78" w:rsidRDefault="00403A78"/>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403A78" w14:paraId="09D33C61" w14:textId="77777777" w:rsidTr="000F5CC4">
      <w:tc>
        <w:tcPr>
          <w:tcW w:w="3020" w:type="dxa"/>
        </w:tcPr>
        <w:p w14:paraId="18FB8D8D" w14:textId="68E1763C" w:rsidR="00403A78" w:rsidRDefault="00403A78"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403A78" w:rsidRDefault="00403A78"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403A78" w:rsidRDefault="00403A78"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403A78" w:rsidRDefault="00403A78"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E47FB"/>
    <w:multiLevelType w:val="hybridMultilevel"/>
    <w:tmpl w:val="65388CE2"/>
    <w:lvl w:ilvl="0" w:tplc="4092B680">
      <w:start w:val="1"/>
      <w:numFmt w:val="decimal"/>
      <w:pStyle w:val="Subttulo"/>
      <w:lvlText w:val="4.%1."/>
      <w:lvlJc w:val="left"/>
      <w:pPr>
        <w:ind w:left="720" w:hanging="360"/>
      </w:pPr>
      <w:rPr>
        <w:rFonts w:ascii="Times New Roman" w:hAnsi="Times New Roman" w:cs="Times New Roman"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85EC213E"/>
    <w:lvl w:ilvl="0" w:tplc="5D0296C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2"/>
  </w:num>
  <w:num w:numId="5">
    <w:abstractNumId w:val="3"/>
  </w:num>
  <w:num w:numId="6">
    <w:abstractNumId w:val="5"/>
  </w:num>
  <w:num w:numId="7">
    <w:abstractNumId w:val="8"/>
  </w:num>
  <w:num w:numId="8">
    <w:abstractNumId w:val="11"/>
  </w:num>
  <w:num w:numId="9">
    <w:abstractNumId w:val="1"/>
  </w:num>
  <w:num w:numId="10">
    <w:abstractNumId w:val="0"/>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839"/>
    <w:rsid w:val="000045FB"/>
    <w:rsid w:val="000058E4"/>
    <w:rsid w:val="00026F91"/>
    <w:rsid w:val="000275EB"/>
    <w:rsid w:val="00035A82"/>
    <w:rsid w:val="00041AB9"/>
    <w:rsid w:val="000465E8"/>
    <w:rsid w:val="00054581"/>
    <w:rsid w:val="0007099C"/>
    <w:rsid w:val="000711EF"/>
    <w:rsid w:val="0007494A"/>
    <w:rsid w:val="00081A8E"/>
    <w:rsid w:val="00084121"/>
    <w:rsid w:val="00094DEA"/>
    <w:rsid w:val="000A0634"/>
    <w:rsid w:val="000A5CA8"/>
    <w:rsid w:val="000B53D4"/>
    <w:rsid w:val="000E66C1"/>
    <w:rsid w:val="000F5978"/>
    <w:rsid w:val="000F5CC4"/>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7695"/>
    <w:rsid w:val="00192AF3"/>
    <w:rsid w:val="001A02AA"/>
    <w:rsid w:val="001A141A"/>
    <w:rsid w:val="001A619C"/>
    <w:rsid w:val="001A6C40"/>
    <w:rsid w:val="001B1B25"/>
    <w:rsid w:val="001C1ECB"/>
    <w:rsid w:val="001C4D03"/>
    <w:rsid w:val="001C7207"/>
    <w:rsid w:val="001E57A8"/>
    <w:rsid w:val="001F15C2"/>
    <w:rsid w:val="001F714F"/>
    <w:rsid w:val="00201C0B"/>
    <w:rsid w:val="002156E9"/>
    <w:rsid w:val="002244B1"/>
    <w:rsid w:val="0023063E"/>
    <w:rsid w:val="002309C5"/>
    <w:rsid w:val="00233ED1"/>
    <w:rsid w:val="00242B23"/>
    <w:rsid w:val="00251B8B"/>
    <w:rsid w:val="00255DD8"/>
    <w:rsid w:val="00255E26"/>
    <w:rsid w:val="00256808"/>
    <w:rsid w:val="00266710"/>
    <w:rsid w:val="002702AC"/>
    <w:rsid w:val="00276E65"/>
    <w:rsid w:val="0029220F"/>
    <w:rsid w:val="002958D4"/>
    <w:rsid w:val="002A3CB7"/>
    <w:rsid w:val="002A4463"/>
    <w:rsid w:val="002A64FD"/>
    <w:rsid w:val="002A70ED"/>
    <w:rsid w:val="002A7C0D"/>
    <w:rsid w:val="002B2FA4"/>
    <w:rsid w:val="002D2F27"/>
    <w:rsid w:val="002D31EF"/>
    <w:rsid w:val="002E0F40"/>
    <w:rsid w:val="002E55CE"/>
    <w:rsid w:val="002F0E3F"/>
    <w:rsid w:val="002F266B"/>
    <w:rsid w:val="002F3D6B"/>
    <w:rsid w:val="002F457F"/>
    <w:rsid w:val="003024EB"/>
    <w:rsid w:val="0030425A"/>
    <w:rsid w:val="00304794"/>
    <w:rsid w:val="00304B83"/>
    <w:rsid w:val="00321E9E"/>
    <w:rsid w:val="0033475A"/>
    <w:rsid w:val="00334C11"/>
    <w:rsid w:val="00342D36"/>
    <w:rsid w:val="0035152E"/>
    <w:rsid w:val="0035456B"/>
    <w:rsid w:val="00356CD1"/>
    <w:rsid w:val="00364E12"/>
    <w:rsid w:val="00375F35"/>
    <w:rsid w:val="00376B0A"/>
    <w:rsid w:val="0038005D"/>
    <w:rsid w:val="00384F40"/>
    <w:rsid w:val="003A18BA"/>
    <w:rsid w:val="003C2C5E"/>
    <w:rsid w:val="003C7A9D"/>
    <w:rsid w:val="003D7902"/>
    <w:rsid w:val="003E42AE"/>
    <w:rsid w:val="003E6576"/>
    <w:rsid w:val="003F5EEF"/>
    <w:rsid w:val="0040305B"/>
    <w:rsid w:val="00403A78"/>
    <w:rsid w:val="004146A8"/>
    <w:rsid w:val="004245F7"/>
    <w:rsid w:val="004430C9"/>
    <w:rsid w:val="00450040"/>
    <w:rsid w:val="00461BFF"/>
    <w:rsid w:val="00461CAB"/>
    <w:rsid w:val="004737C6"/>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33E0F"/>
    <w:rsid w:val="005360D9"/>
    <w:rsid w:val="00556097"/>
    <w:rsid w:val="0055714B"/>
    <w:rsid w:val="00562A47"/>
    <w:rsid w:val="00573743"/>
    <w:rsid w:val="00573D30"/>
    <w:rsid w:val="00575335"/>
    <w:rsid w:val="00576E8A"/>
    <w:rsid w:val="00580435"/>
    <w:rsid w:val="00584457"/>
    <w:rsid w:val="00591168"/>
    <w:rsid w:val="005B099A"/>
    <w:rsid w:val="005B4172"/>
    <w:rsid w:val="005D0B9A"/>
    <w:rsid w:val="005D5236"/>
    <w:rsid w:val="005E4971"/>
    <w:rsid w:val="005F1751"/>
    <w:rsid w:val="006321C7"/>
    <w:rsid w:val="00632F8F"/>
    <w:rsid w:val="006410CF"/>
    <w:rsid w:val="00655F57"/>
    <w:rsid w:val="006652EE"/>
    <w:rsid w:val="006726F2"/>
    <w:rsid w:val="006837D0"/>
    <w:rsid w:val="00684958"/>
    <w:rsid w:val="00696034"/>
    <w:rsid w:val="006A141B"/>
    <w:rsid w:val="006A6CEF"/>
    <w:rsid w:val="006B150E"/>
    <w:rsid w:val="006D00BB"/>
    <w:rsid w:val="006D760B"/>
    <w:rsid w:val="006E0B05"/>
    <w:rsid w:val="006E39EE"/>
    <w:rsid w:val="006E5204"/>
    <w:rsid w:val="00702438"/>
    <w:rsid w:val="00712A75"/>
    <w:rsid w:val="00726E56"/>
    <w:rsid w:val="0073688A"/>
    <w:rsid w:val="00744CC9"/>
    <w:rsid w:val="00750318"/>
    <w:rsid w:val="00751F70"/>
    <w:rsid w:val="00753B8D"/>
    <w:rsid w:val="00754757"/>
    <w:rsid w:val="00755FC1"/>
    <w:rsid w:val="007628A1"/>
    <w:rsid w:val="00777D35"/>
    <w:rsid w:val="0078001B"/>
    <w:rsid w:val="00786A79"/>
    <w:rsid w:val="007A21A2"/>
    <w:rsid w:val="007A5FA8"/>
    <w:rsid w:val="007B09B1"/>
    <w:rsid w:val="007B791F"/>
    <w:rsid w:val="007C087F"/>
    <w:rsid w:val="007C32C5"/>
    <w:rsid w:val="007E0E40"/>
    <w:rsid w:val="007E381B"/>
    <w:rsid w:val="007F4A6D"/>
    <w:rsid w:val="007F6A0B"/>
    <w:rsid w:val="00805184"/>
    <w:rsid w:val="00812BDC"/>
    <w:rsid w:val="00827839"/>
    <w:rsid w:val="008339F5"/>
    <w:rsid w:val="00834AB2"/>
    <w:rsid w:val="0083691D"/>
    <w:rsid w:val="00887FC9"/>
    <w:rsid w:val="00892EA4"/>
    <w:rsid w:val="00897F56"/>
    <w:rsid w:val="008B31BB"/>
    <w:rsid w:val="00923704"/>
    <w:rsid w:val="00933433"/>
    <w:rsid w:val="00936492"/>
    <w:rsid w:val="00936AB7"/>
    <w:rsid w:val="00940846"/>
    <w:rsid w:val="009470FB"/>
    <w:rsid w:val="009673E6"/>
    <w:rsid w:val="00970859"/>
    <w:rsid w:val="00982670"/>
    <w:rsid w:val="00983012"/>
    <w:rsid w:val="00985C2D"/>
    <w:rsid w:val="00994C0F"/>
    <w:rsid w:val="009964E3"/>
    <w:rsid w:val="009A3F66"/>
    <w:rsid w:val="009B1153"/>
    <w:rsid w:val="009B2EF9"/>
    <w:rsid w:val="009C7EC2"/>
    <w:rsid w:val="009D5AF2"/>
    <w:rsid w:val="009E1C02"/>
    <w:rsid w:val="009E32B0"/>
    <w:rsid w:val="009E66BC"/>
    <w:rsid w:val="009E6C4A"/>
    <w:rsid w:val="009F1B7B"/>
    <w:rsid w:val="009F2905"/>
    <w:rsid w:val="00A00800"/>
    <w:rsid w:val="00A01B71"/>
    <w:rsid w:val="00A056D4"/>
    <w:rsid w:val="00A16C65"/>
    <w:rsid w:val="00A20A2F"/>
    <w:rsid w:val="00A2134F"/>
    <w:rsid w:val="00A31429"/>
    <w:rsid w:val="00A46361"/>
    <w:rsid w:val="00A475A7"/>
    <w:rsid w:val="00A607C1"/>
    <w:rsid w:val="00A610B4"/>
    <w:rsid w:val="00A6184A"/>
    <w:rsid w:val="00A628E3"/>
    <w:rsid w:val="00A6747E"/>
    <w:rsid w:val="00A676F4"/>
    <w:rsid w:val="00A70836"/>
    <w:rsid w:val="00A77C6A"/>
    <w:rsid w:val="00A77D24"/>
    <w:rsid w:val="00A81A17"/>
    <w:rsid w:val="00A838AC"/>
    <w:rsid w:val="00A94282"/>
    <w:rsid w:val="00A9449D"/>
    <w:rsid w:val="00A94F5C"/>
    <w:rsid w:val="00AA282A"/>
    <w:rsid w:val="00AA37F5"/>
    <w:rsid w:val="00AB209C"/>
    <w:rsid w:val="00AC463D"/>
    <w:rsid w:val="00AD0872"/>
    <w:rsid w:val="00AD61A3"/>
    <w:rsid w:val="00AE4CD3"/>
    <w:rsid w:val="00B03026"/>
    <w:rsid w:val="00B04638"/>
    <w:rsid w:val="00B10BFE"/>
    <w:rsid w:val="00B36DB0"/>
    <w:rsid w:val="00B40F1C"/>
    <w:rsid w:val="00B418BD"/>
    <w:rsid w:val="00B47683"/>
    <w:rsid w:val="00B55936"/>
    <w:rsid w:val="00B6020C"/>
    <w:rsid w:val="00B63A35"/>
    <w:rsid w:val="00B745D0"/>
    <w:rsid w:val="00B763AC"/>
    <w:rsid w:val="00B81D99"/>
    <w:rsid w:val="00B87AB8"/>
    <w:rsid w:val="00BA206D"/>
    <w:rsid w:val="00BB11DF"/>
    <w:rsid w:val="00BD4CFD"/>
    <w:rsid w:val="00BE083D"/>
    <w:rsid w:val="00BF0F76"/>
    <w:rsid w:val="00C03892"/>
    <w:rsid w:val="00C10C19"/>
    <w:rsid w:val="00C16760"/>
    <w:rsid w:val="00C17C16"/>
    <w:rsid w:val="00C210B0"/>
    <w:rsid w:val="00C30786"/>
    <w:rsid w:val="00C41F4B"/>
    <w:rsid w:val="00C62B59"/>
    <w:rsid w:val="00C63DEF"/>
    <w:rsid w:val="00C77308"/>
    <w:rsid w:val="00C81752"/>
    <w:rsid w:val="00C86D62"/>
    <w:rsid w:val="00C86F4E"/>
    <w:rsid w:val="00C93DCE"/>
    <w:rsid w:val="00C9461E"/>
    <w:rsid w:val="00C958FE"/>
    <w:rsid w:val="00CA2E59"/>
    <w:rsid w:val="00CD2727"/>
    <w:rsid w:val="00CD3CC5"/>
    <w:rsid w:val="00CE76F9"/>
    <w:rsid w:val="00CF25BE"/>
    <w:rsid w:val="00D078C0"/>
    <w:rsid w:val="00D10C99"/>
    <w:rsid w:val="00D17099"/>
    <w:rsid w:val="00D2598F"/>
    <w:rsid w:val="00D349A6"/>
    <w:rsid w:val="00D8734D"/>
    <w:rsid w:val="00D91C4E"/>
    <w:rsid w:val="00D9396C"/>
    <w:rsid w:val="00DA6F7D"/>
    <w:rsid w:val="00DC3C3C"/>
    <w:rsid w:val="00DD124B"/>
    <w:rsid w:val="00DE1749"/>
    <w:rsid w:val="00DE490F"/>
    <w:rsid w:val="00DF1010"/>
    <w:rsid w:val="00DF74B6"/>
    <w:rsid w:val="00E34205"/>
    <w:rsid w:val="00E46824"/>
    <w:rsid w:val="00E61DE3"/>
    <w:rsid w:val="00E65D3B"/>
    <w:rsid w:val="00E76F53"/>
    <w:rsid w:val="00E8108A"/>
    <w:rsid w:val="00E81239"/>
    <w:rsid w:val="00E82836"/>
    <w:rsid w:val="00E850FD"/>
    <w:rsid w:val="00E94C7B"/>
    <w:rsid w:val="00E97ED4"/>
    <w:rsid w:val="00EA0A82"/>
    <w:rsid w:val="00EA33C3"/>
    <w:rsid w:val="00EB4594"/>
    <w:rsid w:val="00ED2BA5"/>
    <w:rsid w:val="00ED34E9"/>
    <w:rsid w:val="00EE28A9"/>
    <w:rsid w:val="00EE63D7"/>
    <w:rsid w:val="00EF1CF0"/>
    <w:rsid w:val="00F21165"/>
    <w:rsid w:val="00F2271C"/>
    <w:rsid w:val="00F23BE3"/>
    <w:rsid w:val="00F23FF2"/>
    <w:rsid w:val="00F25AC0"/>
    <w:rsid w:val="00F300F7"/>
    <w:rsid w:val="00F415DF"/>
    <w:rsid w:val="00F60DEB"/>
    <w:rsid w:val="00F64475"/>
    <w:rsid w:val="00F75D73"/>
    <w:rsid w:val="00F95939"/>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D629A907-6203-4C8E-AA68-44D4722D1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link w:val="Ttulo2Char"/>
    <w:uiPriority w:val="9"/>
    <w:semiHidden/>
    <w:unhideWhenUsed/>
    <w:qFormat/>
    <w:rsid w:val="009C7EC2"/>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customStyle="1" w:styleId="TabelaSimples41">
    <w:name w:val="Tabela Simples 41"/>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HiperlinkVisitado">
    <w:name w:val="FollowedHyperlink"/>
    <w:basedOn w:val="Fontepargpadro"/>
    <w:uiPriority w:val="99"/>
    <w:semiHidden/>
    <w:unhideWhenUsed/>
    <w:rsid w:val="003024EB"/>
    <w:rPr>
      <w:color w:val="954F72" w:themeColor="followedHyperlink"/>
      <w:u w:val="single"/>
    </w:rPr>
  </w:style>
  <w:style w:type="character" w:customStyle="1" w:styleId="Ttulo2Char">
    <w:name w:val="Título 2 Char"/>
    <w:basedOn w:val="Fontepargpadro"/>
    <w:link w:val="Ttulo2"/>
    <w:uiPriority w:val="9"/>
    <w:semiHidden/>
    <w:rsid w:val="009C7EC2"/>
    <w:rPr>
      <w:rFonts w:asciiTheme="majorHAnsi" w:eastAsiaTheme="majorEastAsia" w:hAnsiTheme="majorHAnsi" w:cstheme="majorBidi"/>
      <w:b/>
      <w:bCs/>
      <w:color w:val="4472C4" w:themeColor="accent1"/>
      <w:sz w:val="26"/>
      <w:szCs w:val="26"/>
      <w:lang w:val="en-US"/>
    </w:rPr>
  </w:style>
  <w:style w:type="paragraph" w:customStyle="1" w:styleId="Fontes">
    <w:name w:val="Fontes"/>
    <w:basedOn w:val="Normal"/>
    <w:link w:val="FontesChar"/>
    <w:qFormat/>
    <w:rsid w:val="00AA282A"/>
    <w:pPr>
      <w:spacing w:after="280"/>
      <w:jc w:val="right"/>
    </w:pPr>
    <w:rPr>
      <w:rFonts w:ascii="Myriad Pro" w:eastAsiaTheme="minorHAnsi" w:hAnsi="Myriad Pro" w:cstheme="minorBidi"/>
      <w:sz w:val="16"/>
      <w:szCs w:val="16"/>
      <w:lang w:val="pt-BR" w:eastAsia="en-US"/>
    </w:rPr>
  </w:style>
  <w:style w:type="character" w:customStyle="1" w:styleId="FontesChar">
    <w:name w:val="Fontes Char"/>
    <w:basedOn w:val="Fontepargpadro"/>
    <w:link w:val="Fontes"/>
    <w:rsid w:val="00AA282A"/>
    <w:rPr>
      <w:rFonts w:ascii="Myriad Pro" w:eastAsiaTheme="minorHAnsi" w:hAnsi="Myriad Pro" w:cstheme="minorBidi"/>
      <w:sz w:val="16"/>
      <w:szCs w:val="16"/>
      <w:lang w:eastAsia="en-US"/>
    </w:rPr>
  </w:style>
  <w:style w:type="character" w:styleId="MenoPendente">
    <w:name w:val="Unresolved Mention"/>
    <w:basedOn w:val="Fontepargpadro"/>
    <w:uiPriority w:val="99"/>
    <w:semiHidden/>
    <w:unhideWhenUsed/>
    <w:rsid w:val="00270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jpg"/><Relationship Id="rId1" Type="http://schemas.openxmlformats.org/officeDocument/2006/relationships/image" Target="media/image1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4CE4B-7D1F-4547-A4A7-7764D6905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4398</Words>
  <Characters>23753</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Aryuska Aryelle</cp:lastModifiedBy>
  <cp:revision>3</cp:revision>
  <cp:lastPrinted>2023-04-07T21:35:00Z</cp:lastPrinted>
  <dcterms:created xsi:type="dcterms:W3CDTF">2023-04-07T21:34:00Z</dcterms:created>
  <dcterms:modified xsi:type="dcterms:W3CDTF">2023-04-07T21:48:00Z</dcterms:modified>
</cp:coreProperties>
</file>